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cument Header"/>
        <w:tblDescription w:val="The document header contains the H S D  U W logo, the document type, and the document title."/>
      </w:tblPr>
      <w:tblGrid>
        <w:gridCol w:w="4536"/>
        <w:gridCol w:w="6156"/>
      </w:tblGrid>
      <w:tr w:rsidR="003E168D" w:rsidRPr="00ED134C" w14:paraId="420D36F7" w14:textId="77777777" w:rsidTr="004F1994">
        <w:tc>
          <w:tcPr>
            <w:tcW w:w="4536" w:type="dxa"/>
          </w:tcPr>
          <w:p w14:paraId="4581C71C" w14:textId="77777777" w:rsidR="003E168D" w:rsidRPr="00ED134C" w:rsidRDefault="003E168D" w:rsidP="00B11A19">
            <w:r w:rsidRPr="00ED134C">
              <w:rPr>
                <w:noProof/>
              </w:rPr>
              <w:drawing>
                <wp:inline distT="0" distB="0" distL="0" distR="0" wp14:anchorId="2795162F" wp14:editId="1D80CBB0">
                  <wp:extent cx="2743200" cy="333528"/>
                  <wp:effectExtent l="0" t="0" r="0" b="9525"/>
                  <wp:docPr id="4" name="Picture 4" descr="University of Washington Human Subjects DIvision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W_HumanSubjDiv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3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6" w:type="dxa"/>
          </w:tcPr>
          <w:p w14:paraId="5446FAB8" w14:textId="0EAD8BB3" w:rsidR="003E168D" w:rsidRPr="00ED134C" w:rsidRDefault="003E168D" w:rsidP="003E168D">
            <w:pPr>
              <w:jc w:val="center"/>
              <w:rPr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b/>
                <w:color w:val="404040" w:themeColor="text1" w:themeTint="BF"/>
                <w:sz w:val="28"/>
                <w:szCs w:val="28"/>
              </w:rPr>
              <w:t>WORKSHEET Pre-Review, Continuing Review</w:t>
            </w:r>
          </w:p>
        </w:tc>
      </w:tr>
    </w:tbl>
    <w:p w14:paraId="10027E92" w14:textId="77777777" w:rsidR="006B24E9" w:rsidRDefault="006B24E9" w:rsidP="006B24E9">
      <w:pPr>
        <w:shd w:val="clear" w:color="auto" w:fill="33006F"/>
        <w:tabs>
          <w:tab w:val="right" w:pos="10080"/>
        </w:tabs>
      </w:pPr>
    </w:p>
    <w:p w14:paraId="267495A8" w14:textId="6B088660" w:rsidR="00FA2003" w:rsidRPr="00A65120" w:rsidRDefault="00FA2003" w:rsidP="00FA2003">
      <w:pPr>
        <w:pStyle w:val="NoSpacing"/>
        <w:rPr>
          <w:b/>
        </w:rPr>
      </w:pPr>
      <w:r w:rsidRPr="00A65120">
        <w:rPr>
          <w:b/>
        </w:rPr>
        <w:t>PURPOSE</w:t>
      </w:r>
    </w:p>
    <w:p w14:paraId="698890DE" w14:textId="4097EBC1" w:rsidR="008C7976" w:rsidRDefault="00FA2003" w:rsidP="00B45429">
      <w:pPr>
        <w:pStyle w:val="NoSpacing"/>
        <w:spacing w:after="60"/>
      </w:pPr>
      <w:r>
        <w:t xml:space="preserve">This worksheet provides support for HSD staff conducting pre-review of continuing review applications by identifying the issues that should be covered as part of the pre-review. </w:t>
      </w:r>
    </w:p>
    <w:p w14:paraId="5A57093F" w14:textId="36DBFC4A" w:rsidR="008C7976" w:rsidRPr="006A4E49" w:rsidRDefault="008C7976" w:rsidP="008C7976">
      <w:pPr>
        <w:pStyle w:val="NoSpacing"/>
      </w:pPr>
      <w:r>
        <w:t>This worksheet is not intended to be the only resource HSD staff need while reviewing continuing review applications. Rather, the worksheet: 1) prompts staff to consider the possible regulatory or policy issues that may apply to any particular study; 2) points staff to the resources they</w:t>
      </w:r>
      <w:r w:rsidR="005F1369">
        <w:t xml:space="preserve"> might</w:t>
      </w:r>
      <w:r>
        <w:t xml:space="preserve"> need to reference </w:t>
      </w:r>
      <w:r w:rsidR="005F1369">
        <w:t>when</w:t>
      </w:r>
      <w:r>
        <w:t xml:space="preserve"> </w:t>
      </w:r>
      <w:r w:rsidR="005F1369">
        <w:t>reviewing</w:t>
      </w:r>
      <w:r>
        <w:t xml:space="preserve"> for that regulation or policy; and 3) </w:t>
      </w:r>
      <w:r w:rsidR="005F1369">
        <w:t>provides some target</w:t>
      </w:r>
      <w:r w:rsidR="00967354">
        <w:t>ed</w:t>
      </w:r>
      <w:r w:rsidR="005F1369">
        <w:t xml:space="preserve"> instruction for how staff should approach review of some </w:t>
      </w:r>
      <w:r>
        <w:t>complex and/or less common issues</w:t>
      </w:r>
      <w:r w:rsidR="00206FD8">
        <w:t>.</w:t>
      </w:r>
      <w:r>
        <w:t xml:space="preserve"> </w:t>
      </w:r>
    </w:p>
    <w:p w14:paraId="25A977F8" w14:textId="77777777" w:rsidR="00FA2003" w:rsidRDefault="00FA2003" w:rsidP="00FA2003">
      <w:pPr>
        <w:pStyle w:val="NoSpacing"/>
        <w:rPr>
          <w:b/>
        </w:rPr>
      </w:pPr>
    </w:p>
    <w:p w14:paraId="30BAB3BA" w14:textId="183221B7" w:rsidR="008C7976" w:rsidRPr="0045412C" w:rsidRDefault="008C7976" w:rsidP="00FA2003">
      <w:pPr>
        <w:pStyle w:val="NoSpacing"/>
        <w:rPr>
          <w:b/>
          <w:bCs/>
        </w:rPr>
      </w:pPr>
      <w:r>
        <w:rPr>
          <w:b/>
          <w:bCs/>
        </w:rPr>
        <w:t>PROCEDURES</w:t>
      </w:r>
    </w:p>
    <w:p w14:paraId="716C1A24" w14:textId="1F3C2867" w:rsidR="00FA2003" w:rsidRDefault="00FA2003" w:rsidP="00B45429">
      <w:pPr>
        <w:pStyle w:val="NoSpacing"/>
        <w:spacing w:after="60"/>
      </w:pPr>
      <w:r>
        <w:t xml:space="preserve">Read the entire </w:t>
      </w:r>
      <w:r w:rsidR="00394D93">
        <w:t xml:space="preserve">continuing review </w:t>
      </w:r>
      <w:r>
        <w:t xml:space="preserve">and then evaluate it using this worksheet. Issues </w:t>
      </w:r>
      <w:r w:rsidR="00F0189B">
        <w:t>are</w:t>
      </w:r>
      <w:r>
        <w:t xml:space="preserve"> usually evaluated in the order listed, but experienced pre-reviewers </w:t>
      </w:r>
      <w:r w:rsidR="00F0189B">
        <w:t>may</w:t>
      </w:r>
      <w:r>
        <w:t xml:space="preserve"> be able to quickly identify key issues “out of order” when reading the application </w:t>
      </w:r>
      <w:r w:rsidR="008C7976">
        <w:t xml:space="preserve">which </w:t>
      </w:r>
      <w:r w:rsidR="003E168D">
        <w:t>may</w:t>
      </w:r>
      <w:r>
        <w:t xml:space="preserve"> eliminate the need for some pre-review steps.</w:t>
      </w:r>
      <w:r w:rsidR="006B24E9">
        <w:t xml:space="preserve"> </w:t>
      </w:r>
      <w:r>
        <w:t xml:space="preserve">There is no requirement to complete and retain this worksheet.  </w:t>
      </w:r>
    </w:p>
    <w:p w14:paraId="5B33C7FE" w14:textId="16F1FD05" w:rsidR="00C560CF" w:rsidRDefault="00B45429" w:rsidP="00D30BD5">
      <w:pPr>
        <w:pStyle w:val="NoSpacing"/>
        <w:spacing w:after="120"/>
      </w:pPr>
      <w:r>
        <w:t xml:space="preserve">Hyperlinks are used sparingly in this document because they are difficult to maintain. </w:t>
      </w:r>
      <w:r w:rsidR="00B45DE1">
        <w:t xml:space="preserve">Reference documents are bolded and can be found in the </w:t>
      </w:r>
      <w:hyperlink r:id="rId12" w:history="1">
        <w:r w:rsidR="00B45DE1" w:rsidRPr="00B40308">
          <w:rPr>
            <w:rStyle w:val="Hyperlink"/>
          </w:rPr>
          <w:t>Published Document Library</w:t>
        </w:r>
      </w:hyperlink>
      <w:r w:rsidR="00B45DE1">
        <w:t xml:space="preserve">. </w:t>
      </w:r>
      <w:r>
        <w:t xml:space="preserve">The </w:t>
      </w:r>
      <w:r w:rsidRPr="004939C5">
        <w:rPr>
          <w:b/>
          <w:bCs/>
        </w:rPr>
        <w:t>Ctrl+F</w:t>
      </w:r>
      <w:r>
        <w:t xml:space="preserve"> function is also helpful when searching for specific information. </w:t>
      </w:r>
    </w:p>
    <w:p w14:paraId="5E173A94" w14:textId="77777777" w:rsidR="00FA2003" w:rsidRPr="005325E5" w:rsidRDefault="00FA2003" w:rsidP="00FA2003">
      <w:pPr>
        <w:pStyle w:val="NoSpacing"/>
        <w:rPr>
          <w:b/>
          <w:sz w:val="28"/>
          <w:szCs w:val="28"/>
        </w:rPr>
      </w:pPr>
      <w:r w:rsidRPr="005325E5">
        <w:rPr>
          <w:b/>
          <w:sz w:val="28"/>
          <w:szCs w:val="28"/>
        </w:rPr>
        <w:t>Section 1: Triage and Basics</w:t>
      </w:r>
    </w:p>
    <w:p w14:paraId="3C2F30AF" w14:textId="77777777" w:rsidR="00FA2003" w:rsidRDefault="00FA2003" w:rsidP="00FA2003">
      <w:pPr>
        <w:pStyle w:val="NoSpacing"/>
      </w:pPr>
      <w:r>
        <w:t>This section addresses these issues:</w:t>
      </w:r>
    </w:p>
    <w:p w14:paraId="796B7925" w14:textId="6DEC1882" w:rsidR="00FE0C00" w:rsidRDefault="00FE0C00" w:rsidP="00FA2003">
      <w:pPr>
        <w:pStyle w:val="NoSpacing"/>
        <w:numPr>
          <w:ilvl w:val="0"/>
          <w:numId w:val="7"/>
        </w:numPr>
      </w:pPr>
      <w:r>
        <w:t>Can the application be closed?</w:t>
      </w:r>
    </w:p>
    <w:p w14:paraId="2B137CE6" w14:textId="77777777" w:rsidR="00FA2003" w:rsidRDefault="00FA2003" w:rsidP="00FA2003">
      <w:pPr>
        <w:pStyle w:val="NoSpacing"/>
        <w:numPr>
          <w:ilvl w:val="0"/>
          <w:numId w:val="7"/>
        </w:numPr>
      </w:pPr>
      <w:r>
        <w:t>Is there anything about the application that requires it to be assigned a higher-than-usual priority?</w:t>
      </w:r>
    </w:p>
    <w:p w14:paraId="25AB5228" w14:textId="7D3C941A" w:rsidR="00FA2003" w:rsidRDefault="00FA2003" w:rsidP="00FA2003">
      <w:pPr>
        <w:pStyle w:val="NoSpacing"/>
        <w:numPr>
          <w:ilvl w:val="0"/>
          <w:numId w:val="7"/>
        </w:numPr>
      </w:pPr>
      <w:r>
        <w:t>Should this pre-review be conducted by the assigned pre-reviewer?</w:t>
      </w:r>
    </w:p>
    <w:p w14:paraId="776D6692" w14:textId="30789E76" w:rsidR="005C0CBF" w:rsidRDefault="00FA2003" w:rsidP="00D30BD5">
      <w:pPr>
        <w:pStyle w:val="NoSpacing"/>
        <w:numPr>
          <w:ilvl w:val="0"/>
          <w:numId w:val="7"/>
        </w:numPr>
        <w:spacing w:after="120"/>
      </w:pPr>
      <w:r>
        <w:t>Is the application ready for “walking up the regulatory ladder”?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73A5D" w14:paraId="554E73B8" w14:textId="77777777" w:rsidTr="0045412C">
        <w:tc>
          <w:tcPr>
            <w:tcW w:w="10790" w:type="dxa"/>
          </w:tcPr>
          <w:p w14:paraId="49582349" w14:textId="65BE1D09" w:rsidR="00273A5D" w:rsidRPr="00B15769" w:rsidRDefault="00273A5D" w:rsidP="00B15769">
            <w:pPr>
              <w:pStyle w:val="NoSpacing"/>
              <w:spacing w:before="120" w:after="120"/>
            </w:pPr>
            <w:r>
              <w:rPr>
                <w:b/>
              </w:rPr>
              <w:t xml:space="preserve">1.1 </w:t>
            </w:r>
            <w:r w:rsidRPr="00177063">
              <w:rPr>
                <w:b/>
              </w:rPr>
              <w:t>Conflict of interest</w:t>
            </w:r>
            <w:r w:rsidRPr="00177063">
              <w:t xml:space="preserve">. </w:t>
            </w:r>
            <w:r w:rsidR="006B24E9">
              <w:t>Verify that t</w:t>
            </w:r>
            <w:r w:rsidRPr="00177063">
              <w:t xml:space="preserve">he pre-reviewer </w:t>
            </w:r>
            <w:r w:rsidR="00206FD8">
              <w:t>has no</w:t>
            </w:r>
            <w:r w:rsidRPr="00177063">
              <w:t xml:space="preserve"> conflict of interest with respect to the item. If there is a conflict of interest</w:t>
            </w:r>
            <w:r w:rsidR="006B24E9">
              <w:t>, consult with the T</w:t>
            </w:r>
            <w:r w:rsidR="008B6FFB">
              <w:t xml:space="preserve">eam </w:t>
            </w:r>
            <w:r w:rsidR="006B24E9">
              <w:t>O</w:t>
            </w:r>
            <w:r w:rsidR="008B6FFB">
              <w:t xml:space="preserve">perations </w:t>
            </w:r>
            <w:r w:rsidR="006B24E9">
              <w:t>L</w:t>
            </w:r>
            <w:r w:rsidR="008B6FFB">
              <w:t>ead (TOL) or Senior Reliance Administrator (SRA)</w:t>
            </w:r>
            <w:r w:rsidR="006B24E9">
              <w:t xml:space="preserve"> and r</w:t>
            </w:r>
            <w:r w:rsidRPr="00177063">
              <w:t>e-assign the item to another member of the team</w:t>
            </w:r>
            <w:r>
              <w:t xml:space="preserve"> </w:t>
            </w:r>
            <w:r w:rsidR="006B24E9">
              <w:t xml:space="preserve">(See </w:t>
            </w:r>
            <w:r w:rsidR="006B24E9">
              <w:rPr>
                <w:b/>
              </w:rPr>
              <w:t xml:space="preserve">SOP </w:t>
            </w:r>
            <w:r w:rsidR="002A278E">
              <w:rPr>
                <w:b/>
              </w:rPr>
              <w:t>Reviewer</w:t>
            </w:r>
            <w:r w:rsidR="006B24E9">
              <w:rPr>
                <w:b/>
              </w:rPr>
              <w:t xml:space="preserve"> Conflict of Interest</w:t>
            </w:r>
            <w:r w:rsidR="006B24E9">
              <w:t>)</w:t>
            </w:r>
            <w:r w:rsidR="00881A16">
              <w:t>.</w:t>
            </w:r>
          </w:p>
        </w:tc>
      </w:tr>
      <w:tr w:rsidR="00FE0C00" w14:paraId="648D9F9D" w14:textId="77777777" w:rsidTr="0045412C">
        <w:tc>
          <w:tcPr>
            <w:tcW w:w="10790" w:type="dxa"/>
          </w:tcPr>
          <w:p w14:paraId="4DA6ADFD" w14:textId="7B054DCB" w:rsidR="00421187" w:rsidRDefault="00FE0C00" w:rsidP="00B15769">
            <w:pPr>
              <w:pStyle w:val="NoSpacing"/>
              <w:spacing w:before="120" w:after="60"/>
            </w:pPr>
            <w:r>
              <w:rPr>
                <w:b/>
              </w:rPr>
              <w:t>1.</w:t>
            </w:r>
            <w:r w:rsidR="00273A5D">
              <w:rPr>
                <w:b/>
              </w:rPr>
              <w:t>2</w:t>
            </w:r>
            <w:r>
              <w:rPr>
                <w:b/>
              </w:rPr>
              <w:t xml:space="preserve"> Eligibility for closure</w:t>
            </w:r>
            <w:r>
              <w:t xml:space="preserve">. Determine whether the research requires continuing review or whether it can be closed. </w:t>
            </w:r>
            <w:r w:rsidR="00421187">
              <w:t xml:space="preserve">(See </w:t>
            </w:r>
            <w:r w:rsidR="00421187">
              <w:rPr>
                <w:b/>
              </w:rPr>
              <w:t>SOP</w:t>
            </w:r>
            <w:r w:rsidR="00CD60F9">
              <w:rPr>
                <w:b/>
              </w:rPr>
              <w:t xml:space="preserve"> IRB Review</w:t>
            </w:r>
            <w:r w:rsidR="00421187">
              <w:t xml:space="preserve">) </w:t>
            </w:r>
          </w:p>
          <w:p w14:paraId="0E6DA7D8" w14:textId="77777777" w:rsidR="00FE0C00" w:rsidRDefault="00FE0C00" w:rsidP="00130B89">
            <w:pPr>
              <w:pStyle w:val="NoSpacing"/>
            </w:pPr>
            <w:r w:rsidRPr="007C4EA0">
              <w:t>In</w:t>
            </w:r>
            <w:r>
              <w:t xml:space="preserve"> general, the study can be closed if </w:t>
            </w:r>
            <w:proofErr w:type="gramStart"/>
            <w:r>
              <w:t>all of</w:t>
            </w:r>
            <w:proofErr w:type="gramEnd"/>
            <w:r>
              <w:t xml:space="preserve"> these criteria are met:</w:t>
            </w:r>
          </w:p>
          <w:p w14:paraId="1FCCB049" w14:textId="77777777" w:rsidR="00FE0C00" w:rsidRPr="00FE0C00" w:rsidRDefault="00FE0C00" w:rsidP="00130B89">
            <w:pPr>
              <w:pStyle w:val="NoSpacing"/>
              <w:numPr>
                <w:ilvl w:val="0"/>
                <w:numId w:val="22"/>
              </w:numPr>
              <w:rPr>
                <w:b/>
              </w:rPr>
            </w:pPr>
            <w:r>
              <w:t>Research-related interactions and interventions with human subjects are complete.</w:t>
            </w:r>
          </w:p>
          <w:p w14:paraId="0A939772" w14:textId="77777777" w:rsidR="00FE0C00" w:rsidRPr="008F66C3" w:rsidRDefault="00FE0C00" w:rsidP="00130B89">
            <w:pPr>
              <w:pStyle w:val="NoSpacing"/>
              <w:numPr>
                <w:ilvl w:val="0"/>
                <w:numId w:val="22"/>
              </w:numPr>
              <w:rPr>
                <w:b/>
              </w:rPr>
            </w:pPr>
            <w:r>
              <w:t>All collection of identifiable specimens or data has been completed.</w:t>
            </w:r>
          </w:p>
          <w:p w14:paraId="5B25A95C" w14:textId="15A3FD56" w:rsidR="00FE0C00" w:rsidRPr="00917347" w:rsidRDefault="00FE0C00" w:rsidP="00130B89">
            <w:pPr>
              <w:pStyle w:val="NoSpacing"/>
              <w:numPr>
                <w:ilvl w:val="0"/>
                <w:numId w:val="22"/>
              </w:numPr>
              <w:spacing w:after="60"/>
              <w:rPr>
                <w:b/>
              </w:rPr>
            </w:pPr>
            <w:r>
              <w:t xml:space="preserve">Analyses of identifiable private information/biospecimens described in the IRB application are complete. </w:t>
            </w:r>
          </w:p>
          <w:p w14:paraId="35A9773C" w14:textId="755FE756" w:rsidR="00394D93" w:rsidRDefault="007C4EA0" w:rsidP="00130B89">
            <w:pPr>
              <w:pStyle w:val="NoSpacing"/>
              <w:spacing w:after="60"/>
            </w:pPr>
            <w:r w:rsidRPr="00917347">
              <w:t xml:space="preserve">In ZIPLINE, the criteria for closure </w:t>
            </w:r>
            <w:proofErr w:type="gramStart"/>
            <w:r w:rsidRPr="00917347">
              <w:t>are considered to be</w:t>
            </w:r>
            <w:proofErr w:type="gramEnd"/>
            <w:r w:rsidRPr="00917347">
              <w:t xml:space="preserve"> met when the top four research milestones listed on the Continuing Review SmartForm have been met. Request clarification from the researcher if </w:t>
            </w:r>
            <w:r>
              <w:t xml:space="preserve">other </w:t>
            </w:r>
            <w:r w:rsidRPr="00917347">
              <w:t>information in the submission indicates the milestones have been incorrectly checked.</w:t>
            </w:r>
          </w:p>
          <w:p w14:paraId="76EEA907" w14:textId="77777777" w:rsidR="00F93EDB" w:rsidRDefault="007C4EA0" w:rsidP="00130B89">
            <w:pPr>
              <w:pStyle w:val="NoSpacing"/>
              <w:spacing w:after="120"/>
              <w:rPr>
                <w:b/>
                <w:bCs/>
              </w:rPr>
            </w:pPr>
            <w:r w:rsidRPr="00130B89">
              <w:rPr>
                <w:b/>
                <w:bCs/>
              </w:rPr>
              <w:t xml:space="preserve">If the study is eligible for closure, review the sections on </w:t>
            </w:r>
            <w:r w:rsidRPr="00130B89">
              <w:rPr>
                <w:b/>
                <w:bCs/>
                <w:i/>
              </w:rPr>
              <w:t>Data and Safety Monitoring</w:t>
            </w:r>
            <w:r w:rsidRPr="00130B89">
              <w:rPr>
                <w:b/>
                <w:bCs/>
              </w:rPr>
              <w:t xml:space="preserve">, </w:t>
            </w:r>
            <w:r w:rsidRPr="00130B89">
              <w:rPr>
                <w:b/>
                <w:bCs/>
                <w:i/>
              </w:rPr>
              <w:t>New Information</w:t>
            </w:r>
            <w:r w:rsidRPr="00130B89">
              <w:rPr>
                <w:b/>
                <w:bCs/>
              </w:rPr>
              <w:t xml:space="preserve">, and </w:t>
            </w:r>
            <w:r w:rsidRPr="00130B89">
              <w:rPr>
                <w:b/>
                <w:bCs/>
                <w:i/>
              </w:rPr>
              <w:t>Institutions Rely</w:t>
            </w:r>
            <w:r w:rsidR="008C7976" w:rsidRPr="00130B89">
              <w:rPr>
                <w:b/>
                <w:bCs/>
                <w:i/>
              </w:rPr>
              <w:t>ing</w:t>
            </w:r>
            <w:r w:rsidRPr="00130B89">
              <w:rPr>
                <w:b/>
                <w:bCs/>
                <w:i/>
              </w:rPr>
              <w:t xml:space="preserve"> on UW Review</w:t>
            </w:r>
            <w:r w:rsidRPr="00130B89">
              <w:rPr>
                <w:b/>
                <w:bCs/>
              </w:rPr>
              <w:t xml:space="preserve"> in this Worksheet. All other sections may be skipped.</w:t>
            </w:r>
          </w:p>
          <w:p w14:paraId="72A950CC" w14:textId="525BD010" w:rsidR="00F93EDB" w:rsidRPr="00130B89" w:rsidRDefault="00F93EDB" w:rsidP="00130B89">
            <w:pPr>
              <w:pStyle w:val="NoSpacing"/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NOTE: a study should not be closed if there are unresolved RNIs. </w:t>
            </w:r>
          </w:p>
        </w:tc>
      </w:tr>
      <w:tr w:rsidR="001F607B" w14:paraId="05F54A2D" w14:textId="77777777" w:rsidTr="0045412C">
        <w:tc>
          <w:tcPr>
            <w:tcW w:w="10790" w:type="dxa"/>
          </w:tcPr>
          <w:p w14:paraId="4974557F" w14:textId="15864E79" w:rsidR="00FA2003" w:rsidRPr="00177063" w:rsidRDefault="00FE0C00" w:rsidP="00F15A6C">
            <w:pPr>
              <w:pStyle w:val="NoSpacing"/>
              <w:spacing w:before="120" w:after="60"/>
            </w:pPr>
            <w:r>
              <w:rPr>
                <w:b/>
              </w:rPr>
              <w:t xml:space="preserve"> </w:t>
            </w:r>
            <w:r w:rsidR="000F7EE7">
              <w:rPr>
                <w:b/>
              </w:rPr>
              <w:t xml:space="preserve">1.3 </w:t>
            </w:r>
            <w:r w:rsidR="001F607B" w:rsidRPr="00177063">
              <w:rPr>
                <w:b/>
              </w:rPr>
              <w:t xml:space="preserve">Expiration of IRB </w:t>
            </w:r>
            <w:r w:rsidR="001F607B" w:rsidRPr="00177063">
              <w:rPr>
                <w:b/>
                <w:color w:val="000000" w:themeColor="text1"/>
              </w:rPr>
              <w:t>approval</w:t>
            </w:r>
            <w:r w:rsidR="00FA2003" w:rsidRPr="00177063">
              <w:rPr>
                <w:b/>
                <w:color w:val="000000" w:themeColor="text1"/>
              </w:rPr>
              <w:t xml:space="preserve"> </w:t>
            </w:r>
            <w:r w:rsidR="00B34330" w:rsidRPr="00177063">
              <w:rPr>
                <w:b/>
                <w:color w:val="000000" w:themeColor="text1"/>
              </w:rPr>
              <w:t>and</w:t>
            </w:r>
            <w:r w:rsidR="00FA2003" w:rsidRPr="00177063">
              <w:rPr>
                <w:b/>
                <w:color w:val="000000" w:themeColor="text1"/>
              </w:rPr>
              <w:t xml:space="preserve"> urgency of review</w:t>
            </w:r>
            <w:r w:rsidR="001F607B" w:rsidRPr="00177063">
              <w:t>.</w:t>
            </w:r>
            <w:r w:rsidR="003D7C72">
              <w:t xml:space="preserve"> </w:t>
            </w:r>
          </w:p>
          <w:p w14:paraId="01D5BD4F" w14:textId="7FCA9D3F" w:rsidR="00997AFA" w:rsidRDefault="00421187" w:rsidP="00130B89">
            <w:pPr>
              <w:pStyle w:val="NoSpacing"/>
              <w:spacing w:after="60"/>
            </w:pPr>
            <w:r>
              <w:lastRenderedPageBreak/>
              <w:t>If IRB approval h</w:t>
            </w:r>
            <w:r w:rsidR="001F607B" w:rsidRPr="00C40E3D">
              <w:t>as already expired</w:t>
            </w:r>
            <w:r>
              <w:t xml:space="preserve">, see </w:t>
            </w:r>
            <w:r>
              <w:rPr>
                <w:b/>
              </w:rPr>
              <w:t xml:space="preserve">SOP </w:t>
            </w:r>
            <w:r w:rsidR="00CD60F9">
              <w:rPr>
                <w:b/>
              </w:rPr>
              <w:t>IRB Review</w:t>
            </w:r>
            <w:r>
              <w:rPr>
                <w:b/>
              </w:rPr>
              <w:t xml:space="preserve"> </w:t>
            </w:r>
            <w:r w:rsidR="00CD60F9">
              <w:rPr>
                <w:b/>
              </w:rPr>
              <w:t xml:space="preserve">and SOP Administrative Actions </w:t>
            </w:r>
            <w:r>
              <w:t>for</w:t>
            </w:r>
            <w:r w:rsidR="00097BEB">
              <w:t xml:space="preserve"> </w:t>
            </w:r>
            <w:r>
              <w:t xml:space="preserve">details. </w:t>
            </w:r>
            <w:r w:rsidR="00206FD8">
              <w:t>T</w:t>
            </w:r>
            <w:r>
              <w:t xml:space="preserve">he researcher will </w:t>
            </w:r>
            <w:r w:rsidR="00206FD8">
              <w:t xml:space="preserve">likely already have </w:t>
            </w:r>
            <w:r>
              <w:t>receive</w:t>
            </w:r>
            <w:r w:rsidR="00206FD8">
              <w:t>d</w:t>
            </w:r>
            <w:r>
              <w:t xml:space="preserve"> a notice that approval is lapsed and all human </w:t>
            </w:r>
            <w:proofErr w:type="gramStart"/>
            <w:r>
              <w:t>subjects</w:t>
            </w:r>
            <w:proofErr w:type="gramEnd"/>
            <w:r>
              <w:t xml:space="preserve"> activities must cease except those activities meeting very specific criteria described in the </w:t>
            </w:r>
            <w:r w:rsidRPr="00F15A6C">
              <w:rPr>
                <w:b/>
              </w:rPr>
              <w:t xml:space="preserve">SOP </w:t>
            </w:r>
            <w:r w:rsidR="00CD60F9">
              <w:rPr>
                <w:b/>
              </w:rPr>
              <w:t>IRB Review</w:t>
            </w:r>
            <w:r>
              <w:t xml:space="preserve">. </w:t>
            </w:r>
          </w:p>
          <w:p w14:paraId="63671DF6" w14:textId="0A6B8678" w:rsidR="00B34330" w:rsidRPr="00B15769" w:rsidRDefault="00421187" w:rsidP="00B15769">
            <w:pPr>
              <w:pStyle w:val="NoSpacing"/>
              <w:spacing w:after="120"/>
            </w:pPr>
            <w:r>
              <w:t>If IRB approval i</w:t>
            </w:r>
            <w:r w:rsidR="001F607B">
              <w:t>s so close to expiration that continuing review cannot be completed before expiration</w:t>
            </w:r>
            <w:r>
              <w:t>, i</w:t>
            </w:r>
            <w:r w:rsidR="00FA2003">
              <w:t>nform the researcher that all research involving human subjects must stop upon expiration, except those activities</w:t>
            </w:r>
            <w:r w:rsidR="00C40E3D">
              <w:t xml:space="preserve"> that meet very specific criteria described in the </w:t>
            </w:r>
            <w:r w:rsidR="00C40E3D" w:rsidRPr="00F15A6C">
              <w:rPr>
                <w:b/>
                <w:bCs/>
              </w:rPr>
              <w:t xml:space="preserve">SOP </w:t>
            </w:r>
            <w:r w:rsidR="005C10AA">
              <w:rPr>
                <w:b/>
                <w:bCs/>
              </w:rPr>
              <w:t>IRB Review</w:t>
            </w:r>
            <w:r w:rsidR="00C40E3D">
              <w:t xml:space="preserve">. </w:t>
            </w:r>
            <w:r w:rsidR="00F0189B">
              <w:t xml:space="preserve">Make it a top priority to do the review. </w:t>
            </w:r>
            <w:r w:rsidR="00C40E3D">
              <w:rPr>
                <w:color w:val="000000" w:themeColor="text1"/>
              </w:rPr>
              <w:t xml:space="preserve"> </w:t>
            </w:r>
          </w:p>
        </w:tc>
      </w:tr>
      <w:tr w:rsidR="001F607B" w14:paraId="3CC87DD7" w14:textId="77777777" w:rsidTr="0045412C">
        <w:tc>
          <w:tcPr>
            <w:tcW w:w="10790" w:type="dxa"/>
          </w:tcPr>
          <w:p w14:paraId="679E3E4A" w14:textId="1FA7FA1D" w:rsidR="001F607B" w:rsidRDefault="00130B89" w:rsidP="00C27575">
            <w:pPr>
              <w:pStyle w:val="NoSpacing"/>
              <w:spacing w:before="120" w:after="60"/>
            </w:pPr>
            <w:r>
              <w:rPr>
                <w:b/>
              </w:rPr>
              <w:lastRenderedPageBreak/>
              <w:t xml:space="preserve">1.4 </w:t>
            </w:r>
            <w:r w:rsidR="001F607B" w:rsidRPr="00130B89">
              <w:rPr>
                <w:b/>
              </w:rPr>
              <w:t xml:space="preserve">Version of </w:t>
            </w:r>
            <w:r w:rsidR="00B34330" w:rsidRPr="00130B89">
              <w:rPr>
                <w:b/>
              </w:rPr>
              <w:t>Status Report form</w:t>
            </w:r>
            <w:r w:rsidR="001F607B">
              <w:t xml:space="preserve">. </w:t>
            </w:r>
            <w:r w:rsidR="003E1CFD">
              <w:t>T</w:t>
            </w:r>
            <w:r w:rsidR="00A96F06">
              <w:t xml:space="preserve">he most recent versions of the status report forms </w:t>
            </w:r>
            <w:r w:rsidR="003E1CFD">
              <w:t>should</w:t>
            </w:r>
            <w:r w:rsidR="00A96F06">
              <w:t xml:space="preserve"> be used</w:t>
            </w:r>
            <w:r w:rsidR="003E1CFD">
              <w:t xml:space="preserve"> however, </w:t>
            </w:r>
            <w:r w:rsidR="00A96F06">
              <w:t>HSD</w:t>
            </w:r>
            <w:r>
              <w:t xml:space="preserve"> </w:t>
            </w:r>
            <w:r w:rsidR="00A96F06">
              <w:t>staff may use their discretion to determine whether</w:t>
            </w:r>
            <w:r w:rsidR="00AE455A">
              <w:t xml:space="preserve"> </w:t>
            </w:r>
            <w:r w:rsidR="00997AFA">
              <w:t xml:space="preserve">the version </w:t>
            </w:r>
            <w:r w:rsidR="003E1CFD">
              <w:t>submitted</w:t>
            </w:r>
            <w:r w:rsidR="00997AFA">
              <w:t xml:space="preserve"> by the researcher provide</w:t>
            </w:r>
            <w:r w:rsidR="00AE455A">
              <w:t>s</w:t>
            </w:r>
            <w:r w:rsidR="00997AFA">
              <w:t xml:space="preserve"> adequate information for the continuing review of th</w:t>
            </w:r>
            <w:r w:rsidR="00206FD8">
              <w:t>e</w:t>
            </w:r>
            <w:r w:rsidR="00997AFA">
              <w:t xml:space="preserve"> study</w:t>
            </w:r>
            <w:r w:rsidR="00AE455A">
              <w:t>.</w:t>
            </w:r>
            <w:r w:rsidR="00997AFA">
              <w:t xml:space="preserve"> </w:t>
            </w:r>
          </w:p>
        </w:tc>
      </w:tr>
      <w:tr w:rsidR="008A5C74" w14:paraId="1D81CB61" w14:textId="77777777" w:rsidTr="0045412C">
        <w:tc>
          <w:tcPr>
            <w:tcW w:w="10790" w:type="dxa"/>
          </w:tcPr>
          <w:p w14:paraId="011F014E" w14:textId="4AACFF57" w:rsidR="008A5C74" w:rsidRPr="008172BF" w:rsidRDefault="00130B89" w:rsidP="008172BF">
            <w:pPr>
              <w:pStyle w:val="NoSpacing"/>
              <w:spacing w:before="120" w:after="120"/>
            </w:pPr>
            <w:r>
              <w:rPr>
                <w:b/>
              </w:rPr>
              <w:t xml:space="preserve">1.5 </w:t>
            </w:r>
            <w:r w:rsidR="008A5C74" w:rsidRPr="00177063">
              <w:rPr>
                <w:b/>
              </w:rPr>
              <w:t>Completeness of answers</w:t>
            </w:r>
            <w:r w:rsidR="008A5C74" w:rsidRPr="00177063">
              <w:t xml:space="preserve">. </w:t>
            </w:r>
            <w:r w:rsidR="00703746">
              <w:t>Verify that a</w:t>
            </w:r>
            <w:r w:rsidR="008A5C74" w:rsidRPr="00177063">
              <w:t xml:space="preserve">ll required questions have been answered. (Answers indicating “none” or “not applicable” are acceptable.) </w:t>
            </w:r>
            <w:r w:rsidR="00F272A6">
              <w:t>The pre-reviewer uses judgement to assess whether</w:t>
            </w:r>
            <w:r w:rsidR="00316418">
              <w:t xml:space="preserve"> t</w:t>
            </w:r>
            <w:r w:rsidR="008A5C74">
              <w:t>he</w:t>
            </w:r>
            <w:r w:rsidR="008A5C74" w:rsidRPr="00177063">
              <w:t xml:space="preserve"> answers provide sufficient information to fully understand the </w:t>
            </w:r>
            <w:r w:rsidR="008A5C74">
              <w:t xml:space="preserve">study </w:t>
            </w:r>
            <w:r w:rsidR="008A5C74" w:rsidRPr="00177063">
              <w:t>status and any new</w:t>
            </w:r>
            <w:r w:rsidR="008A5C74">
              <w:t xml:space="preserve"> information about risks, consenting, and the experience of the subjects.</w:t>
            </w:r>
          </w:p>
        </w:tc>
      </w:tr>
      <w:tr w:rsidR="008172BF" w14:paraId="3A7E83BE" w14:textId="77777777" w:rsidTr="008172BF">
        <w:tc>
          <w:tcPr>
            <w:tcW w:w="10790" w:type="dxa"/>
            <w:shd w:val="clear" w:color="auto" w:fill="EBEBFF"/>
          </w:tcPr>
          <w:p w14:paraId="2BFB59DF" w14:textId="77777777" w:rsidR="008172BF" w:rsidRDefault="008172BF" w:rsidP="008172BF">
            <w:pPr>
              <w:spacing w:before="120" w:after="120"/>
              <w:rPr>
                <w:color w:val="000000" w:themeColor="text1"/>
              </w:rPr>
            </w:pPr>
            <w:r w:rsidRPr="007345F2">
              <w:rPr>
                <w:b/>
                <w:color w:val="000000" w:themeColor="text1"/>
              </w:rPr>
              <w:t>+ Guidance</w:t>
            </w:r>
          </w:p>
          <w:p w14:paraId="05882A79" w14:textId="77777777" w:rsidR="008172BF" w:rsidRDefault="008172BF" w:rsidP="008172BF">
            <w:pPr>
              <w:pStyle w:val="NoSpacing"/>
              <w:spacing w:before="120" w:after="60"/>
              <w:rPr>
                <w:bCs/>
              </w:rPr>
            </w:pPr>
            <w:r>
              <w:rPr>
                <w:bCs/>
              </w:rPr>
              <w:t>Would the missing answers provide information relevant to the criteria for determinations and/or IRB approval?</w:t>
            </w:r>
          </w:p>
          <w:p w14:paraId="311CD75B" w14:textId="59AD9A18" w:rsidR="008172BF" w:rsidRPr="008172BF" w:rsidRDefault="008172BF" w:rsidP="008172BF">
            <w:pPr>
              <w:pStyle w:val="NoSpacing"/>
              <w:spacing w:after="120"/>
              <w:rPr>
                <w:bCs/>
              </w:rPr>
            </w:pPr>
            <w:r>
              <w:rPr>
                <w:bCs/>
              </w:rPr>
              <w:t>Will the next person looking at the application understand the status of the study at this point and understand what is being approved?</w:t>
            </w:r>
          </w:p>
        </w:tc>
      </w:tr>
      <w:tr w:rsidR="001F607B" w14:paraId="59310A75" w14:textId="77777777" w:rsidTr="0045412C">
        <w:tc>
          <w:tcPr>
            <w:tcW w:w="10790" w:type="dxa"/>
          </w:tcPr>
          <w:p w14:paraId="3B48107E" w14:textId="69CC7968" w:rsidR="001F607B" w:rsidRDefault="000F7EE7" w:rsidP="00AC2ADE">
            <w:pPr>
              <w:pStyle w:val="NoSpacing"/>
              <w:spacing w:before="120" w:after="60"/>
            </w:pPr>
            <w:r>
              <w:rPr>
                <w:b/>
              </w:rPr>
              <w:t xml:space="preserve">1.6 </w:t>
            </w:r>
            <w:r w:rsidR="001F607B" w:rsidRPr="00177063">
              <w:rPr>
                <w:b/>
              </w:rPr>
              <w:t>Completeness of materials</w:t>
            </w:r>
            <w:r w:rsidR="001F607B" w:rsidRPr="00177063">
              <w:t xml:space="preserve">. </w:t>
            </w:r>
            <w:r w:rsidR="00703746">
              <w:t>Verify that a</w:t>
            </w:r>
            <w:r w:rsidR="001F607B" w:rsidRPr="00177063">
              <w:t xml:space="preserve">ll required materials have been provided. </w:t>
            </w:r>
            <w:r w:rsidR="00175763" w:rsidRPr="00177063">
              <w:t>Obtain</w:t>
            </w:r>
            <w:r w:rsidR="00175763">
              <w:t xml:space="preserve"> missing items from the researcher.</w:t>
            </w:r>
          </w:p>
          <w:p w14:paraId="56AD80BF" w14:textId="09DEC650" w:rsidR="001F607B" w:rsidRDefault="00893E81" w:rsidP="00AC2ADE">
            <w:pPr>
              <w:pStyle w:val="NoSpacing"/>
              <w:spacing w:after="120"/>
            </w:pPr>
            <w:r>
              <w:t>Generally</w:t>
            </w:r>
            <w:r w:rsidR="00E43186">
              <w:t>,</w:t>
            </w:r>
            <w:r>
              <w:t xml:space="preserve"> this is just the status report</w:t>
            </w:r>
            <w:r w:rsidR="00E43186">
              <w:t>,</w:t>
            </w:r>
            <w:r>
              <w:t xml:space="preserve"> but other items may be provided. </w:t>
            </w:r>
            <w:r w:rsidR="00E048A4">
              <w:t xml:space="preserve">Some of those other items may be more appropriately submitted as an RNI including </w:t>
            </w:r>
            <w:r w:rsidR="00357D10">
              <w:t>data and safety monitoring</w:t>
            </w:r>
            <w:r w:rsidR="00E048A4">
              <w:t xml:space="preserve"> reports (see</w:t>
            </w:r>
            <w:r w:rsidR="00357D10">
              <w:t xml:space="preserve"> Section 2)</w:t>
            </w:r>
            <w:r w:rsidR="00E048A4">
              <w:t xml:space="preserve"> and any other materials that contain information </w:t>
            </w:r>
            <w:r w:rsidR="000F7EE7">
              <w:t xml:space="preserve">that </w:t>
            </w:r>
            <w:r w:rsidR="00E048A4">
              <w:t>meet</w:t>
            </w:r>
            <w:r w:rsidR="000F7EE7">
              <w:t>s</w:t>
            </w:r>
            <w:r w:rsidR="00E048A4">
              <w:t xml:space="preserve"> reporting requirements in</w:t>
            </w:r>
            <w:r w:rsidR="001B3AA2">
              <w:t xml:space="preserve"> the </w:t>
            </w:r>
            <w:hyperlink r:id="rId13" w:history="1">
              <w:r w:rsidR="001B3AA2" w:rsidRPr="001B3AA2">
                <w:rPr>
                  <w:rStyle w:val="Hyperlink"/>
                </w:rPr>
                <w:t>Reporting Table</w:t>
              </w:r>
            </w:hyperlink>
            <w:r w:rsidR="00E048A4">
              <w:t xml:space="preserve">. </w:t>
            </w:r>
          </w:p>
        </w:tc>
      </w:tr>
      <w:tr w:rsidR="001F607B" w14:paraId="4D8A35D6" w14:textId="77777777" w:rsidTr="0045412C">
        <w:tc>
          <w:tcPr>
            <w:tcW w:w="10790" w:type="dxa"/>
          </w:tcPr>
          <w:p w14:paraId="181DE295" w14:textId="645A6B96" w:rsidR="001F607B" w:rsidRDefault="00B15769" w:rsidP="009D30A2">
            <w:pPr>
              <w:pStyle w:val="NoSpacing"/>
              <w:spacing w:before="120" w:after="120"/>
            </w:pPr>
            <w:r>
              <w:rPr>
                <w:b/>
              </w:rPr>
              <w:t>1.</w:t>
            </w:r>
            <w:r w:rsidR="000F7EE7">
              <w:rPr>
                <w:b/>
              </w:rPr>
              <w:t xml:space="preserve">7 </w:t>
            </w:r>
            <w:r w:rsidR="001F607B" w:rsidRPr="00B15769">
              <w:rPr>
                <w:b/>
              </w:rPr>
              <w:t>Consistency of application</w:t>
            </w:r>
            <w:r w:rsidR="001F607B" w:rsidRPr="00177063">
              <w:t>. The information provided</w:t>
            </w:r>
            <w:r w:rsidR="001F607B">
              <w:t xml:space="preserve"> in the application is internally consistent across all parts of the application, and with information in the last Continuing Review. </w:t>
            </w:r>
          </w:p>
        </w:tc>
      </w:tr>
    </w:tbl>
    <w:p w14:paraId="251F763E" w14:textId="77777777" w:rsidR="00C560CF" w:rsidRDefault="00C560CF" w:rsidP="00C560CF">
      <w:pPr>
        <w:pStyle w:val="NoSpacing"/>
      </w:pPr>
    </w:p>
    <w:p w14:paraId="21AC255C" w14:textId="77777777" w:rsidR="00FA2003" w:rsidRPr="005325E5" w:rsidRDefault="00FA2003" w:rsidP="00703746">
      <w:pPr>
        <w:pStyle w:val="NoSpacing"/>
        <w:rPr>
          <w:b/>
          <w:sz w:val="28"/>
          <w:szCs w:val="28"/>
        </w:rPr>
      </w:pPr>
      <w:r w:rsidRPr="005325E5">
        <w:rPr>
          <w:b/>
          <w:sz w:val="28"/>
          <w:szCs w:val="28"/>
        </w:rPr>
        <w:t xml:space="preserve">Section 2:  </w:t>
      </w:r>
      <w:r w:rsidR="008A5C74" w:rsidRPr="005325E5">
        <w:rPr>
          <w:b/>
          <w:sz w:val="28"/>
          <w:szCs w:val="28"/>
        </w:rPr>
        <w:t>Issues to Clarify Before Review (as needed)</w:t>
      </w:r>
    </w:p>
    <w:p w14:paraId="093F6DB9" w14:textId="368D6077" w:rsidR="00CE5C21" w:rsidRPr="00801C2C" w:rsidRDefault="00FA2003" w:rsidP="00D30BD5">
      <w:pPr>
        <w:pStyle w:val="NoSpacing"/>
        <w:spacing w:after="120"/>
      </w:pPr>
      <w:r w:rsidRPr="00801C2C">
        <w:t>The purpose of th</w:t>
      </w:r>
      <w:r>
        <w:t>i</w:t>
      </w:r>
      <w:r w:rsidRPr="00801C2C">
        <w:t>s section is</w:t>
      </w:r>
      <w:r>
        <w:t xml:space="preserve"> to</w:t>
      </w:r>
      <w:r w:rsidR="00D7197E">
        <w:t xml:space="preserve"> </w:t>
      </w:r>
      <w:r w:rsidR="008A5C74">
        <w:t>address issues that should be clarified (i.e., additional information obtain</w:t>
      </w:r>
      <w:r w:rsidR="002B2B0B">
        <w:t>ed</w:t>
      </w:r>
      <w:r w:rsidR="008A5C74">
        <w:t xml:space="preserve">) before the review is conducted.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133C2" w14:paraId="69C272CC" w14:textId="77777777" w:rsidTr="00AC2ADE">
        <w:tc>
          <w:tcPr>
            <w:tcW w:w="10790" w:type="dxa"/>
          </w:tcPr>
          <w:p w14:paraId="7688661E" w14:textId="5F2A4E8A" w:rsidR="00C133C2" w:rsidRPr="002D5400" w:rsidRDefault="00C133C2" w:rsidP="00292C62">
            <w:pPr>
              <w:pStyle w:val="NoSpacing"/>
              <w:spacing w:before="120" w:after="120"/>
            </w:pPr>
            <w:r>
              <w:rPr>
                <w:b/>
              </w:rPr>
              <w:t xml:space="preserve">2.1 Delayed Onset Human Research (DOHR). </w:t>
            </w:r>
            <w:r>
              <w:rPr>
                <w:bCs/>
              </w:rPr>
              <w:t>When reviewing a request for renewal of DOHR status, the TOL or</w:t>
            </w:r>
            <w:r w:rsidR="008B6FFB">
              <w:rPr>
                <w:bCs/>
              </w:rPr>
              <w:t xml:space="preserve"> a</w:t>
            </w:r>
            <w:r>
              <w:rPr>
                <w:bCs/>
              </w:rPr>
              <w:t xml:space="preserve"> Sr. Administrator should refer to the webpage </w:t>
            </w:r>
            <w:r w:rsidR="00932A3D">
              <w:rPr>
                <w:b/>
              </w:rPr>
              <w:t>GUIDANCE</w:t>
            </w:r>
            <w:r>
              <w:rPr>
                <w:b/>
              </w:rPr>
              <w:t xml:space="preserve"> Delayed Onset Human Research</w:t>
            </w:r>
            <w:r>
              <w:t xml:space="preserve">, the researcher instructions in the </w:t>
            </w:r>
            <w:r>
              <w:rPr>
                <w:b/>
                <w:bCs/>
              </w:rPr>
              <w:t>APPLICATION Determination, Delayed Onset Human Research</w:t>
            </w:r>
            <w:r>
              <w:t xml:space="preserve">, and </w:t>
            </w:r>
            <w:r>
              <w:rPr>
                <w:b/>
                <w:bCs/>
              </w:rPr>
              <w:t>INSTRUCTIONS Zipline for Staff</w:t>
            </w:r>
            <w:r>
              <w:t xml:space="preserve">. </w:t>
            </w:r>
          </w:p>
        </w:tc>
      </w:tr>
      <w:tr w:rsidR="00C133C2" w14:paraId="7B4B8351" w14:textId="77777777" w:rsidTr="002D5400">
        <w:tc>
          <w:tcPr>
            <w:tcW w:w="10790" w:type="dxa"/>
            <w:shd w:val="clear" w:color="auto" w:fill="EBEBFF"/>
          </w:tcPr>
          <w:p w14:paraId="4E8B8EF3" w14:textId="77777777" w:rsidR="00C133C2" w:rsidRDefault="00C133C2" w:rsidP="00C133C2">
            <w:pPr>
              <w:spacing w:before="120" w:after="120"/>
              <w:rPr>
                <w:color w:val="000000" w:themeColor="text1"/>
              </w:rPr>
            </w:pPr>
            <w:r w:rsidRPr="007345F2">
              <w:rPr>
                <w:b/>
                <w:color w:val="000000" w:themeColor="text1"/>
              </w:rPr>
              <w:t>+ Guidance</w:t>
            </w:r>
          </w:p>
          <w:p w14:paraId="768F5857" w14:textId="310F037D" w:rsidR="00C133C2" w:rsidRDefault="00C133C2" w:rsidP="00AC2ADE">
            <w:pPr>
              <w:pStyle w:val="NoSpacing"/>
              <w:spacing w:before="120" w:after="60"/>
              <w:rPr>
                <w:bCs/>
              </w:rPr>
            </w:pPr>
            <w:r>
              <w:rPr>
                <w:bCs/>
              </w:rPr>
              <w:t xml:space="preserve">TOLs are responsible for tracking </w:t>
            </w:r>
            <w:r w:rsidR="00B40EC1">
              <w:rPr>
                <w:bCs/>
              </w:rPr>
              <w:t xml:space="preserve">expired </w:t>
            </w:r>
            <w:r>
              <w:rPr>
                <w:bCs/>
              </w:rPr>
              <w:t xml:space="preserve">DOHR determinations using </w:t>
            </w:r>
            <w:r w:rsidR="00B40EC1">
              <w:rPr>
                <w:bCs/>
              </w:rPr>
              <w:t>the lapsed study report</w:t>
            </w:r>
            <w:r>
              <w:rPr>
                <w:bCs/>
              </w:rPr>
              <w:t xml:space="preserve"> delivered to their email. </w:t>
            </w:r>
            <w:r w:rsidR="004F5BBB">
              <w:rPr>
                <w:bCs/>
              </w:rPr>
              <w:t>T</w:t>
            </w:r>
            <w:r>
              <w:rPr>
                <w:bCs/>
              </w:rPr>
              <w:t xml:space="preserve">he TOL or Sr. Administrator uses the </w:t>
            </w:r>
            <w:r>
              <w:rPr>
                <w:b/>
              </w:rPr>
              <w:t>Add Comment</w:t>
            </w:r>
            <w:r>
              <w:rPr>
                <w:bCs/>
              </w:rPr>
              <w:t xml:space="preserve"> activity</w:t>
            </w:r>
            <w:r w:rsidR="00936747">
              <w:rPr>
                <w:bCs/>
              </w:rPr>
              <w:t xml:space="preserve"> or an email</w:t>
            </w:r>
            <w:r>
              <w:rPr>
                <w:bCs/>
              </w:rPr>
              <w:t xml:space="preserve"> to provide the following notice (or something similar):</w:t>
            </w:r>
          </w:p>
          <w:p w14:paraId="065162E4" w14:textId="0C51FD30" w:rsidR="00C133C2" w:rsidRPr="002D5400" w:rsidRDefault="00C133C2" w:rsidP="002D5400">
            <w:pPr>
              <w:pStyle w:val="NoSpacing"/>
              <w:spacing w:after="120"/>
              <w:ind w:left="720"/>
              <w:rPr>
                <w:bCs/>
              </w:rPr>
            </w:pPr>
            <w:r>
              <w:rPr>
                <w:bCs/>
              </w:rPr>
              <w:t>DOHR status for this project expire</w:t>
            </w:r>
            <w:r w:rsidR="00720162">
              <w:rPr>
                <w:bCs/>
              </w:rPr>
              <w:t>d</w:t>
            </w:r>
            <w:r>
              <w:rPr>
                <w:bCs/>
              </w:rPr>
              <w:t xml:space="preserve"> on XX/XX/XXXX. If DOHR status is no longer required because you have obtained IRB approval or an exempt determination for this project, please confirm that is the case using the </w:t>
            </w:r>
            <w:r>
              <w:rPr>
                <w:b/>
              </w:rPr>
              <w:t xml:space="preserve">Add Comment </w:t>
            </w:r>
            <w:r>
              <w:rPr>
                <w:bCs/>
              </w:rPr>
              <w:t xml:space="preserve">activity and HSD will administratively close this application. If the Sponsor requires renewal of DOHR status for continued access to funding, use the Instructions in the </w:t>
            </w:r>
            <w:r>
              <w:rPr>
                <w:b/>
              </w:rPr>
              <w:t xml:space="preserve">APPLICATION Determination, </w:t>
            </w:r>
            <w:r>
              <w:rPr>
                <w:b/>
              </w:rPr>
              <w:lastRenderedPageBreak/>
              <w:t xml:space="preserve">Delayed Onset Human Research </w:t>
            </w:r>
            <w:r>
              <w:rPr>
                <w:bCs/>
              </w:rPr>
              <w:t>to submit a renewal request.</w:t>
            </w:r>
            <w:r w:rsidR="00B21BC6">
              <w:rPr>
                <w:bCs/>
              </w:rPr>
              <w:t xml:space="preserve"> If a renewal request or response to this </w:t>
            </w:r>
            <w:r w:rsidR="002F28B5">
              <w:rPr>
                <w:bCs/>
              </w:rPr>
              <w:t>comment</w:t>
            </w:r>
            <w:r w:rsidR="00F96AED">
              <w:rPr>
                <w:bCs/>
              </w:rPr>
              <w:t xml:space="preserve"> (or </w:t>
            </w:r>
            <w:r w:rsidR="00B21BC6">
              <w:rPr>
                <w:bCs/>
              </w:rPr>
              <w:t>email</w:t>
            </w:r>
            <w:r w:rsidR="002F28B5">
              <w:rPr>
                <w:bCs/>
              </w:rPr>
              <w:t>)</w:t>
            </w:r>
            <w:r w:rsidR="00B21BC6">
              <w:rPr>
                <w:bCs/>
              </w:rPr>
              <w:t xml:space="preserve"> is not received within 30 days (by DATE), </w:t>
            </w:r>
            <w:r w:rsidR="002F28B5">
              <w:rPr>
                <w:bCs/>
              </w:rPr>
              <w:t>we will administratively close this application.</w:t>
            </w:r>
          </w:p>
        </w:tc>
      </w:tr>
      <w:tr w:rsidR="008A5C74" w14:paraId="5CFEEA0D" w14:textId="77777777" w:rsidTr="00AC2ADE">
        <w:tc>
          <w:tcPr>
            <w:tcW w:w="10790" w:type="dxa"/>
          </w:tcPr>
          <w:p w14:paraId="7C238635" w14:textId="1A4C688C" w:rsidR="00967354" w:rsidRPr="004E10EB" w:rsidRDefault="008A5C74" w:rsidP="00AC2ADE">
            <w:pPr>
              <w:pStyle w:val="NoSpacing"/>
              <w:spacing w:before="120" w:after="60"/>
              <w:rPr>
                <w:i/>
                <w:color w:val="AA0000"/>
              </w:rPr>
            </w:pPr>
            <w:r>
              <w:rPr>
                <w:b/>
              </w:rPr>
              <w:lastRenderedPageBreak/>
              <w:t>2.</w:t>
            </w:r>
            <w:r w:rsidR="00A03A0B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115298">
              <w:rPr>
                <w:b/>
              </w:rPr>
              <w:t>Data and Safety Monitoring</w:t>
            </w:r>
            <w:r w:rsidRPr="00115298">
              <w:t xml:space="preserve">. </w:t>
            </w:r>
            <w:r w:rsidR="00F27E54" w:rsidRPr="004E10EB">
              <w:rPr>
                <w:i/>
                <w:color w:val="AA0000"/>
              </w:rPr>
              <w:t>Assess this even if the study is eligible for closure</w:t>
            </w:r>
            <w:r w:rsidR="00F27E54" w:rsidRPr="004E10EB">
              <w:rPr>
                <w:color w:val="AA0000"/>
              </w:rPr>
              <w:t>.</w:t>
            </w:r>
            <w:r w:rsidR="00F27E54" w:rsidRPr="004E10EB">
              <w:rPr>
                <w:i/>
                <w:color w:val="AA0000"/>
              </w:rPr>
              <w:t xml:space="preserve"> </w:t>
            </w:r>
          </w:p>
          <w:p w14:paraId="4994A149" w14:textId="2D539C8C" w:rsidR="008A5C74" w:rsidRDefault="008A5C74" w:rsidP="008172BF">
            <w:pPr>
              <w:pStyle w:val="NoSpacing"/>
              <w:spacing w:after="60"/>
            </w:pPr>
            <w:r w:rsidRPr="00115298">
              <w:t>If the study has external monitoring (as described in a Data and Safety Monitoring Plan), identify whether any monitoring reports</w:t>
            </w:r>
            <w:r>
              <w:t xml:space="preserve"> have been submitted to HSD during the current approval period. </w:t>
            </w:r>
          </w:p>
          <w:p w14:paraId="15258EE1" w14:textId="2F3CD5E7" w:rsidR="00F27E54" w:rsidRDefault="006A6092" w:rsidP="00F27E54">
            <w:pPr>
              <w:pStyle w:val="ListParagraph"/>
              <w:numPr>
                <w:ilvl w:val="0"/>
                <w:numId w:val="34"/>
              </w:numPr>
            </w:pPr>
            <w:r>
              <w:t>A description of e</w:t>
            </w:r>
            <w:r w:rsidR="00F27E54" w:rsidRPr="00F27E54">
              <w:t xml:space="preserve">xternal monitoring </w:t>
            </w:r>
            <w:r>
              <w:t>is most likely to be found</w:t>
            </w:r>
            <w:r w:rsidR="00F27E54" w:rsidRPr="00F27E54">
              <w:t xml:space="preserve"> in the DSMP question in the IRB Protocol, in a Study Protocol, and/or in a stand-alone monitoring plan. </w:t>
            </w:r>
          </w:p>
          <w:p w14:paraId="7FDA97A4" w14:textId="32F62C79" w:rsidR="006A6092" w:rsidRPr="00F27E54" w:rsidRDefault="006A6092" w:rsidP="00F27E54">
            <w:pPr>
              <w:pStyle w:val="ListParagraph"/>
              <w:numPr>
                <w:ilvl w:val="0"/>
                <w:numId w:val="34"/>
              </w:numPr>
            </w:pPr>
            <w:r>
              <w:t xml:space="preserve">If there is monitoring, check previous RNI submissions for the study to determine whether a report has been submitted according to the reporting schedule described in the DSMP. </w:t>
            </w:r>
          </w:p>
          <w:p w14:paraId="57B8D325" w14:textId="61C47188" w:rsidR="006D57BE" w:rsidRDefault="008A5C74" w:rsidP="006D57BE">
            <w:pPr>
              <w:pStyle w:val="NoSpacing"/>
              <w:numPr>
                <w:ilvl w:val="0"/>
                <w:numId w:val="34"/>
              </w:numPr>
            </w:pPr>
            <w:r w:rsidRPr="003621DD">
              <w:rPr>
                <w:i/>
                <w:iCs/>
              </w:rPr>
              <w:t>If there is monitoring and a report for the current period has not been submitted</w:t>
            </w:r>
            <w:r w:rsidR="006A6092">
              <w:t>,</w:t>
            </w:r>
            <w:r>
              <w:t xml:space="preserve"> </w:t>
            </w:r>
            <w:r w:rsidR="006A6092">
              <w:t>a</w:t>
            </w:r>
            <w:r>
              <w:t>sk the research to confirm that no reports have been issued or to provide a copy of issued reports</w:t>
            </w:r>
            <w:r w:rsidR="004A75D4">
              <w:t xml:space="preserve"> as an RNI submission</w:t>
            </w:r>
            <w:r>
              <w:t xml:space="preserve">. </w:t>
            </w:r>
            <w:r w:rsidR="007142DC">
              <w:t xml:space="preserve">Contact </w:t>
            </w:r>
            <w:hyperlink r:id="rId14" w:history="1">
              <w:r w:rsidR="007142DC" w:rsidRPr="00BA5849">
                <w:rPr>
                  <w:rStyle w:val="Hyperlink"/>
                </w:rPr>
                <w:t>hsdreprt@uw.edu</w:t>
              </w:r>
            </w:hyperlink>
            <w:r w:rsidR="007142DC">
              <w:t xml:space="preserve"> to inform them of the situation so the</w:t>
            </w:r>
            <w:r w:rsidR="00BF73B0">
              <w:t xml:space="preserve"> Regulatory Affairs Team</w:t>
            </w:r>
            <w:r w:rsidR="007142DC">
              <w:t xml:space="preserve"> can assess the matter for researcher noncompliance. The continuing review should not be approved until the pre-reviewer confirms the RNI has been submitted. </w:t>
            </w:r>
          </w:p>
          <w:p w14:paraId="17D4E26B" w14:textId="0DCCEC80" w:rsidR="008A5C74" w:rsidRPr="00EF699A" w:rsidRDefault="008A5C74" w:rsidP="00EF699A">
            <w:pPr>
              <w:pStyle w:val="NoSpacing"/>
              <w:numPr>
                <w:ilvl w:val="0"/>
                <w:numId w:val="34"/>
              </w:numPr>
              <w:spacing w:after="120"/>
            </w:pPr>
            <w:r>
              <w:t xml:space="preserve">When </w:t>
            </w:r>
            <w:r w:rsidR="006A6092">
              <w:t>reviewing a</w:t>
            </w:r>
            <w:r>
              <w:t xml:space="preserve"> report i</w:t>
            </w:r>
            <w:r w:rsidR="006A6092">
              <w:t>n conjunction with a continuing review</w:t>
            </w:r>
            <w:r>
              <w:t xml:space="preserve">, consider whether it affects the appropriateness of expedited review for the application or the appropriateness of closing the study (if requested by the researcher). </w:t>
            </w:r>
          </w:p>
        </w:tc>
      </w:tr>
      <w:tr w:rsidR="008A5C74" w14:paraId="6DB4B1C4" w14:textId="77777777" w:rsidTr="00AC2ADE">
        <w:tc>
          <w:tcPr>
            <w:tcW w:w="10790" w:type="dxa"/>
          </w:tcPr>
          <w:p w14:paraId="4C78E6DF" w14:textId="00538DB8" w:rsidR="008A5C74" w:rsidRPr="004E10EB" w:rsidRDefault="008A5C74" w:rsidP="00A019C6">
            <w:pPr>
              <w:pStyle w:val="NoSpacing"/>
              <w:spacing w:before="120" w:after="60"/>
              <w:rPr>
                <w:color w:val="AA0000"/>
              </w:rPr>
            </w:pPr>
            <w:r>
              <w:rPr>
                <w:b/>
              </w:rPr>
              <w:t>2.</w:t>
            </w:r>
            <w:r w:rsidR="00A03A0B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93165D">
              <w:rPr>
                <w:b/>
              </w:rPr>
              <w:t>New information</w:t>
            </w:r>
            <w:r>
              <w:t xml:space="preserve">. </w:t>
            </w:r>
            <w:r w:rsidR="00AC2ADA" w:rsidRPr="004E10EB">
              <w:rPr>
                <w:i/>
                <w:color w:val="AA0000"/>
              </w:rPr>
              <w:t>Assess this even if the study is eligible for closure.</w:t>
            </w:r>
            <w:r w:rsidR="00AC2ADA" w:rsidRPr="004E10EB">
              <w:rPr>
                <w:color w:val="AA0000"/>
              </w:rPr>
              <w:t xml:space="preserve"> </w:t>
            </w:r>
          </w:p>
          <w:p w14:paraId="4F2586E4" w14:textId="4F491041" w:rsidR="008A5C74" w:rsidRDefault="008A5C74" w:rsidP="009D30A2">
            <w:pPr>
              <w:pStyle w:val="NoSpacing"/>
              <w:spacing w:after="120"/>
              <w:rPr>
                <w:b/>
              </w:rPr>
            </w:pPr>
            <w:r>
              <w:t>I</w:t>
            </w:r>
            <w:r w:rsidR="00F27E54">
              <w:t>f</w:t>
            </w:r>
            <w:r>
              <w:t xml:space="preserve"> there </w:t>
            </w:r>
            <w:r w:rsidR="00F27E54">
              <w:t xml:space="preserve">is </w:t>
            </w:r>
            <w:r>
              <w:t xml:space="preserve">new information in the Continuing Review application that suggests an </w:t>
            </w:r>
            <w:r w:rsidRPr="00AC2ADE">
              <w:rPr>
                <w:b/>
              </w:rPr>
              <w:t>increased risk, decreased benefits, or that the study may no longer meet the applicable criteria for approval</w:t>
            </w:r>
            <w:r w:rsidR="005325E5">
              <w:rPr>
                <w:b/>
              </w:rPr>
              <w:t>, or that alters prior determinations,</w:t>
            </w:r>
            <w:r w:rsidR="00F27E54">
              <w:t xml:space="preserve"> o</w:t>
            </w:r>
            <w:r>
              <w:t>btain more information, as necessary, from the researcher</w:t>
            </w:r>
            <w:r w:rsidRPr="00967354">
              <w:t>. Consult with</w:t>
            </w:r>
            <w:r w:rsidR="005325E5">
              <w:t xml:space="preserve"> a TOL</w:t>
            </w:r>
            <w:r w:rsidR="008B6FFB">
              <w:t>/SRA,</w:t>
            </w:r>
            <w:r w:rsidRPr="00967354">
              <w:t xml:space="preserve"> the Regulatory Affairs </w:t>
            </w:r>
            <w:r w:rsidR="00967354" w:rsidRPr="00967354">
              <w:t>T</w:t>
            </w:r>
            <w:r w:rsidRPr="00967354">
              <w:t>eam</w:t>
            </w:r>
            <w:r w:rsidR="005325E5">
              <w:t xml:space="preserve">, or </w:t>
            </w:r>
            <w:r w:rsidR="008B6FFB">
              <w:t xml:space="preserve">a member of </w:t>
            </w:r>
            <w:r w:rsidR="005325E5">
              <w:t xml:space="preserve">HSD </w:t>
            </w:r>
            <w:r w:rsidR="008B6FFB">
              <w:t>Leadership</w:t>
            </w:r>
            <w:r>
              <w:t xml:space="preserve"> about the possibility that the new information indicates noncompliance or an unanticipated problem </w:t>
            </w:r>
            <w:r w:rsidR="00F27E54">
              <w:t>that</w:t>
            </w:r>
            <w:r>
              <w:t xml:space="preserve"> the researcher needs to </w:t>
            </w:r>
            <w:r w:rsidR="00F27E54">
              <w:t>report</w:t>
            </w:r>
            <w:r>
              <w:t>.</w:t>
            </w:r>
            <w:r w:rsidR="00F27E54">
              <w:t xml:space="preserve"> (See </w:t>
            </w:r>
            <w:hyperlink r:id="rId15" w:history="1">
              <w:r w:rsidR="00F27E54" w:rsidRPr="00F27E54">
                <w:rPr>
                  <w:rStyle w:val="Hyperlink"/>
                </w:rPr>
                <w:t>Reporting Table</w:t>
              </w:r>
            </w:hyperlink>
            <w:r w:rsidR="00F27E54">
              <w:t>)</w:t>
            </w:r>
          </w:p>
        </w:tc>
      </w:tr>
      <w:tr w:rsidR="006F6315" w14:paraId="46C9907B" w14:textId="77777777" w:rsidTr="00AC2ADE">
        <w:tc>
          <w:tcPr>
            <w:tcW w:w="10790" w:type="dxa"/>
          </w:tcPr>
          <w:p w14:paraId="723CC7B9" w14:textId="20706A91" w:rsidR="00A5772F" w:rsidRDefault="006F6315" w:rsidP="00A019C6">
            <w:pPr>
              <w:pStyle w:val="NoSpacing"/>
              <w:spacing w:before="120" w:after="60"/>
              <w:rPr>
                <w:i/>
              </w:rPr>
            </w:pPr>
            <w:r>
              <w:rPr>
                <w:b/>
              </w:rPr>
              <w:t>2.</w:t>
            </w:r>
            <w:r w:rsidR="00A03A0B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DB5B98">
              <w:rPr>
                <w:b/>
              </w:rPr>
              <w:t>Subject numbers</w:t>
            </w:r>
            <w:r>
              <w:t xml:space="preserve">. </w:t>
            </w:r>
            <w:r w:rsidR="00A5772F" w:rsidRPr="004362F7">
              <w:rPr>
                <w:i/>
              </w:rPr>
              <w:t>This applies only to studies involving more than minimal risk or studies where the IRB approved a specific number of subjects before continuing review instead of a fixed approval period</w:t>
            </w:r>
            <w:r w:rsidR="00A5772F">
              <w:rPr>
                <w:i/>
              </w:rPr>
              <w:t xml:space="preserve">. </w:t>
            </w:r>
          </w:p>
          <w:p w14:paraId="0E328380" w14:textId="5BC039F6" w:rsidR="006F6315" w:rsidRPr="004362F7" w:rsidRDefault="006F6315" w:rsidP="00A019C6">
            <w:pPr>
              <w:pStyle w:val="NoSpacing"/>
              <w:spacing w:after="60"/>
              <w:rPr>
                <w:i/>
              </w:rPr>
            </w:pPr>
            <w:r>
              <w:t>Identify whether over-enrollment has occurred or is likely to occur during the coming year.</w:t>
            </w:r>
            <w:r w:rsidR="00930DA0">
              <w:t xml:space="preserve"> </w:t>
            </w:r>
          </w:p>
          <w:p w14:paraId="077740C3" w14:textId="27A60515" w:rsidR="006F6315" w:rsidRDefault="006F6315" w:rsidP="008F292D">
            <w:pPr>
              <w:pStyle w:val="NoSpacing"/>
              <w:numPr>
                <w:ilvl w:val="0"/>
                <w:numId w:val="35"/>
              </w:numPr>
            </w:pPr>
            <w:r w:rsidRPr="008F292D">
              <w:t>If over-enrollment is likely during the coming year</w:t>
            </w:r>
            <w:r w:rsidR="00930DA0">
              <w:t>, b</w:t>
            </w:r>
            <w:r>
              <w:t>ring this to the attention of the researcher</w:t>
            </w:r>
            <w:r w:rsidR="00930DA0">
              <w:t xml:space="preserve"> and include it in </w:t>
            </w:r>
            <w:r>
              <w:t xml:space="preserve">the Pre-Review Note. </w:t>
            </w:r>
          </w:p>
          <w:p w14:paraId="5B64D844" w14:textId="057ABBC0" w:rsidR="00930DA0" w:rsidRPr="00A019C6" w:rsidRDefault="006F6315" w:rsidP="009D30A2">
            <w:pPr>
              <w:pStyle w:val="NoSpacing"/>
              <w:numPr>
                <w:ilvl w:val="0"/>
                <w:numId w:val="35"/>
              </w:numPr>
              <w:spacing w:after="120"/>
              <w:rPr>
                <w:b/>
              </w:rPr>
            </w:pPr>
            <w:r w:rsidRPr="008F292D">
              <w:t>If over-enrollment has occurred</w:t>
            </w:r>
            <w:r w:rsidR="00930DA0">
              <w:t>,</w:t>
            </w:r>
            <w:r>
              <w:t xml:space="preserve"> </w:t>
            </w:r>
            <w:r w:rsidR="00930DA0">
              <w:t>i</w:t>
            </w:r>
            <w:r>
              <w:t>nform the Regulatory Affairs team</w:t>
            </w:r>
            <w:r w:rsidR="00930DA0">
              <w:t>.</w:t>
            </w:r>
            <w:r>
              <w:t xml:space="preserve"> The RA team will provide you guidance on how this may (or may not) intersect with the continuing review. </w:t>
            </w:r>
          </w:p>
        </w:tc>
      </w:tr>
      <w:tr w:rsidR="006F6315" w14:paraId="79DA1E96" w14:textId="77777777" w:rsidTr="00AC2ADE">
        <w:tc>
          <w:tcPr>
            <w:tcW w:w="10790" w:type="dxa"/>
          </w:tcPr>
          <w:p w14:paraId="3D5B7D13" w14:textId="588108CA" w:rsidR="006F6315" w:rsidRPr="00D45A24" w:rsidRDefault="00180B3F" w:rsidP="00D45A24">
            <w:pPr>
              <w:pStyle w:val="NoSpacing"/>
              <w:spacing w:before="120" w:after="120"/>
            </w:pPr>
            <w:r>
              <w:rPr>
                <w:b/>
              </w:rPr>
              <w:t>2.</w:t>
            </w:r>
            <w:r w:rsidR="00A03A0B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B72BE5">
              <w:rPr>
                <w:b/>
              </w:rPr>
              <w:t>Funding</w:t>
            </w:r>
            <w:r>
              <w:t xml:space="preserve">. </w:t>
            </w:r>
            <w:r w:rsidR="005551E3">
              <w:t xml:space="preserve">Compare the funding listed in the main study space in Zipline with what is listed in the Status Report Form. </w:t>
            </w:r>
            <w:r w:rsidR="00930DA0">
              <w:t>If a</w:t>
            </w:r>
            <w:r>
              <w:t xml:space="preserve"> funding</w:t>
            </w:r>
            <w:r w:rsidR="00D66B17">
              <w:t xml:space="preserve"> source</w:t>
            </w:r>
            <w:r>
              <w:t xml:space="preserve"> is listed </w:t>
            </w:r>
            <w:r w:rsidR="005551E3">
              <w:t xml:space="preserve">in the Status Report Form </w:t>
            </w:r>
            <w:r>
              <w:t xml:space="preserve">that has not already been approved </w:t>
            </w:r>
            <w:r w:rsidR="00D66B17">
              <w:t>by</w:t>
            </w:r>
            <w:r>
              <w:t xml:space="preserve"> the IRB</w:t>
            </w:r>
            <w:r w:rsidR="00930DA0">
              <w:t xml:space="preserve">, ask the researcher to submit a </w:t>
            </w:r>
            <w:r w:rsidR="00703746">
              <w:t>m</w:t>
            </w:r>
            <w:r w:rsidR="00930DA0">
              <w:t xml:space="preserve">odification to add the funding to the study. </w:t>
            </w:r>
            <w:r w:rsidR="00074F8A">
              <w:t xml:space="preserve">If a funding source has expired, ask the researcher to submit a modification to remove the funding. </w:t>
            </w:r>
            <w:r w:rsidR="00930DA0">
              <w:t>This does not delay the continuing review or its approval.</w:t>
            </w:r>
            <w:r>
              <w:t xml:space="preserve"> </w:t>
            </w:r>
          </w:p>
        </w:tc>
      </w:tr>
      <w:tr w:rsidR="00180B3F" w14:paraId="7BDD3BFF" w14:textId="77777777" w:rsidTr="00AC2ADE">
        <w:tc>
          <w:tcPr>
            <w:tcW w:w="10790" w:type="dxa"/>
          </w:tcPr>
          <w:p w14:paraId="4E610A84" w14:textId="222588EE" w:rsidR="00180B3F" w:rsidRDefault="00180B3F" w:rsidP="00D45A24">
            <w:pPr>
              <w:pStyle w:val="NoSpacing"/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  <w:r w:rsidR="00A03A0B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425D1F">
              <w:rPr>
                <w:b/>
              </w:rPr>
              <w:t>Financial Conflict of Interest</w:t>
            </w:r>
            <w:r w:rsidRPr="00425D1F">
              <w:t xml:space="preserve">. </w:t>
            </w:r>
            <w:r w:rsidR="008C49B5">
              <w:t xml:space="preserve">If there is a </w:t>
            </w:r>
            <w:r w:rsidRPr="00425D1F">
              <w:t>new</w:t>
            </w:r>
            <w:r>
              <w:t xml:space="preserve"> Financial Conflict of Interest (FCOI), a </w:t>
            </w:r>
            <w:proofErr w:type="gramStart"/>
            <w:r>
              <w:t>Management</w:t>
            </w:r>
            <w:proofErr w:type="gramEnd"/>
            <w:r>
              <w:t xml:space="preserve"> letter </w:t>
            </w:r>
            <w:r w:rsidR="008C49B5">
              <w:t xml:space="preserve">must </w:t>
            </w:r>
            <w:r>
              <w:t xml:space="preserve">be provided </w:t>
            </w:r>
            <w:r w:rsidR="008C49B5">
              <w:t>and reviewed by the IRB with the Status Report before approval can be granted.</w:t>
            </w:r>
            <w:r>
              <w:t xml:space="preserve"> </w:t>
            </w:r>
            <w:r w:rsidRPr="00DB5B98">
              <w:rPr>
                <w:i/>
              </w:rPr>
              <w:t xml:space="preserve"> </w:t>
            </w:r>
          </w:p>
        </w:tc>
      </w:tr>
    </w:tbl>
    <w:p w14:paraId="4C917F3D" w14:textId="77777777" w:rsidR="005C0CBF" w:rsidRPr="005C0CBF" w:rsidRDefault="005C0CBF" w:rsidP="005C0CBF">
      <w:pPr>
        <w:pStyle w:val="NoSpacing"/>
      </w:pPr>
    </w:p>
    <w:p w14:paraId="7E4AFF5A" w14:textId="77777777" w:rsidR="00FA2003" w:rsidRDefault="00FA2003" w:rsidP="00FA2003">
      <w:pPr>
        <w:pStyle w:val="NoSpacing"/>
        <w:rPr>
          <w:b/>
          <w:sz w:val="28"/>
        </w:rPr>
      </w:pPr>
      <w:r w:rsidRPr="00FF6336">
        <w:rPr>
          <w:b/>
          <w:sz w:val="28"/>
        </w:rPr>
        <w:t>Section 3:</w:t>
      </w:r>
      <w:r w:rsidR="00180B3F">
        <w:rPr>
          <w:b/>
          <w:sz w:val="28"/>
        </w:rPr>
        <w:t xml:space="preserve">  Regulatory and Compliance Issues Affecting the Review</w:t>
      </w:r>
    </w:p>
    <w:p w14:paraId="29787672" w14:textId="1E63DA55" w:rsidR="00180B3F" w:rsidRDefault="00FA2003" w:rsidP="00D30BD5">
      <w:pPr>
        <w:pStyle w:val="NoSpacing"/>
        <w:spacing w:after="120"/>
      </w:pPr>
      <w:r>
        <w:t>The purpose of this section is to</w:t>
      </w:r>
      <w:r w:rsidR="002B2B0B">
        <w:t xml:space="preserve"> identify the regulatory and compliance issues that influence the nature of the review and what conditions must be fulfilled </w:t>
      </w:r>
      <w:proofErr w:type="gramStart"/>
      <w:r w:rsidR="002B2B0B">
        <w:t>in order to</w:t>
      </w:r>
      <w:proofErr w:type="gramEnd"/>
      <w:r w:rsidR="002B2B0B">
        <w:t xml:space="preserve"> obtain approval.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80B3F" w14:paraId="07D2B982" w14:textId="77777777" w:rsidTr="00D45A24">
        <w:tc>
          <w:tcPr>
            <w:tcW w:w="10790" w:type="dxa"/>
          </w:tcPr>
          <w:p w14:paraId="6C1DCB12" w14:textId="1502E735" w:rsidR="00180B3F" w:rsidRDefault="00180B3F" w:rsidP="00D45A24">
            <w:pPr>
              <w:pStyle w:val="NoSpacing"/>
              <w:spacing w:before="120" w:after="60"/>
            </w:pPr>
            <w:r>
              <w:rPr>
                <w:b/>
              </w:rPr>
              <w:lastRenderedPageBreak/>
              <w:t>3.1</w:t>
            </w:r>
            <w:r w:rsidRPr="00BC75FB">
              <w:rPr>
                <w:b/>
              </w:rPr>
              <w:t xml:space="preserve"> Applicable regulations. </w:t>
            </w:r>
            <w:r w:rsidRPr="00BC75FB">
              <w:t>Identify the applicable laws and regulations that the UW is required to apply to this study</w:t>
            </w:r>
            <w:r>
              <w:t xml:space="preserve">. It is especially important to determine which version of the Common Rule should be applied to this review. </w:t>
            </w:r>
          </w:p>
          <w:p w14:paraId="13C3B2A1" w14:textId="798BE20A" w:rsidR="00F16DCC" w:rsidRDefault="00B11A19" w:rsidP="00F16DCC">
            <w:pPr>
              <w:pStyle w:val="NoSpacing"/>
              <w:numPr>
                <w:ilvl w:val="0"/>
                <w:numId w:val="30"/>
              </w:numPr>
            </w:pPr>
            <w:r>
              <w:t xml:space="preserve">In Zipline, </w:t>
            </w:r>
            <w:r w:rsidR="00C36E73">
              <w:t>“</w:t>
            </w:r>
            <w:r>
              <w:t>Regulatory Authority</w:t>
            </w:r>
            <w:r w:rsidR="00C36E73">
              <w:t>”</w:t>
            </w:r>
            <w:r>
              <w:t xml:space="preserve"> is listed at the top of the CR Workspace</w:t>
            </w:r>
            <w:r w:rsidR="00F16DCC">
              <w:t xml:space="preserve"> and under “Regulatory Oversight” in the </w:t>
            </w:r>
            <w:r w:rsidR="00F16DCC">
              <w:rPr>
                <w:b/>
                <w:bCs/>
              </w:rPr>
              <w:t xml:space="preserve">Reviews </w:t>
            </w:r>
            <w:r w:rsidR="00F16DCC">
              <w:t>tab. Possibilities include:</w:t>
            </w:r>
          </w:p>
          <w:p w14:paraId="1AE2BF54" w14:textId="48601CFB" w:rsidR="00180B3F" w:rsidRPr="00CB4A00" w:rsidRDefault="00A71E47" w:rsidP="00A71E47">
            <w:pPr>
              <w:pStyle w:val="NoSpacing"/>
              <w:numPr>
                <w:ilvl w:val="1"/>
                <w:numId w:val="30"/>
              </w:numPr>
              <w:spacing w:after="120"/>
            </w:pPr>
            <w:r>
              <w:t>Pre-2018 Requirements; 2018 Requirements; 2018 Requirements + FDA; 2018 Requirements + DOJ; 2018 Requirements + FDA + DOJ</w:t>
            </w:r>
            <w:r w:rsidR="00881A16">
              <w:t>.</w:t>
            </w:r>
          </w:p>
        </w:tc>
      </w:tr>
      <w:tr w:rsidR="001F607B" w14:paraId="4E81237C" w14:textId="77777777" w:rsidTr="00D45A24">
        <w:tc>
          <w:tcPr>
            <w:tcW w:w="10790" w:type="dxa"/>
          </w:tcPr>
          <w:p w14:paraId="6D089FC5" w14:textId="2B6CA071" w:rsidR="003E3B92" w:rsidRDefault="00777924" w:rsidP="00D45A24">
            <w:pPr>
              <w:pStyle w:val="NoSpacing"/>
              <w:spacing w:before="120" w:after="60"/>
              <w:rPr>
                <w:i/>
              </w:rPr>
            </w:pPr>
            <w:r>
              <w:rPr>
                <w:b/>
              </w:rPr>
              <w:t>3</w:t>
            </w:r>
            <w:r w:rsidR="00180B3F">
              <w:rPr>
                <w:b/>
              </w:rPr>
              <w:t>.2</w:t>
            </w:r>
            <w:r w:rsidRPr="00DF35ED">
              <w:rPr>
                <w:b/>
              </w:rPr>
              <w:t xml:space="preserve"> Level of review. </w:t>
            </w:r>
            <w:r w:rsidRPr="00DF35ED">
              <w:t>Determine</w:t>
            </w:r>
            <w:r>
              <w:t xml:space="preserve"> whether the item qualifies for expedited IRB review and, if yes, in which category(s).  </w:t>
            </w:r>
          </w:p>
          <w:p w14:paraId="753006C8" w14:textId="6581AA60" w:rsidR="002B0F07" w:rsidRDefault="00003DD3" w:rsidP="00D45A24">
            <w:pPr>
              <w:pStyle w:val="NoSpacing"/>
              <w:spacing w:after="120"/>
            </w:pPr>
            <w:r w:rsidRPr="00003DD3">
              <w:t xml:space="preserve">This should include the evaluation of </w:t>
            </w:r>
            <w:r w:rsidR="00FE5BD7" w:rsidRPr="00003DD3">
              <w:t xml:space="preserve">any new information </w:t>
            </w:r>
            <w:r>
              <w:t xml:space="preserve">relevant to risks and benefits that </w:t>
            </w:r>
            <w:r w:rsidR="00703746">
              <w:t>i</w:t>
            </w:r>
            <w:r w:rsidR="00FE5BD7" w:rsidRPr="00003DD3">
              <w:t>s provided (such as a DSMB report) – to assist in determining whether the research involves minimal risk</w:t>
            </w:r>
            <w:r w:rsidR="00FE5BD7" w:rsidRPr="00FE5BD7">
              <w:t xml:space="preserve"> </w:t>
            </w:r>
            <w:r w:rsidR="00C36E73">
              <w:t>(</w:t>
            </w:r>
            <w:r w:rsidR="005C10AA">
              <w:rPr>
                <w:b/>
                <w:bCs/>
              </w:rPr>
              <w:t>SOP IRB Review</w:t>
            </w:r>
            <w:r w:rsidR="005C10AA">
              <w:t>;</w:t>
            </w:r>
            <w:r w:rsidR="005C10AA">
              <w:rPr>
                <w:b/>
                <w:bCs/>
              </w:rPr>
              <w:t xml:space="preserve"> </w:t>
            </w:r>
            <w:r w:rsidR="00C36E73">
              <w:rPr>
                <w:b/>
              </w:rPr>
              <w:t>WORKSHEET Expedited Review</w:t>
            </w:r>
            <w:r w:rsidR="00C36E73">
              <w:t>)</w:t>
            </w:r>
            <w:r w:rsidR="00DB6222">
              <w:t>.</w:t>
            </w:r>
          </w:p>
        </w:tc>
      </w:tr>
      <w:tr w:rsidR="00027551" w14:paraId="406D8ACD" w14:textId="77777777" w:rsidTr="00027551">
        <w:tc>
          <w:tcPr>
            <w:tcW w:w="10790" w:type="dxa"/>
            <w:shd w:val="clear" w:color="auto" w:fill="EBEBFF"/>
          </w:tcPr>
          <w:p w14:paraId="665A8F09" w14:textId="77777777" w:rsidR="00027551" w:rsidRPr="003E3B92" w:rsidRDefault="00027551" w:rsidP="00027551">
            <w:pPr>
              <w:pStyle w:val="NoSpacing"/>
              <w:spacing w:before="120" w:after="120"/>
              <w:rPr>
                <w:b/>
              </w:rPr>
            </w:pPr>
            <w:r w:rsidRPr="003E3B92">
              <w:rPr>
                <w:b/>
              </w:rPr>
              <w:t>+ Guidance</w:t>
            </w:r>
          </w:p>
          <w:p w14:paraId="0F4AB77A" w14:textId="008F42C6" w:rsidR="00027551" w:rsidRDefault="00027551" w:rsidP="00D45A24">
            <w:pPr>
              <w:pStyle w:val="NoSpacing"/>
              <w:spacing w:before="120" w:after="60"/>
              <w:rPr>
                <w:b/>
              </w:rPr>
            </w:pPr>
            <w:r>
              <w:t xml:space="preserve">There are some restrictions on the use of expedited review when the research involves prisoners. See </w:t>
            </w:r>
            <w:r w:rsidRPr="009F1728">
              <w:rPr>
                <w:b/>
                <w:bCs/>
              </w:rPr>
              <w:t>WORKSHEET Expedited Review</w:t>
            </w:r>
            <w:r>
              <w:t>.</w:t>
            </w:r>
          </w:p>
        </w:tc>
      </w:tr>
      <w:tr w:rsidR="001F607B" w14:paraId="0FF4E328" w14:textId="77777777" w:rsidTr="00D45A24">
        <w:tc>
          <w:tcPr>
            <w:tcW w:w="10790" w:type="dxa"/>
          </w:tcPr>
          <w:p w14:paraId="15501B11" w14:textId="0153CDC5" w:rsidR="00C36E73" w:rsidRDefault="001F607B" w:rsidP="00D45A24">
            <w:pPr>
              <w:pStyle w:val="NoSpacing"/>
              <w:spacing w:before="120" w:after="60"/>
            </w:pPr>
            <w:r>
              <w:rPr>
                <w:b/>
              </w:rPr>
              <w:t>3</w:t>
            </w:r>
            <w:r w:rsidR="002B2B0B">
              <w:rPr>
                <w:b/>
              </w:rPr>
              <w:t>.3</w:t>
            </w:r>
            <w:r w:rsidRPr="00DF35ED">
              <w:rPr>
                <w:b/>
              </w:rPr>
              <w:t xml:space="preserve"> Nursing research</w:t>
            </w:r>
            <w:r w:rsidRPr="00DF35ED">
              <w:t xml:space="preserve">. </w:t>
            </w:r>
            <w:r w:rsidR="002B2B0B">
              <w:t>(</w:t>
            </w:r>
            <w:r w:rsidR="002B2B0B" w:rsidRPr="002B2B0B">
              <w:rPr>
                <w:i/>
              </w:rPr>
              <w:t>Applies only to full board reviews</w:t>
            </w:r>
            <w:r w:rsidR="002B2B0B">
              <w:t xml:space="preserve">) </w:t>
            </w:r>
          </w:p>
          <w:p w14:paraId="0F4E034D" w14:textId="41334927" w:rsidR="001F607B" w:rsidRDefault="00C36E73" w:rsidP="00D45A24">
            <w:pPr>
              <w:pStyle w:val="NoSpacing"/>
              <w:spacing w:after="60"/>
            </w:pPr>
            <w:r>
              <w:t xml:space="preserve">If </w:t>
            </w:r>
            <w:r w:rsidR="001F607B">
              <w:t xml:space="preserve">the PI </w:t>
            </w:r>
            <w:r>
              <w:t>meets one of the criter</w:t>
            </w:r>
            <w:r w:rsidR="008629B6">
              <w:t>i</w:t>
            </w:r>
            <w:r>
              <w:t>a below, consult with a TOL</w:t>
            </w:r>
            <w:r w:rsidR="008B6FFB">
              <w:t>, SRA,</w:t>
            </w:r>
            <w:r>
              <w:t xml:space="preserve"> or</w:t>
            </w:r>
            <w:r w:rsidR="008B6FFB">
              <w:t xml:space="preserve"> a member of</w:t>
            </w:r>
            <w:r>
              <w:t xml:space="preserve"> HSD </w:t>
            </w:r>
            <w:r w:rsidR="008B6FFB">
              <w:t>Leadership</w:t>
            </w:r>
            <w:r>
              <w:t xml:space="preserve"> to arrange for a nurse IRB member to be present for the review. This is a requirement because of the UW’s status as a Nursing Magnet Program. </w:t>
            </w:r>
          </w:p>
          <w:p w14:paraId="6412066A" w14:textId="77777777" w:rsidR="00CB4A00" w:rsidRDefault="001F607B" w:rsidP="00CB4A00">
            <w:pPr>
              <w:pStyle w:val="NoSpacing"/>
              <w:numPr>
                <w:ilvl w:val="0"/>
                <w:numId w:val="3"/>
              </w:numPr>
              <w:ind w:left="610"/>
            </w:pPr>
            <w:r>
              <w:t>Member of the faculty or a student in any of the UW nursing programs (i.e., main campus, Tacoma, Bothell), or</w:t>
            </w:r>
          </w:p>
          <w:p w14:paraId="37D560F2" w14:textId="37F24371" w:rsidR="001F607B" w:rsidRDefault="001F607B" w:rsidP="00CB4A00">
            <w:pPr>
              <w:pStyle w:val="NoSpacing"/>
              <w:numPr>
                <w:ilvl w:val="0"/>
                <w:numId w:val="3"/>
              </w:numPr>
              <w:spacing w:after="120"/>
              <w:ind w:left="610"/>
            </w:pPr>
            <w:r>
              <w:t>A nurse employee/manager at any UW Medicine clinical care facility</w:t>
            </w:r>
          </w:p>
        </w:tc>
      </w:tr>
      <w:tr w:rsidR="001F607B" w14:paraId="3BD11F7C" w14:textId="77777777" w:rsidTr="00D45A24">
        <w:tc>
          <w:tcPr>
            <w:tcW w:w="10790" w:type="dxa"/>
            <w:shd w:val="clear" w:color="auto" w:fill="EBEBFF"/>
          </w:tcPr>
          <w:p w14:paraId="40BB34B2" w14:textId="77777777" w:rsidR="003E3B92" w:rsidRPr="003E3B92" w:rsidRDefault="003E3B92" w:rsidP="00E80EF2">
            <w:pPr>
              <w:pStyle w:val="NoSpacing"/>
              <w:spacing w:before="120" w:after="120"/>
              <w:rPr>
                <w:b/>
              </w:rPr>
            </w:pPr>
            <w:r w:rsidRPr="003E3B92">
              <w:rPr>
                <w:b/>
              </w:rPr>
              <w:t>+ Guidance</w:t>
            </w:r>
          </w:p>
          <w:p w14:paraId="39057846" w14:textId="77777777" w:rsidR="00FE5BD7" w:rsidRDefault="00FE5BD7" w:rsidP="00FE5BD7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All three branches of the UW have nursing </w:t>
            </w:r>
            <w:proofErr w:type="gramStart"/>
            <w:r>
              <w:rPr>
                <w:rFonts w:cstheme="minorHAnsi"/>
              </w:rPr>
              <w:t>programs</w:t>
            </w:r>
            <w:proofErr w:type="gramEnd"/>
            <w:r>
              <w:rPr>
                <w:rFonts w:cstheme="minorHAnsi"/>
              </w:rPr>
              <w:t xml:space="preserve"> and they are separate/independent of each other</w:t>
            </w:r>
            <w:proofErr w:type="gramStart"/>
            <w:r>
              <w:rPr>
                <w:rFonts w:cstheme="minorHAnsi"/>
              </w:rPr>
              <w:t>:  UW</w:t>
            </w:r>
            <w:proofErr w:type="gramEnd"/>
            <w:r>
              <w:rPr>
                <w:rFonts w:cstheme="minorHAnsi"/>
              </w:rPr>
              <w:t>, UW Bothell, and UW Tacoma.</w:t>
            </w:r>
          </w:p>
          <w:p w14:paraId="21E3D4E5" w14:textId="77777777" w:rsidR="00FE5BD7" w:rsidRDefault="00FE5BD7" w:rsidP="00FE5BD7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 main campus School of Nursing departments are: (1) Biobehavioral Nursing and Health Informatics; (2) Family and Child; and (3) Psychosocial and Community Health.</w:t>
            </w:r>
          </w:p>
          <w:p w14:paraId="3C6B2943" w14:textId="77777777" w:rsidR="00FE5BD7" w:rsidRDefault="00FE5BD7" w:rsidP="00FE5BD7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 Tacoma nursing program is called Nursing &amp; Healthcare Leadership</w:t>
            </w:r>
          </w:p>
          <w:p w14:paraId="761AC189" w14:textId="77777777" w:rsidR="00FE5BD7" w:rsidRDefault="00FE5BD7" w:rsidP="00FE5BD7">
            <w:pPr>
              <w:pStyle w:val="NoSpacing"/>
              <w:numPr>
                <w:ilvl w:val="0"/>
                <w:numId w:val="2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UW Bothell nursing program is called the School of Nursing &amp; Health Studies.</w:t>
            </w:r>
          </w:p>
          <w:p w14:paraId="3A6124E4" w14:textId="56DE2964" w:rsidR="001F607B" w:rsidRDefault="00FE5BD7" w:rsidP="008E515D">
            <w:pPr>
              <w:pStyle w:val="NoSpacing"/>
              <w:numPr>
                <w:ilvl w:val="0"/>
                <w:numId w:val="24"/>
              </w:numPr>
              <w:spacing w:after="120"/>
            </w:pPr>
            <w:r w:rsidRPr="00E80EF2">
              <w:rPr>
                <w:rFonts w:cstheme="minorHAnsi"/>
              </w:rPr>
              <w:t>If the researcher is a nurse employee, it should be evident from their entry in the UW Directory.</w:t>
            </w:r>
          </w:p>
        </w:tc>
      </w:tr>
      <w:tr w:rsidR="00FF6336" w14:paraId="3C80AF00" w14:textId="77777777" w:rsidTr="00D45A24">
        <w:tc>
          <w:tcPr>
            <w:tcW w:w="10790" w:type="dxa"/>
          </w:tcPr>
          <w:p w14:paraId="55EC6E4B" w14:textId="0709B352" w:rsidR="006E0B65" w:rsidRDefault="00FF6336" w:rsidP="00E80EF2">
            <w:pPr>
              <w:pStyle w:val="NoSpacing"/>
              <w:spacing w:before="120" w:after="120"/>
            </w:pPr>
            <w:r>
              <w:rPr>
                <w:b/>
              </w:rPr>
              <w:t>3.</w:t>
            </w:r>
            <w:r w:rsidR="002B2B0B">
              <w:rPr>
                <w:b/>
              </w:rPr>
              <w:t>4</w:t>
            </w:r>
            <w:r>
              <w:rPr>
                <w:b/>
              </w:rPr>
              <w:t xml:space="preserve"> EFIC research and requirement for physician IRB member.  </w:t>
            </w:r>
            <w:r>
              <w:t>I</w:t>
            </w:r>
            <w:r w:rsidR="006E0B65">
              <w:t>f</w:t>
            </w:r>
            <w:r>
              <w:t xml:space="preserve"> the research involves the Emergency Exception to Informed Consent (EFIC)</w:t>
            </w:r>
            <w:r w:rsidR="006E0B65">
              <w:t>, a licensed physician who is a member or consultant to the IRB and who is not otherwise participating in the study must be a part of the IRB’s review or provide concurrence with the IRB’s review.</w:t>
            </w:r>
          </w:p>
          <w:p w14:paraId="37A127CD" w14:textId="7CF752F7" w:rsidR="006E0B65" w:rsidRPr="00FF6336" w:rsidRDefault="006E0B65" w:rsidP="00E80EF2">
            <w:pPr>
              <w:pStyle w:val="NoSpacing"/>
              <w:spacing w:after="120"/>
            </w:pPr>
            <w:r>
              <w:t>EFIC studies are designated in Staff Data Entry in Zipline.</w:t>
            </w:r>
            <w:r w:rsidR="00B07885">
              <w:t xml:space="preserve"> If you are not familiar with EFIC </w:t>
            </w:r>
            <w:proofErr w:type="gramStart"/>
            <w:r w:rsidR="00B07885">
              <w:t>research</w:t>
            </w:r>
            <w:proofErr w:type="gramEnd"/>
            <w:r w:rsidR="00B07885">
              <w:t xml:space="preserve"> you will need to be trained; check with your supervisor.</w:t>
            </w:r>
          </w:p>
        </w:tc>
      </w:tr>
      <w:tr w:rsidR="002B2B0B" w14:paraId="5744FD83" w14:textId="77777777" w:rsidTr="00D45A24">
        <w:tc>
          <w:tcPr>
            <w:tcW w:w="10790" w:type="dxa"/>
          </w:tcPr>
          <w:p w14:paraId="782B07EC" w14:textId="649BF531" w:rsidR="002B2B0B" w:rsidRDefault="002B2B0B" w:rsidP="00E80EF2">
            <w:pPr>
              <w:pStyle w:val="NoSpacing"/>
              <w:spacing w:before="120" w:after="60"/>
            </w:pPr>
            <w:r>
              <w:rPr>
                <w:b/>
              </w:rPr>
              <w:t xml:space="preserve">3.5 </w:t>
            </w:r>
            <w:r w:rsidRPr="001C1775">
              <w:rPr>
                <w:b/>
              </w:rPr>
              <w:t>Clinical Trials registration</w:t>
            </w:r>
            <w:r>
              <w:t xml:space="preserve">. Status Reports for clinical trials cannot be fully approved if the UW PI </w:t>
            </w:r>
            <w:r w:rsidR="008A36F6">
              <w:t>is required to</w:t>
            </w:r>
            <w:r>
              <w:t xml:space="preserve"> register the study at ClinicalTrials.gov and registration </w:t>
            </w:r>
            <w:r w:rsidR="008A36F6">
              <w:t>is not</w:t>
            </w:r>
            <w:r>
              <w:t xml:space="preserve"> complete. </w:t>
            </w:r>
          </w:p>
          <w:p w14:paraId="3CCF24B3" w14:textId="3E23CAE7" w:rsidR="00057C98" w:rsidRPr="00345E49" w:rsidRDefault="00057C98" w:rsidP="00A311EB">
            <w:pPr>
              <w:pStyle w:val="NoSpacing"/>
              <w:numPr>
                <w:ilvl w:val="0"/>
                <w:numId w:val="36"/>
              </w:numPr>
              <w:spacing w:after="60"/>
              <w:rPr>
                <w:b/>
              </w:rPr>
            </w:pPr>
            <w:r>
              <w:t>Look at</w:t>
            </w:r>
            <w:r w:rsidR="00B07885">
              <w:t xml:space="preserve"> the</w:t>
            </w:r>
            <w:r>
              <w:t xml:space="preserve"> </w:t>
            </w:r>
            <w:r w:rsidRPr="00B07885">
              <w:rPr>
                <w:b/>
              </w:rPr>
              <w:t>CTgov Data Entry</w:t>
            </w:r>
            <w:r>
              <w:t xml:space="preserve"> to determine whether: 1) the study is a clinical trial that must be registered, 2) the UW is responsible for</w:t>
            </w:r>
            <w:r w:rsidR="00ED4619">
              <w:t xml:space="preserve"> monitoring</w:t>
            </w:r>
            <w:r>
              <w:t xml:space="preserve"> registration</w:t>
            </w:r>
            <w:r w:rsidR="00ED4619">
              <w:t xml:space="preserve"> and results reporting</w:t>
            </w:r>
            <w:r>
              <w:t xml:space="preserve">; and 3) whether the study has been registered. </w:t>
            </w:r>
          </w:p>
          <w:p w14:paraId="27E2DB8C" w14:textId="19A47425" w:rsidR="00057C98" w:rsidRPr="00345E49" w:rsidRDefault="00057C98" w:rsidP="00345E49">
            <w:pPr>
              <w:pStyle w:val="NoSpacing"/>
              <w:numPr>
                <w:ilvl w:val="0"/>
                <w:numId w:val="36"/>
              </w:numPr>
              <w:spacing w:after="60"/>
              <w:rPr>
                <w:b/>
              </w:rPr>
            </w:pPr>
            <w:r>
              <w:t>If the study has been registered, you are done with this pre-review item.</w:t>
            </w:r>
          </w:p>
          <w:p w14:paraId="55086B62" w14:textId="20404B81" w:rsidR="00057C98" w:rsidRPr="00345E49" w:rsidRDefault="00057C98" w:rsidP="00345E49">
            <w:pPr>
              <w:pStyle w:val="NoSpacing"/>
              <w:numPr>
                <w:ilvl w:val="0"/>
                <w:numId w:val="36"/>
              </w:numPr>
              <w:rPr>
                <w:b/>
              </w:rPr>
            </w:pPr>
            <w:r>
              <w:t xml:space="preserve">If the study has </w:t>
            </w:r>
            <w:r w:rsidRPr="008239DF">
              <w:rPr>
                <w:b/>
                <w:bCs/>
              </w:rPr>
              <w:t>not</w:t>
            </w:r>
            <w:r>
              <w:t xml:space="preserve"> been registered, look at the “History” tab for a comment to see whether the PI has been notified that registration is required before continuing review can be completed. </w:t>
            </w:r>
          </w:p>
          <w:p w14:paraId="03F96C8E" w14:textId="77777777" w:rsidR="004D6C71" w:rsidRPr="003F6CC5" w:rsidRDefault="00057C98" w:rsidP="004D6C71">
            <w:pPr>
              <w:pStyle w:val="NoSpacing"/>
              <w:numPr>
                <w:ilvl w:val="1"/>
                <w:numId w:val="42"/>
              </w:numPr>
              <w:rPr>
                <w:b/>
              </w:rPr>
            </w:pPr>
            <w:r>
              <w:lastRenderedPageBreak/>
              <w:t>If there is a comment, the review can begin but cannot be completed until the study is registered. If there is no comment</w:t>
            </w:r>
            <w:r w:rsidR="008629B6">
              <w:t>,</w:t>
            </w:r>
            <w:r>
              <w:t xml:space="preserve"> contact </w:t>
            </w:r>
            <w:hyperlink r:id="rId16" w:history="1">
              <w:r w:rsidRPr="00E63DB6">
                <w:rPr>
                  <w:rStyle w:val="Hyperlink"/>
                </w:rPr>
                <w:t>hsdreprt@uw.edu</w:t>
              </w:r>
            </w:hyperlink>
            <w:r>
              <w:t xml:space="preserve"> for guidance.</w:t>
            </w:r>
            <w:r w:rsidR="008239DF">
              <w:t xml:space="preserve"> A MRSA can be used if the approval will expire before registration is completed.</w:t>
            </w:r>
            <w:r w:rsidR="004D6C71">
              <w:t xml:space="preserve"> </w:t>
            </w:r>
            <w:r w:rsidR="004D6C71">
              <w:rPr>
                <w:bCs/>
              </w:rPr>
              <w:t xml:space="preserve">If the registration deadline has passed, inform the RA team that the PI should be placed on the Red Flag </w:t>
            </w:r>
            <w:proofErr w:type="gramStart"/>
            <w:r w:rsidR="004D6C71">
              <w:rPr>
                <w:bCs/>
              </w:rPr>
              <w:t>list</w:t>
            </w:r>
            <w:proofErr w:type="gramEnd"/>
            <w:r w:rsidR="004D6C71">
              <w:rPr>
                <w:bCs/>
              </w:rPr>
              <w:t xml:space="preserve"> and all IRB review should stop.</w:t>
            </w:r>
          </w:p>
          <w:p w14:paraId="10A2F95C" w14:textId="34B7CD13" w:rsidR="002B2B0B" w:rsidRDefault="00057C98" w:rsidP="008E515D">
            <w:pPr>
              <w:pStyle w:val="NoSpacing"/>
              <w:numPr>
                <w:ilvl w:val="1"/>
                <w:numId w:val="42"/>
              </w:numPr>
              <w:spacing w:after="120"/>
            </w:pPr>
            <w:r>
              <w:t xml:space="preserve">When the PI confirms registration is complete and provides the NCT registration number, inform </w:t>
            </w:r>
            <w:hyperlink r:id="rId17" w:history="1">
              <w:r w:rsidRPr="00E63DB6">
                <w:rPr>
                  <w:rStyle w:val="Hyperlink"/>
                </w:rPr>
                <w:t>hsdreprt@uw.edu</w:t>
              </w:r>
            </w:hyperlink>
            <w:r>
              <w:t xml:space="preserve"> and you are done with this pre-review item. </w:t>
            </w:r>
          </w:p>
        </w:tc>
      </w:tr>
      <w:tr w:rsidR="002B2B0B" w14:paraId="3974C270" w14:textId="77777777" w:rsidTr="00D45A24">
        <w:tc>
          <w:tcPr>
            <w:tcW w:w="10790" w:type="dxa"/>
          </w:tcPr>
          <w:p w14:paraId="3659CFFA" w14:textId="4C256238" w:rsidR="002B2B0B" w:rsidRPr="00E91D2E" w:rsidRDefault="002B2B0B" w:rsidP="00407EBE">
            <w:pPr>
              <w:pStyle w:val="NoSpacing"/>
              <w:spacing w:before="120" w:after="60"/>
              <w:rPr>
                <w:i/>
              </w:rPr>
            </w:pPr>
            <w:r>
              <w:rPr>
                <w:b/>
              </w:rPr>
              <w:lastRenderedPageBreak/>
              <w:t xml:space="preserve">3.6 </w:t>
            </w:r>
            <w:r w:rsidRPr="00B72BE5">
              <w:rPr>
                <w:b/>
              </w:rPr>
              <w:t>Certificate of Confidentiality, Privacy Certificate</w:t>
            </w:r>
            <w:r>
              <w:t>. For studies with a Certificate of Confidentiality or a Privacy Certificate</w:t>
            </w:r>
            <w:r w:rsidR="00E13849">
              <w:t>,</w:t>
            </w:r>
            <w:r>
              <w:t xml:space="preserve"> determine whether the Certificate has expired or w</w:t>
            </w:r>
            <w:r w:rsidR="00AC2ADA">
              <w:t>ill expire in the coming year.</w:t>
            </w:r>
            <w:r w:rsidR="005410EA">
              <w:t xml:space="preserve"> </w:t>
            </w:r>
            <w:r w:rsidR="008629B6">
              <w:t>A</w:t>
            </w:r>
            <w:r w:rsidR="005410EA">
              <w:t>uto</w:t>
            </w:r>
            <w:r w:rsidR="008629B6">
              <w:t>matic</w:t>
            </w:r>
            <w:r w:rsidR="005410EA">
              <w:t xml:space="preserve">-CoCs </w:t>
            </w:r>
            <w:r w:rsidR="008629B6">
              <w:t>expire on the same</w:t>
            </w:r>
            <w:r w:rsidR="005410EA">
              <w:t xml:space="preserve"> date </w:t>
            </w:r>
            <w:r w:rsidR="008629B6">
              <w:t>as the</w:t>
            </w:r>
            <w:r w:rsidR="005410EA">
              <w:t xml:space="preserve"> federal funding</w:t>
            </w:r>
            <w:r w:rsidR="008629B6">
              <w:t xml:space="preserve"> expires</w:t>
            </w:r>
            <w:r w:rsidR="005410EA">
              <w:t xml:space="preserve">. </w:t>
            </w:r>
            <w:r w:rsidR="00277F59">
              <w:t xml:space="preserve">CoCs issued via the NIH application process </w:t>
            </w:r>
            <w:r w:rsidR="00277F59">
              <w:rPr>
                <w:i/>
                <w:iCs/>
              </w:rPr>
              <w:t xml:space="preserve">on or after 1/12/21 </w:t>
            </w:r>
            <w:r w:rsidR="00277F59">
              <w:t xml:space="preserve">expire when the study is complete and will have 1/2/3456 as the expiration date in Staff Data Entry. </w:t>
            </w:r>
            <w:r w:rsidR="008629B6">
              <w:t>The expiration date f</w:t>
            </w:r>
            <w:r w:rsidR="005410EA">
              <w:t xml:space="preserve">or CoCs </w:t>
            </w:r>
            <w:r w:rsidR="00277F59">
              <w:t xml:space="preserve">granted via the NIH application process </w:t>
            </w:r>
            <w:r w:rsidR="00277F59">
              <w:rPr>
                <w:i/>
                <w:iCs/>
              </w:rPr>
              <w:t xml:space="preserve">prior to 1/12/21 </w:t>
            </w:r>
            <w:r w:rsidR="005410EA">
              <w:t xml:space="preserve">is printed on the Certificate. (See </w:t>
            </w:r>
            <w:r w:rsidR="005410EA">
              <w:rPr>
                <w:b/>
              </w:rPr>
              <w:t>GUIDANCE Certificate of Confidentiality</w:t>
            </w:r>
            <w:r w:rsidR="005410EA">
              <w:t>)</w:t>
            </w:r>
          </w:p>
          <w:p w14:paraId="4D0AFC10" w14:textId="0FF0D4AB" w:rsidR="002B2B0B" w:rsidRDefault="002B2B0B" w:rsidP="00E80EF2">
            <w:pPr>
              <w:pStyle w:val="NoSpacing"/>
              <w:numPr>
                <w:ilvl w:val="0"/>
                <w:numId w:val="38"/>
              </w:numPr>
              <w:spacing w:after="120"/>
            </w:pPr>
            <w:r>
              <w:t>If</w:t>
            </w:r>
            <w:r w:rsidR="005410EA">
              <w:t xml:space="preserve"> </w:t>
            </w:r>
            <w:r w:rsidR="008629B6">
              <w:t>the Certificate</w:t>
            </w:r>
            <w:r w:rsidR="005410EA">
              <w:t xml:space="preserve"> will expire</w:t>
            </w:r>
            <w:r>
              <w:t xml:space="preserve"> </w:t>
            </w:r>
            <w:r w:rsidR="005410EA">
              <w:t>d</w:t>
            </w:r>
            <w:r w:rsidR="00A3005E">
              <w:t xml:space="preserve">etermine whether </w:t>
            </w:r>
            <w:r w:rsidR="008629B6">
              <w:t>a Certificate</w:t>
            </w:r>
            <w:r w:rsidR="00A3005E">
              <w:t xml:space="preserve"> is required for the study to meet the Criteria for Approval </w:t>
            </w:r>
            <w:r w:rsidR="005410EA">
              <w:t>(</w:t>
            </w:r>
            <w:r w:rsidR="00A71E47">
              <w:t>s</w:t>
            </w:r>
            <w:r w:rsidR="005410EA">
              <w:t xml:space="preserve">ee </w:t>
            </w:r>
            <w:r w:rsidR="005410EA">
              <w:rPr>
                <w:b/>
              </w:rPr>
              <w:t>Staff Data Entry</w:t>
            </w:r>
            <w:r w:rsidR="005410EA">
              <w:t>)</w:t>
            </w:r>
            <w:r w:rsidR="00A71E47">
              <w:t>.</w:t>
            </w:r>
            <w:r w:rsidR="005410EA">
              <w:t xml:space="preserve"> </w:t>
            </w:r>
            <w:r w:rsidR="00A3005E" w:rsidRPr="00E91D2E">
              <w:t>If</w:t>
            </w:r>
            <w:r w:rsidR="00A3005E">
              <w:t xml:space="preserve"> it is required,</w:t>
            </w:r>
            <w:r>
              <w:t xml:space="preserve"> inform the researcher that an extension must be requested (unless the research will be completed before the expiration date). Conditional </w:t>
            </w:r>
            <w:r w:rsidR="00E13849">
              <w:t>A</w:t>
            </w:r>
            <w:r>
              <w:t>pproval can be granted until the extension has been received.</w:t>
            </w:r>
            <w:r w:rsidR="00A3005E">
              <w:t xml:space="preserve"> If it is not required, the researchers may opt to extend the Certificate or remove the CoC language from the consent forms. </w:t>
            </w:r>
          </w:p>
        </w:tc>
      </w:tr>
      <w:tr w:rsidR="002B2B0B" w14:paraId="13AA2921" w14:textId="77777777" w:rsidTr="00D45A24">
        <w:tc>
          <w:tcPr>
            <w:tcW w:w="10790" w:type="dxa"/>
          </w:tcPr>
          <w:p w14:paraId="06E58E9E" w14:textId="52B94C42" w:rsidR="002B2B0B" w:rsidRPr="00E91D2E" w:rsidRDefault="002B2B0B" w:rsidP="007F0B92">
            <w:pPr>
              <w:pStyle w:val="NoSpacing"/>
              <w:spacing w:before="120" w:after="60"/>
              <w:rPr>
                <w:i/>
              </w:rPr>
            </w:pPr>
            <w:r>
              <w:rPr>
                <w:b/>
              </w:rPr>
              <w:t xml:space="preserve">3.7 </w:t>
            </w:r>
            <w:r w:rsidRPr="00A1784E">
              <w:rPr>
                <w:b/>
              </w:rPr>
              <w:t>Radiation Safety</w:t>
            </w:r>
            <w:r>
              <w:t xml:space="preserve">. If Radiation Safety approval is required for the study, determine whether a current </w:t>
            </w:r>
            <w:r w:rsidR="004E4336">
              <w:t xml:space="preserve">UW or Fred Hutch Human Subjects Radiation Approval Committee (HSRAC) </w:t>
            </w:r>
            <w:r>
              <w:t>approval is on file (i.e., that the approval has not expired; they are good for one year</w:t>
            </w:r>
            <w:r w:rsidR="00AC2ADA">
              <w:t>)</w:t>
            </w:r>
            <w:r w:rsidR="00E91D2E">
              <w:t xml:space="preserve"> (</w:t>
            </w:r>
            <w:r w:rsidR="00A71E47">
              <w:t>s</w:t>
            </w:r>
            <w:r w:rsidR="00E91D2E">
              <w:t xml:space="preserve">ee </w:t>
            </w:r>
            <w:r w:rsidR="00E91D2E" w:rsidRPr="002E17DF">
              <w:rPr>
                <w:b/>
              </w:rPr>
              <w:t>Upload</w:t>
            </w:r>
            <w:r w:rsidR="00E91D2E">
              <w:t xml:space="preserve"> </w:t>
            </w:r>
            <w:r w:rsidR="00E91D2E">
              <w:rPr>
                <w:b/>
              </w:rPr>
              <w:t>Shared Regulatory Documents</w:t>
            </w:r>
            <w:r w:rsidR="00E91D2E">
              <w:t>)</w:t>
            </w:r>
          </w:p>
          <w:p w14:paraId="4EABF5EC" w14:textId="77777777" w:rsidR="00E91D2E" w:rsidRDefault="002B2B0B" w:rsidP="007251FA">
            <w:pPr>
              <w:pStyle w:val="NoSpacing"/>
              <w:numPr>
                <w:ilvl w:val="0"/>
                <w:numId w:val="38"/>
              </w:numPr>
              <w:spacing w:after="60"/>
            </w:pPr>
            <w:r>
              <w:t xml:space="preserve">If </w:t>
            </w:r>
            <w:r w:rsidR="004E4336">
              <w:t xml:space="preserve">HSRAC </w:t>
            </w:r>
            <w:r>
              <w:t>approval is required and it has expired</w:t>
            </w:r>
            <w:r w:rsidR="00C82CDF">
              <w:t>,</w:t>
            </w:r>
            <w:r>
              <w:t xml:space="preserve"> remind the researcher that current Radiation Safety approval is required. Conditional approval may be granted with the condition that current </w:t>
            </w:r>
            <w:r w:rsidR="00F541A8">
              <w:t>r</w:t>
            </w:r>
            <w:r>
              <w:t>adiation approval must be obtained.</w:t>
            </w:r>
          </w:p>
          <w:p w14:paraId="34B4B5AB" w14:textId="532B22E2" w:rsidR="00DE39C2" w:rsidRDefault="00DE39C2" w:rsidP="002E17DF">
            <w:pPr>
              <w:pStyle w:val="NoSpacing"/>
              <w:numPr>
                <w:ilvl w:val="0"/>
                <w:numId w:val="38"/>
              </w:numPr>
              <w:spacing w:after="120"/>
            </w:pPr>
            <w:r>
              <w:t>If the exposure occurs at a non-UW or non-Fred Hutch facility, check with a TOL, SRA, or member of HSD leadership for guidance.</w:t>
            </w:r>
          </w:p>
        </w:tc>
      </w:tr>
      <w:tr w:rsidR="002B2B0B" w14:paraId="0E438310" w14:textId="77777777" w:rsidTr="00D45A24">
        <w:tc>
          <w:tcPr>
            <w:tcW w:w="10790" w:type="dxa"/>
          </w:tcPr>
          <w:p w14:paraId="6E0F7EF5" w14:textId="24A7E235" w:rsidR="008629B6" w:rsidRDefault="002B2B0B" w:rsidP="00E80EF2">
            <w:pPr>
              <w:pStyle w:val="NoSpacing"/>
              <w:spacing w:before="120"/>
              <w:rPr>
                <w:i/>
              </w:rPr>
            </w:pPr>
            <w:r w:rsidRPr="004403C5">
              <w:rPr>
                <w:b/>
              </w:rPr>
              <w:t>3.8 Institutions relying on UW review.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="008629B6" w:rsidRPr="004E10EB">
              <w:rPr>
                <w:i/>
                <w:color w:val="AA0000"/>
              </w:rPr>
              <w:t xml:space="preserve">This should be completed even if the study is eligible for closure. </w:t>
            </w:r>
          </w:p>
          <w:p w14:paraId="658A42E6" w14:textId="75A4F8FD" w:rsidR="002046BC" w:rsidRDefault="006F3FB3" w:rsidP="00BF1E14">
            <w:pPr>
              <w:pStyle w:val="NoSpacing"/>
              <w:spacing w:after="60"/>
            </w:pPr>
            <w:r>
              <w:t xml:space="preserve">View staff data entry questions 9 and 10 and the Sites tab (if there is one) in the study application to identify whether there are any non-UW institutions or individuals actively relying on the UW IRB’s review. </w:t>
            </w:r>
            <w:r w:rsidR="004604C2">
              <w:t>If the</w:t>
            </w:r>
            <w:r w:rsidR="002046BC">
              <w:t>re are</w:t>
            </w:r>
            <w:r>
              <w:t>:</w:t>
            </w:r>
            <w:r w:rsidR="002046BC">
              <w:t xml:space="preserve"> </w:t>
            </w:r>
          </w:p>
          <w:p w14:paraId="63972284" w14:textId="2F18A533" w:rsidR="002046BC" w:rsidRDefault="002046BC" w:rsidP="00BF1E14">
            <w:pPr>
              <w:pStyle w:val="NoSpacing"/>
              <w:numPr>
                <w:ilvl w:val="0"/>
                <w:numId w:val="38"/>
              </w:numPr>
              <w:spacing w:after="60"/>
            </w:pPr>
            <w:r>
              <w:t xml:space="preserve">Information in the SmartForms and the </w:t>
            </w:r>
            <w:r w:rsidRPr="00BF1E14">
              <w:rPr>
                <w:b/>
                <w:bCs/>
              </w:rPr>
              <w:t>APPLICATION Status Report, Renew or Close</w:t>
            </w:r>
            <w:r>
              <w:t xml:space="preserve"> should reflect </w:t>
            </w:r>
            <w:r w:rsidR="006F3FB3">
              <w:t xml:space="preserve">any </w:t>
            </w:r>
            <w:r>
              <w:t>information applicable to all institutions a</w:t>
            </w:r>
            <w:r w:rsidR="006F3FB3">
              <w:t>nd</w:t>
            </w:r>
            <w:r>
              <w:t xml:space="preserve"> individuals relying on the UW IRB’s review. </w:t>
            </w:r>
          </w:p>
          <w:p w14:paraId="724F2521" w14:textId="38076A9C" w:rsidR="002046BC" w:rsidRDefault="002046BC" w:rsidP="00BF1E14">
            <w:pPr>
              <w:pStyle w:val="NoSpacing"/>
              <w:numPr>
                <w:ilvl w:val="0"/>
                <w:numId w:val="38"/>
              </w:numPr>
              <w:spacing w:after="60"/>
            </w:pPr>
            <w:r>
              <w:t xml:space="preserve">The Huron product upon which Zipline is based contains functionality which is designed to allow the study team to compile information from relying sites reported </w:t>
            </w:r>
            <w:r w:rsidR="006F3FB3">
              <w:t xml:space="preserve">to </w:t>
            </w:r>
            <w:r>
              <w:t xml:space="preserve">them into one report for the IRB. HSD does </w:t>
            </w:r>
            <w:r w:rsidRPr="00BF1E14">
              <w:rPr>
                <w:b/>
                <w:bCs/>
              </w:rPr>
              <w:t>not</w:t>
            </w:r>
            <w:r>
              <w:t xml:space="preserve"> use this functionality because the necessary technological components are not installed. You can ignore any information that appears due to this functionality (this looks like “</w:t>
            </w:r>
            <w:r w:rsidRPr="002046BC">
              <w:t>(Confirmed sites: 0 of 1. Total enrollment for pSites with completed reports: 0)</w:t>
            </w:r>
            <w:r w:rsidR="006F3FB3">
              <w:t>,</w:t>
            </w:r>
            <w:r>
              <w:t>”</w:t>
            </w:r>
            <w:r w:rsidRPr="002046BC">
              <w:t xml:space="preserve"> </w:t>
            </w:r>
            <w:r w:rsidR="006F3FB3">
              <w:t>and any information about site reports which appears on the Sites tab.</w:t>
            </w:r>
          </w:p>
          <w:p w14:paraId="0F91A80F" w14:textId="53A94D42" w:rsidR="006F3FB3" w:rsidRDefault="006F3FB3" w:rsidP="00BF1E14">
            <w:pPr>
              <w:pStyle w:val="NoSpacing"/>
              <w:numPr>
                <w:ilvl w:val="0"/>
                <w:numId w:val="38"/>
              </w:numPr>
              <w:spacing w:after="60"/>
            </w:pPr>
            <w:r>
              <w:t>The continuing review approval letter automatically lists any active relying sites which are in the Sites tab. You should double check that this section is accurate</w:t>
            </w:r>
            <w:r w:rsidR="00316C99">
              <w:t xml:space="preserve"> in the letter</w:t>
            </w:r>
            <w:r>
              <w:t xml:space="preserve">. </w:t>
            </w:r>
            <w:r w:rsidR="00316C99">
              <w:t xml:space="preserve">If processing a MODCR, include the names of the active relying sites from the Sites tab in the letter. </w:t>
            </w:r>
            <w:r>
              <w:t xml:space="preserve">You do </w:t>
            </w:r>
            <w:r w:rsidRPr="00BF1E14">
              <w:rPr>
                <w:b/>
                <w:bCs/>
              </w:rPr>
              <w:t xml:space="preserve">not </w:t>
            </w:r>
            <w:r>
              <w:t>need to manually add any institutions or individuals who are not in the Sites tab but who are listed in the staff data entry questions.</w:t>
            </w:r>
          </w:p>
          <w:p w14:paraId="61E7A220" w14:textId="0C0CB6C0" w:rsidR="003D3619" w:rsidRPr="00BF1E14" w:rsidRDefault="006F3FB3" w:rsidP="00BF1E14">
            <w:pPr>
              <w:pStyle w:val="NoSpacing"/>
              <w:numPr>
                <w:ilvl w:val="0"/>
                <w:numId w:val="38"/>
              </w:numPr>
              <w:spacing w:after="120"/>
            </w:pPr>
            <w:r>
              <w:t xml:space="preserve">If closing the application in Zipline, any active relying sites in the Sites tab must be closed prior to closing the overall application. </w:t>
            </w:r>
            <w:r w:rsidRPr="00BF1E14">
              <w:rPr>
                <w:b/>
                <w:bCs/>
              </w:rPr>
              <w:t>See INSTRUCTIONS Zipline for Staff</w:t>
            </w:r>
            <w:r>
              <w:t xml:space="preserve">, </w:t>
            </w:r>
            <w:r w:rsidR="00CC2798" w:rsidRPr="00CC2798">
              <w:t>Part VI: Study Closure</w:t>
            </w:r>
            <w:r w:rsidR="00CC2798">
              <w:t xml:space="preserve">, for specific instructions. No additional </w:t>
            </w:r>
            <w:r w:rsidR="00316C99">
              <w:t>site-specific</w:t>
            </w:r>
            <w:r w:rsidR="00CC2798">
              <w:t xml:space="preserve"> information is required for this step.</w:t>
            </w:r>
          </w:p>
        </w:tc>
      </w:tr>
      <w:tr w:rsidR="002B2B0B" w14:paraId="0BDECFCB" w14:textId="77777777" w:rsidTr="00D45A24">
        <w:tc>
          <w:tcPr>
            <w:tcW w:w="10790" w:type="dxa"/>
          </w:tcPr>
          <w:p w14:paraId="3AE604E8" w14:textId="579DD5A8" w:rsidR="002B2B0B" w:rsidRPr="00332B5C" w:rsidRDefault="001D5A93" w:rsidP="00E80EF2">
            <w:pPr>
              <w:pStyle w:val="NoSpacing"/>
              <w:spacing w:before="120" w:after="60"/>
            </w:pPr>
            <w:r>
              <w:rPr>
                <w:b/>
              </w:rPr>
              <w:t>3.10</w:t>
            </w:r>
            <w:r w:rsidR="002B2B0B">
              <w:rPr>
                <w:b/>
              </w:rPr>
              <w:t xml:space="preserve"> </w:t>
            </w:r>
            <w:r>
              <w:rPr>
                <w:b/>
              </w:rPr>
              <w:t xml:space="preserve">Need for expiration date and future </w:t>
            </w:r>
            <w:r w:rsidR="002B2B0B" w:rsidRPr="005C0CBF">
              <w:rPr>
                <w:b/>
              </w:rPr>
              <w:t>continuing review</w:t>
            </w:r>
            <w:r w:rsidR="002B2B0B">
              <w:t xml:space="preserve">. Determine whether the research requires continuing review </w:t>
            </w:r>
            <w:r>
              <w:t xml:space="preserve">in the future (i.e., is an expiration date necessary).  This is determined by which version of the Common Rule </w:t>
            </w:r>
            <w:r>
              <w:lastRenderedPageBreak/>
              <w:t>applies to the study</w:t>
            </w:r>
            <w:r w:rsidR="00E753F3">
              <w:t xml:space="preserve"> and by whether it meets the revised Common Rule criteria for no continuing review.</w:t>
            </w:r>
            <w:r w:rsidR="00332B5C">
              <w:t xml:space="preserve"> (See </w:t>
            </w:r>
            <w:r w:rsidR="005C10AA">
              <w:rPr>
                <w:b/>
              </w:rPr>
              <w:t>WORKSHEET Primary Reviewer, Continuing Review and Modification</w:t>
            </w:r>
            <w:r w:rsidR="00332B5C">
              <w:t>)</w:t>
            </w:r>
          </w:p>
          <w:p w14:paraId="255706E2" w14:textId="77777777" w:rsidR="002B2B0B" w:rsidRPr="001D5A93" w:rsidRDefault="001D5A93" w:rsidP="004123E2">
            <w:pPr>
              <w:pStyle w:val="NoSpacing"/>
              <w:numPr>
                <w:ilvl w:val="0"/>
                <w:numId w:val="22"/>
              </w:numPr>
              <w:rPr>
                <w:b/>
              </w:rPr>
            </w:pPr>
            <w:r>
              <w:t xml:space="preserve">Original Common Rule:  An expiration date and future continuing review is required. </w:t>
            </w:r>
          </w:p>
          <w:p w14:paraId="31C7FE8B" w14:textId="0859DCF1" w:rsidR="004123E2" w:rsidRPr="004403C5" w:rsidRDefault="001D5A93" w:rsidP="00E80EF2">
            <w:pPr>
              <w:pStyle w:val="NoSpacing"/>
              <w:numPr>
                <w:ilvl w:val="0"/>
                <w:numId w:val="22"/>
              </w:numPr>
              <w:spacing w:after="60"/>
              <w:rPr>
                <w:b/>
              </w:rPr>
            </w:pPr>
            <w:r>
              <w:t>Revised Common Rule:  An expiration dat</w:t>
            </w:r>
            <w:r w:rsidR="00EA5707">
              <w:t>e</w:t>
            </w:r>
            <w:r>
              <w:t xml:space="preserve"> and future continuing review may or may not be required.</w:t>
            </w:r>
          </w:p>
          <w:p w14:paraId="609BDF62" w14:textId="59F3F43F" w:rsidR="002325FF" w:rsidRDefault="002325FF" w:rsidP="002325FF">
            <w:pPr>
              <w:pStyle w:val="NoSpacing"/>
              <w:spacing w:after="120"/>
              <w:ind w:left="1440"/>
            </w:pPr>
            <w:r>
              <w:t xml:space="preserve">When an expedited continuing review application </w:t>
            </w:r>
            <w:r w:rsidRPr="004403C5">
              <w:rPr>
                <w:u w:val="single"/>
              </w:rPr>
              <w:t>does</w:t>
            </w:r>
            <w:r>
              <w:t xml:space="preserve"> require continuing review, Zipline will require you to enter a justification for why you’ve entered an expiration date (e.g., “This study was approved under expedited category 9 and UW policy requires that it undergo continuing review.”).</w:t>
            </w:r>
          </w:p>
          <w:p w14:paraId="72719E9D" w14:textId="3AF06D0E" w:rsidR="00647E75" w:rsidRPr="00647E75" w:rsidRDefault="002325FF" w:rsidP="00647E75">
            <w:pPr>
              <w:pStyle w:val="NoSpacing"/>
              <w:spacing w:after="120"/>
              <w:ind w:left="1440"/>
              <w:rPr>
                <w:bCs/>
              </w:rPr>
            </w:pPr>
            <w:r w:rsidDel="002325FF">
              <w:rPr>
                <w:rStyle w:val="CommentReference"/>
              </w:rPr>
              <w:t xml:space="preserve"> </w:t>
            </w:r>
            <w:r w:rsidR="009F19F9">
              <w:rPr>
                <w:bCs/>
                <w:i/>
                <w:iCs/>
              </w:rPr>
              <w:t>Note that FDA</w:t>
            </w:r>
            <w:r w:rsidR="00B73CC8">
              <w:rPr>
                <w:bCs/>
                <w:i/>
                <w:iCs/>
              </w:rPr>
              <w:t>-</w:t>
            </w:r>
            <w:r w:rsidR="009F19F9">
              <w:rPr>
                <w:bCs/>
                <w:i/>
                <w:iCs/>
              </w:rPr>
              <w:t xml:space="preserve"> and DOJ</w:t>
            </w:r>
            <w:r w:rsidR="00B73CC8">
              <w:rPr>
                <w:bCs/>
                <w:i/>
                <w:iCs/>
              </w:rPr>
              <w:t>-</w:t>
            </w:r>
            <w:r w:rsidR="00647E75">
              <w:rPr>
                <w:bCs/>
                <w:i/>
                <w:iCs/>
              </w:rPr>
              <w:t xml:space="preserve">supported research and research that includes prisoner populations </w:t>
            </w:r>
            <w:r w:rsidR="009F19F9">
              <w:rPr>
                <w:bCs/>
                <w:i/>
                <w:iCs/>
              </w:rPr>
              <w:t xml:space="preserve">require continuing review to occur in intervals </w:t>
            </w:r>
            <w:r w:rsidR="00967354">
              <w:rPr>
                <w:bCs/>
                <w:i/>
                <w:iCs/>
              </w:rPr>
              <w:t xml:space="preserve">of </w:t>
            </w:r>
            <w:r w:rsidR="009F19F9">
              <w:rPr>
                <w:bCs/>
                <w:i/>
                <w:iCs/>
              </w:rPr>
              <w:t>no less than one year.</w:t>
            </w:r>
          </w:p>
        </w:tc>
      </w:tr>
      <w:tr w:rsidR="002B2B0B" w14:paraId="34AC0C03" w14:textId="77777777" w:rsidTr="00D45A24">
        <w:tc>
          <w:tcPr>
            <w:tcW w:w="10790" w:type="dxa"/>
          </w:tcPr>
          <w:p w14:paraId="5F037B4A" w14:textId="5D1A7608" w:rsidR="00B80B60" w:rsidRDefault="002B2B0B" w:rsidP="00E80EF2">
            <w:pPr>
              <w:pStyle w:val="NoSpacing"/>
              <w:spacing w:before="120" w:after="120"/>
            </w:pPr>
            <w:r>
              <w:rPr>
                <w:b/>
              </w:rPr>
              <w:lastRenderedPageBreak/>
              <w:t>3.1</w:t>
            </w:r>
            <w:r w:rsidR="000C379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72BE5">
              <w:rPr>
                <w:b/>
              </w:rPr>
              <w:t xml:space="preserve">Complete the pre-review process. </w:t>
            </w:r>
            <w:r w:rsidR="000C3793" w:rsidRPr="000C3793">
              <w:t>If</w:t>
            </w:r>
            <w:r w:rsidR="000C3793">
              <w:t xml:space="preserve"> the continuing review must be conducted by the full board</w:t>
            </w:r>
            <w:r w:rsidR="00817E6A">
              <w:t>,</w:t>
            </w:r>
            <w:r w:rsidR="000C3793">
              <w:t xml:space="preserve"> </w:t>
            </w:r>
            <w:r w:rsidR="00817E6A">
              <w:t>p</w:t>
            </w:r>
            <w:r w:rsidR="000C3793">
              <w:t xml:space="preserve">repare the </w:t>
            </w:r>
            <w:r w:rsidR="000C3793" w:rsidRPr="000C3793">
              <w:rPr>
                <w:b/>
              </w:rPr>
              <w:t>Pre-Review Note</w:t>
            </w:r>
            <w:r w:rsidR="000C3793">
              <w:t xml:space="preserve"> that is provided to the IRB. </w:t>
            </w:r>
            <w:r w:rsidR="003D3619">
              <w:t xml:space="preserve">(See </w:t>
            </w:r>
            <w:r w:rsidR="003D3619">
              <w:rPr>
                <w:b/>
                <w:bCs/>
              </w:rPr>
              <w:t>SOP Pre-Review</w:t>
            </w:r>
            <w:r w:rsidR="003D3619">
              <w:t>;</w:t>
            </w:r>
            <w:r w:rsidR="00B80B60">
              <w:t xml:space="preserve"> </w:t>
            </w:r>
            <w:r w:rsidR="00B80B60">
              <w:rPr>
                <w:b/>
                <w:bCs/>
              </w:rPr>
              <w:t>GUIDANCE Pre-Review</w:t>
            </w:r>
            <w:r w:rsidR="00B80B60">
              <w:t>;</w:t>
            </w:r>
            <w:r w:rsidR="003D3619">
              <w:t xml:space="preserve"> </w:t>
            </w:r>
            <w:r w:rsidR="003D3619">
              <w:rPr>
                <w:b/>
                <w:bCs/>
              </w:rPr>
              <w:t>I</w:t>
            </w:r>
            <w:r w:rsidR="00817E6A">
              <w:rPr>
                <w:b/>
                <w:bCs/>
              </w:rPr>
              <w:t>NSTRUCTIONS</w:t>
            </w:r>
            <w:r w:rsidR="003D3619">
              <w:rPr>
                <w:b/>
                <w:bCs/>
              </w:rPr>
              <w:t xml:space="preserve"> Zipline for Staff</w:t>
            </w:r>
            <w:r w:rsidR="003D3619">
              <w:t>)</w:t>
            </w:r>
          </w:p>
          <w:p w14:paraId="6C8B3CE5" w14:textId="5BDB449F" w:rsidR="002B2B0B" w:rsidRDefault="00B80B60" w:rsidP="00A07225">
            <w:pPr>
              <w:pStyle w:val="NoSpacing"/>
              <w:spacing w:before="120" w:after="120"/>
            </w:pPr>
            <w:r>
              <w:t xml:space="preserve">If the pre-reviewer will also serve as the designated reviewer, see </w:t>
            </w:r>
            <w:r>
              <w:rPr>
                <w:b/>
                <w:bCs/>
              </w:rPr>
              <w:t>WORKSHEET Primary Reviewer, CR and Mod</w:t>
            </w:r>
            <w:r>
              <w:t xml:space="preserve"> for support in identifying IRB review considerations. </w:t>
            </w:r>
          </w:p>
        </w:tc>
      </w:tr>
    </w:tbl>
    <w:p w14:paraId="0FE38C96" w14:textId="5B2EEF3D" w:rsidR="0000575C" w:rsidRDefault="0000575C" w:rsidP="000C3793">
      <w:pPr>
        <w:pStyle w:val="NoSpacing"/>
      </w:pPr>
    </w:p>
    <w:p w14:paraId="74339005" w14:textId="5ECBAB4E" w:rsidR="00D30BD5" w:rsidRPr="00A07225" w:rsidRDefault="006E3CE7" w:rsidP="00BF1E14">
      <w:pPr>
        <w:pStyle w:val="NoSpacing"/>
        <w:spacing w:after="120"/>
        <w:rPr>
          <w:b/>
        </w:rPr>
      </w:pPr>
      <w:r>
        <w:rPr>
          <w:b/>
        </w:rPr>
        <w:t>RELATED MATERIALS</w:t>
      </w:r>
    </w:p>
    <w:p w14:paraId="0A04CDA9" w14:textId="77777777" w:rsidR="00493F50" w:rsidRDefault="00493F50" w:rsidP="00493F50">
      <w:pPr>
        <w:pStyle w:val="NoSpacing"/>
        <w:numPr>
          <w:ilvl w:val="0"/>
          <w:numId w:val="40"/>
        </w:numPr>
      </w:pPr>
      <w:r>
        <w:t>INSTRUCTIONS Zipline for Staff</w:t>
      </w:r>
    </w:p>
    <w:p w14:paraId="76E3F7FE" w14:textId="77777777" w:rsidR="00493F50" w:rsidRDefault="00493F50" w:rsidP="00493F50">
      <w:pPr>
        <w:pStyle w:val="NoSpacing"/>
        <w:numPr>
          <w:ilvl w:val="0"/>
          <w:numId w:val="40"/>
        </w:numPr>
      </w:pPr>
      <w:r>
        <w:t>GUIDANCE Pre-Review</w:t>
      </w:r>
    </w:p>
    <w:p w14:paraId="00A1CBA6" w14:textId="77777777" w:rsidR="005D77D0" w:rsidRDefault="005D77D0" w:rsidP="005D77D0">
      <w:pPr>
        <w:pStyle w:val="NoSpacing"/>
        <w:numPr>
          <w:ilvl w:val="0"/>
          <w:numId w:val="40"/>
        </w:numPr>
      </w:pPr>
      <w:r>
        <w:t>SOP Pre-R</w:t>
      </w:r>
      <w:r w:rsidRPr="006F0286">
        <w:t>eview</w:t>
      </w:r>
    </w:p>
    <w:p w14:paraId="0177CCA8" w14:textId="5E69925F" w:rsidR="00493F50" w:rsidRDefault="00493F50" w:rsidP="00493F50">
      <w:pPr>
        <w:pStyle w:val="NoSpacing"/>
        <w:numPr>
          <w:ilvl w:val="0"/>
          <w:numId w:val="40"/>
        </w:numPr>
      </w:pPr>
      <w:r>
        <w:t>TEMPLATE Pre-Review</w:t>
      </w:r>
      <w:r w:rsidR="00E75892">
        <w:t xml:space="preserve"> Letter</w:t>
      </w:r>
    </w:p>
    <w:p w14:paraId="62F1372B" w14:textId="2504B74F" w:rsidR="00603108" w:rsidRDefault="00603108" w:rsidP="005D77D0">
      <w:pPr>
        <w:pStyle w:val="NoSpacing"/>
        <w:numPr>
          <w:ilvl w:val="0"/>
          <w:numId w:val="40"/>
        </w:numPr>
      </w:pPr>
      <w:r>
        <w:t>WORKSHEET Primary Reviewer, CR and Mod</w:t>
      </w:r>
    </w:p>
    <w:p w14:paraId="014C0AF1" w14:textId="77777777" w:rsidR="005D77D0" w:rsidRDefault="005D77D0" w:rsidP="00A07225">
      <w:pPr>
        <w:pStyle w:val="NoSpacing"/>
        <w:ind w:left="720"/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  <w:tblCaption w:val="Version history table"/>
        <w:tblDescription w:val="contains version number, revision date, and revision summary"/>
      </w:tblPr>
      <w:tblGrid>
        <w:gridCol w:w="2595"/>
        <w:gridCol w:w="2057"/>
        <w:gridCol w:w="5518"/>
      </w:tblGrid>
      <w:tr w:rsidR="004F7DA1" w:rsidRPr="00ED134C" w14:paraId="59A1F60F" w14:textId="77777777" w:rsidTr="004F7DA1">
        <w:trPr>
          <w:trHeight w:val="233"/>
        </w:trPr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213025DC" w14:textId="0DD48E3F" w:rsidR="004F7DA1" w:rsidRPr="001F12A4" w:rsidRDefault="004F7DA1" w:rsidP="004F7DA1">
            <w:pPr>
              <w:pStyle w:val="NoSpacing"/>
              <w:jc w:val="center"/>
              <w:rPr>
                <w:b/>
              </w:rPr>
            </w:pPr>
            <w:r w:rsidRPr="00954C91">
              <w:rPr>
                <w:color w:val="FFFFFF" w:themeColor="background1"/>
              </w:rPr>
              <w:t xml:space="preserve"> </w:t>
            </w:r>
            <w:r w:rsidRPr="00954C91">
              <w:rPr>
                <w:b/>
                <w:bCs/>
                <w:color w:val="FFFFFF" w:themeColor="background1"/>
              </w:rPr>
              <w:t>Version Number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</w:tcPr>
          <w:p w14:paraId="4F29253D" w14:textId="75F5366E" w:rsidR="004F7DA1" w:rsidRPr="001F12A4" w:rsidRDefault="004F7DA1" w:rsidP="004F7DA1">
            <w:pPr>
              <w:pStyle w:val="NoSpacing"/>
              <w:jc w:val="center"/>
              <w:rPr>
                <w:b/>
              </w:rPr>
            </w:pPr>
            <w:r w:rsidRPr="00954C91">
              <w:rPr>
                <w:b/>
                <w:bCs/>
                <w:color w:val="FFFFFF" w:themeColor="background1"/>
              </w:rPr>
              <w:t>Posted Date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78867777" w14:textId="427A52E7" w:rsidR="004F7DA1" w:rsidRPr="001F12A4" w:rsidRDefault="004F7DA1" w:rsidP="004F7DA1">
            <w:pPr>
              <w:pStyle w:val="NoSpacing"/>
              <w:jc w:val="center"/>
              <w:rPr>
                <w:b/>
              </w:rPr>
            </w:pPr>
            <w:r w:rsidRPr="00954C91">
              <w:rPr>
                <w:b/>
                <w:bCs/>
                <w:color w:val="FFFFFF" w:themeColor="background1"/>
              </w:rPr>
              <w:t>Implementation Date</w:t>
            </w:r>
          </w:p>
        </w:tc>
      </w:tr>
      <w:tr w:rsidR="004E10EB" w:rsidRPr="00D26748" w14:paraId="74D38621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481F9E" w14:textId="3E0F512B" w:rsidR="004E10EB" w:rsidRDefault="004E10EB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3.2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1D4F4" w14:textId="44C084D8" w:rsidR="004E10EB" w:rsidRDefault="004E10EB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11.20.2025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36557" w14:textId="1BAB77EB" w:rsidR="004E10EB" w:rsidRDefault="004E10EB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Updated instructions on DOHRs in Section 2.1</w:t>
            </w:r>
          </w:p>
        </w:tc>
      </w:tr>
      <w:tr w:rsidR="005551E3" w:rsidRPr="00D26748" w14:paraId="4E12BD88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12B27" w14:textId="6512811F" w:rsidR="005551E3" w:rsidRDefault="005551E3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3.1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14E4E" w14:textId="00A50CFD" w:rsidR="005551E3" w:rsidRDefault="005551E3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06.26.2025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36100D" w14:textId="35C41BD7" w:rsidR="005551E3" w:rsidRDefault="005551E3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 xml:space="preserve">Updated instructions on over-enrollment and funding </w:t>
            </w:r>
          </w:p>
        </w:tc>
      </w:tr>
      <w:tr w:rsidR="00FC7B96" w:rsidRPr="00D26748" w14:paraId="411514A0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235A8" w14:textId="6D8508CB" w:rsidR="00FC7B96" w:rsidRDefault="00FC7B96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3.0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15104" w14:textId="392A33F0" w:rsidR="00FC7B96" w:rsidRDefault="00FC7B96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02.27.2025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CDB7E7" w14:textId="04AFCC56" w:rsidR="00FC7B96" w:rsidRDefault="00FC7B96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Update ct.gov section regarding registration deadlines, MRSA, and expiration of approval</w:t>
            </w:r>
          </w:p>
        </w:tc>
      </w:tr>
      <w:tr w:rsidR="00670B10" w:rsidRPr="00D26748" w14:paraId="1D73B5F2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3ACB1" w14:textId="22718A96" w:rsidR="00670B10" w:rsidRDefault="00670B10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2.9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A50CD8" w14:textId="6D27C3C9" w:rsidR="00670B10" w:rsidRDefault="00670B10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01.30.2025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A8EC4" w14:textId="74638C89" w:rsidR="00670B10" w:rsidRDefault="00670B10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Add note that expired funding should be removed with a modification</w:t>
            </w:r>
          </w:p>
        </w:tc>
      </w:tr>
      <w:tr w:rsidR="004E4336" w:rsidRPr="00D26748" w14:paraId="75019BD6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89FA09" w14:textId="7AB3AD36" w:rsidR="004E4336" w:rsidRDefault="004E4336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2.8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A0962" w14:textId="66316E52" w:rsidR="004E4336" w:rsidRDefault="004E4336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12.23.2024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6B8F0" w14:textId="48B8F021" w:rsidR="004E4336" w:rsidRDefault="004E4336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Clarify that confirmation of radiation safety approval is only required for studies with UW or Fred Hutch HSRAC approval</w:t>
            </w:r>
          </w:p>
        </w:tc>
      </w:tr>
      <w:tr w:rsidR="00F334CC" w:rsidRPr="00D26748" w14:paraId="01107882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19FADC" w14:textId="28104F95" w:rsidR="00F334CC" w:rsidRDefault="00F334CC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2.7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9B538" w14:textId="424F89BD" w:rsidR="00F334CC" w:rsidRDefault="003621DD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03.02.2023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A0361" w14:textId="2D1AD09F" w:rsidR="00F334CC" w:rsidRDefault="00F334CC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 xml:space="preserve">Add information about reviewing when institutions are relying on UW’s review </w:t>
            </w:r>
          </w:p>
        </w:tc>
      </w:tr>
      <w:tr w:rsidR="00277F59" w:rsidRPr="00D26748" w14:paraId="09612A0F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6FBE4" w14:textId="493B2938" w:rsidR="00277F59" w:rsidRDefault="00277F59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2.6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A0F68" w14:textId="41ABF615" w:rsidR="00277F59" w:rsidRDefault="00277F59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10.27.2022</w:t>
            </w: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DB764" w14:textId="5F222FE5" w:rsidR="00277F59" w:rsidRDefault="00277F59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Clarify NIH CoC expiration date information</w:t>
            </w:r>
          </w:p>
        </w:tc>
      </w:tr>
      <w:tr w:rsidR="005D77D0" w:rsidRPr="00D30BD5" w14:paraId="5C567D5B" w14:textId="77777777" w:rsidTr="009D30A2">
        <w:tc>
          <w:tcPr>
            <w:tcW w:w="25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BA275" w14:textId="1B5542AC" w:rsidR="005D77D0" w:rsidRPr="00D26748" w:rsidRDefault="0090377B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rFonts w:ascii="Calibri" w:eastAsiaTheme="majorEastAsia" w:hAnsi="Calibri" w:cstheme="majorBidi"/>
                <w:szCs w:val="26"/>
              </w:rPr>
              <w:t>Older versions</w:t>
            </w:r>
          </w:p>
        </w:tc>
        <w:tc>
          <w:tcPr>
            <w:tcW w:w="20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441920" w14:textId="30EB82B9" w:rsidR="005D77D0" w:rsidRPr="00D26748" w:rsidRDefault="005D77D0" w:rsidP="009D30A2">
            <w:pPr>
              <w:pStyle w:val="NoSpacing"/>
              <w:jc w:val="center"/>
              <w:rPr>
                <w:rFonts w:ascii="Calibri" w:eastAsiaTheme="majorEastAsia" w:hAnsi="Calibri" w:cstheme="majorBidi"/>
                <w:szCs w:val="26"/>
              </w:rPr>
            </w:pPr>
          </w:p>
        </w:tc>
        <w:tc>
          <w:tcPr>
            <w:tcW w:w="5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84CA6D" w14:textId="4EDBD6B6" w:rsidR="005D77D0" w:rsidRPr="00D26748" w:rsidRDefault="0090377B" w:rsidP="009D30A2">
            <w:pPr>
              <w:pStyle w:val="NoSpacing"/>
              <w:rPr>
                <w:rFonts w:ascii="Calibri" w:eastAsiaTheme="majorEastAsia" w:hAnsi="Calibri" w:cstheme="majorBidi"/>
                <w:szCs w:val="26"/>
              </w:rPr>
            </w:pPr>
            <w:r>
              <w:rPr>
                <w:bCs/>
              </w:rPr>
              <w:t xml:space="preserve">For older versions: HSD Staff </w:t>
            </w:r>
            <w:r w:rsidR="003621DD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3621DD">
              <w:rPr>
                <w:bCs/>
              </w:rPr>
              <w:t>refer to</w:t>
            </w:r>
            <w:r>
              <w:rPr>
                <w:bCs/>
              </w:rPr>
              <w:t xml:space="preserve"> the SharePoint Document Library; Others - contact </w:t>
            </w:r>
            <w:hyperlink r:id="rId18" w:history="1">
              <w:r w:rsidRPr="005F7CAC">
                <w:rPr>
                  <w:rStyle w:val="Hyperlink"/>
                  <w:bCs/>
                </w:rPr>
                <w:t>hsdinfo@uw.edu</w:t>
              </w:r>
            </w:hyperlink>
            <w:r>
              <w:rPr>
                <w:bCs/>
              </w:rPr>
              <w:t>.</w:t>
            </w:r>
          </w:p>
        </w:tc>
      </w:tr>
    </w:tbl>
    <w:p w14:paraId="3B2C6C5B" w14:textId="18C0AE3A" w:rsidR="00F10F52" w:rsidRPr="009E1018" w:rsidRDefault="00F10F52" w:rsidP="00407EBE">
      <w:pPr>
        <w:pStyle w:val="NoSpacing"/>
        <w:spacing w:before="160"/>
        <w:rPr>
          <w:sz w:val="18"/>
          <w:szCs w:val="18"/>
        </w:rPr>
      </w:pPr>
      <w:r w:rsidRPr="009E1018">
        <w:rPr>
          <w:b/>
          <w:bCs/>
          <w:sz w:val="18"/>
          <w:szCs w:val="18"/>
        </w:rPr>
        <w:t>Key</w:t>
      </w:r>
      <w:r w:rsidR="00E43186">
        <w:rPr>
          <w:b/>
          <w:bCs/>
          <w:sz w:val="18"/>
          <w:szCs w:val="18"/>
        </w:rPr>
        <w:t>w</w:t>
      </w:r>
      <w:r w:rsidRPr="009E1018">
        <w:rPr>
          <w:b/>
          <w:bCs/>
          <w:sz w:val="18"/>
          <w:szCs w:val="18"/>
        </w:rPr>
        <w:t>ords:</w:t>
      </w:r>
      <w:r w:rsidRPr="009E1018">
        <w:rPr>
          <w:sz w:val="18"/>
          <w:szCs w:val="18"/>
        </w:rPr>
        <w:t xml:space="preserve"> </w:t>
      </w:r>
      <w:r w:rsidR="009E1018">
        <w:rPr>
          <w:sz w:val="18"/>
          <w:szCs w:val="18"/>
        </w:rPr>
        <w:t xml:space="preserve">Closure; Continuing review; </w:t>
      </w:r>
      <w:r w:rsidRPr="009E1018">
        <w:rPr>
          <w:sz w:val="18"/>
          <w:szCs w:val="18"/>
        </w:rPr>
        <w:t>Pre-</w:t>
      </w:r>
      <w:r w:rsidR="00E43186">
        <w:rPr>
          <w:sz w:val="18"/>
          <w:szCs w:val="18"/>
        </w:rPr>
        <w:t>r</w:t>
      </w:r>
      <w:r w:rsidRPr="009E1018">
        <w:rPr>
          <w:sz w:val="18"/>
          <w:szCs w:val="18"/>
        </w:rPr>
        <w:t>eview</w:t>
      </w:r>
    </w:p>
    <w:sectPr w:rsidR="00F10F52" w:rsidRPr="009E1018" w:rsidSect="00097BEC">
      <w:footerReference w:type="default" r:id="rId19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7BDB" w14:textId="77777777" w:rsidR="00454249" w:rsidRDefault="00454249" w:rsidP="009C5E1B">
      <w:pPr>
        <w:spacing w:after="0" w:line="240" w:lineRule="auto"/>
      </w:pPr>
      <w:r>
        <w:separator/>
      </w:r>
    </w:p>
  </w:endnote>
  <w:endnote w:type="continuationSeparator" w:id="0">
    <w:p w14:paraId="7AF9D5FA" w14:textId="77777777" w:rsidR="00454249" w:rsidRDefault="00454249" w:rsidP="009C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Footer"/>
      <w:tblDescription w:val="Contains the date posted, the document title, the page number, and the document number."/>
    </w:tblPr>
    <w:tblGrid>
      <w:gridCol w:w="3356"/>
      <w:gridCol w:w="3357"/>
      <w:gridCol w:w="3357"/>
    </w:tblGrid>
    <w:tr w:rsidR="00D66B17" w14:paraId="050F22B5" w14:textId="77777777" w:rsidTr="009D30A2">
      <w:tc>
        <w:tcPr>
          <w:tcW w:w="3356" w:type="dxa"/>
          <w:vAlign w:val="center"/>
        </w:tcPr>
        <w:p w14:paraId="2B8033DD" w14:textId="088642AF" w:rsidR="00D66B17" w:rsidRDefault="00097BEC" w:rsidP="00CA3D0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D</w:t>
          </w:r>
          <w:r w:rsidR="00D66B17">
            <w:rPr>
              <w:sz w:val="18"/>
              <w:szCs w:val="18"/>
            </w:rPr>
            <w:t>ate Implemented</w:t>
          </w:r>
        </w:p>
        <w:p w14:paraId="2FB5FF55" w14:textId="651197A5" w:rsidR="00562C47" w:rsidRPr="000C25E0" w:rsidRDefault="004E10EB" w:rsidP="00CA3D0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11.2</w:t>
          </w:r>
          <w:r w:rsidR="00B12D64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>.2025</w:t>
          </w:r>
        </w:p>
      </w:tc>
      <w:tc>
        <w:tcPr>
          <w:tcW w:w="3357" w:type="dxa"/>
          <w:vAlign w:val="center"/>
        </w:tcPr>
        <w:p w14:paraId="741124F6" w14:textId="6C71D491" w:rsidR="00D66B17" w:rsidRPr="000C25E0" w:rsidRDefault="00D66B17" w:rsidP="00CA3D0C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WORKSHEET Pre-Review, Continuing Review</w:t>
          </w:r>
        </w:p>
      </w:tc>
      <w:tc>
        <w:tcPr>
          <w:tcW w:w="3357" w:type="dxa"/>
          <w:vAlign w:val="center"/>
        </w:tcPr>
        <w:p w14:paraId="50C3DD57" w14:textId="77777777" w:rsidR="00D66B17" w:rsidRPr="000C25E0" w:rsidRDefault="00D66B17" w:rsidP="00CA3D0C">
          <w:pPr>
            <w:pStyle w:val="Footer"/>
            <w:jc w:val="right"/>
            <w:rPr>
              <w:sz w:val="18"/>
              <w:szCs w:val="18"/>
            </w:rPr>
          </w:pPr>
          <w:r w:rsidRPr="000C25E0">
            <w:rPr>
              <w:sz w:val="18"/>
              <w:szCs w:val="18"/>
            </w:rPr>
            <w:t xml:space="preserve">Page </w:t>
          </w:r>
          <w:r w:rsidRPr="000C25E0">
            <w:rPr>
              <w:bCs/>
              <w:sz w:val="18"/>
              <w:szCs w:val="18"/>
            </w:rPr>
            <w:fldChar w:fldCharType="begin"/>
          </w:r>
          <w:r w:rsidRPr="000C25E0">
            <w:rPr>
              <w:bCs/>
              <w:sz w:val="18"/>
              <w:szCs w:val="18"/>
            </w:rPr>
            <w:instrText xml:space="preserve"> PAGE  \* Arabic  \* MERGEFORMAT </w:instrText>
          </w:r>
          <w:r w:rsidRPr="000C25E0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14</w:t>
          </w:r>
          <w:r w:rsidRPr="000C25E0">
            <w:rPr>
              <w:bCs/>
              <w:sz w:val="18"/>
              <w:szCs w:val="18"/>
            </w:rPr>
            <w:fldChar w:fldCharType="end"/>
          </w:r>
          <w:r w:rsidRPr="000C25E0">
            <w:rPr>
              <w:sz w:val="18"/>
              <w:szCs w:val="18"/>
            </w:rPr>
            <w:t xml:space="preserve"> of </w:t>
          </w:r>
          <w:r w:rsidRPr="000C25E0">
            <w:rPr>
              <w:bCs/>
              <w:sz w:val="18"/>
              <w:szCs w:val="18"/>
            </w:rPr>
            <w:fldChar w:fldCharType="begin"/>
          </w:r>
          <w:r w:rsidRPr="000C25E0">
            <w:rPr>
              <w:bCs/>
              <w:sz w:val="18"/>
              <w:szCs w:val="18"/>
            </w:rPr>
            <w:instrText xml:space="preserve"> NUMPAGES  \* Arabic  \* MERGEFORMAT </w:instrText>
          </w:r>
          <w:r w:rsidRPr="000C25E0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14</w:t>
          </w:r>
          <w:r w:rsidRPr="000C25E0">
            <w:rPr>
              <w:bCs/>
              <w:sz w:val="18"/>
              <w:szCs w:val="18"/>
            </w:rPr>
            <w:fldChar w:fldCharType="end"/>
          </w:r>
        </w:p>
      </w:tc>
    </w:tr>
    <w:tr w:rsidR="00D66B17" w14:paraId="762C17CC" w14:textId="77777777" w:rsidTr="009D30A2">
      <w:tc>
        <w:tcPr>
          <w:tcW w:w="3356" w:type="dxa"/>
        </w:tcPr>
        <w:p w14:paraId="30B333E6" w14:textId="12B78CE2" w:rsidR="00D66B17" w:rsidRPr="000C25E0" w:rsidRDefault="00D66B17" w:rsidP="00CA3D0C">
          <w:pPr>
            <w:pStyle w:val="Footer"/>
            <w:tabs>
              <w:tab w:val="clear" w:pos="4680"/>
              <w:tab w:val="clear" w:pos="9360"/>
              <w:tab w:val="center" w:pos="1570"/>
              <w:tab w:val="left" w:pos="1947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CB2D11">
            <w:rPr>
              <w:sz w:val="18"/>
              <w:szCs w:val="18"/>
            </w:rPr>
            <w:t>3.</w:t>
          </w:r>
          <w:r w:rsidR="004E10EB">
            <w:rPr>
              <w:sz w:val="18"/>
              <w:szCs w:val="18"/>
            </w:rPr>
            <w:t>2</w:t>
          </w:r>
        </w:p>
      </w:tc>
      <w:tc>
        <w:tcPr>
          <w:tcW w:w="3357" w:type="dxa"/>
        </w:tcPr>
        <w:p w14:paraId="65DAD698" w14:textId="77777777" w:rsidR="00D66B17" w:rsidRPr="000C25E0" w:rsidRDefault="00D66B17" w:rsidP="00CA3D0C">
          <w:pPr>
            <w:pStyle w:val="Footer"/>
            <w:rPr>
              <w:sz w:val="18"/>
              <w:szCs w:val="18"/>
            </w:rPr>
          </w:pPr>
        </w:p>
      </w:tc>
      <w:tc>
        <w:tcPr>
          <w:tcW w:w="3357" w:type="dxa"/>
          <w:vAlign w:val="center"/>
        </w:tcPr>
        <w:p w14:paraId="17676F78" w14:textId="19043761" w:rsidR="00D66B17" w:rsidRPr="000C25E0" w:rsidRDefault="00D66B17" w:rsidP="00CA3D0C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1D4BDE94" w14:textId="5582772B" w:rsidR="00D66B17" w:rsidRDefault="00D66B17">
    <w:pPr>
      <w:pStyle w:val="Footer"/>
    </w:pPr>
  </w:p>
  <w:p w14:paraId="69DC459D" w14:textId="77777777" w:rsidR="00D66B17" w:rsidRDefault="00D66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6E68" w14:textId="77777777" w:rsidR="00454249" w:rsidRDefault="00454249" w:rsidP="009C5E1B">
      <w:pPr>
        <w:spacing w:after="0" w:line="240" w:lineRule="auto"/>
      </w:pPr>
      <w:r>
        <w:separator/>
      </w:r>
    </w:p>
  </w:footnote>
  <w:footnote w:type="continuationSeparator" w:id="0">
    <w:p w14:paraId="05F4B8E5" w14:textId="77777777" w:rsidR="00454249" w:rsidRDefault="00454249" w:rsidP="009C5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EE3"/>
    <w:multiLevelType w:val="multilevel"/>
    <w:tmpl w:val="AF9C9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2E67167"/>
    <w:multiLevelType w:val="hybridMultilevel"/>
    <w:tmpl w:val="A8D0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879"/>
    <w:multiLevelType w:val="hybridMultilevel"/>
    <w:tmpl w:val="EEC8150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08863AE"/>
    <w:multiLevelType w:val="hybridMultilevel"/>
    <w:tmpl w:val="AC9E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25B8"/>
    <w:multiLevelType w:val="hybridMultilevel"/>
    <w:tmpl w:val="FA2AD0B4"/>
    <w:lvl w:ilvl="0" w:tplc="FA7870C4">
      <w:start w:val="1"/>
      <w:numFmt w:val="decimal"/>
      <w:lvlText w:val="%1"/>
      <w:lvlJc w:val="left"/>
      <w:pPr>
        <w:ind w:left="4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5" w15:restartNumberingAfterBreak="0">
    <w:nsid w:val="14D14804"/>
    <w:multiLevelType w:val="hybridMultilevel"/>
    <w:tmpl w:val="0DC6C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5F7697"/>
    <w:multiLevelType w:val="hybridMultilevel"/>
    <w:tmpl w:val="92507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B2F44"/>
    <w:multiLevelType w:val="hybridMultilevel"/>
    <w:tmpl w:val="30D4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D75DC"/>
    <w:multiLevelType w:val="hybridMultilevel"/>
    <w:tmpl w:val="3BF8E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E7346"/>
    <w:multiLevelType w:val="hybridMultilevel"/>
    <w:tmpl w:val="9B06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60656"/>
    <w:multiLevelType w:val="hybridMultilevel"/>
    <w:tmpl w:val="7DA0D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A6ECC"/>
    <w:multiLevelType w:val="hybridMultilevel"/>
    <w:tmpl w:val="CF90538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BCD1DA1"/>
    <w:multiLevelType w:val="hybridMultilevel"/>
    <w:tmpl w:val="AB9A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425A5"/>
    <w:multiLevelType w:val="hybridMultilevel"/>
    <w:tmpl w:val="29A02FEE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46E5F"/>
    <w:multiLevelType w:val="hybridMultilevel"/>
    <w:tmpl w:val="A538C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10147"/>
    <w:multiLevelType w:val="hybridMultilevel"/>
    <w:tmpl w:val="793461AC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76DF"/>
    <w:multiLevelType w:val="hybridMultilevel"/>
    <w:tmpl w:val="952C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A2DC4"/>
    <w:multiLevelType w:val="hybridMultilevel"/>
    <w:tmpl w:val="DE50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4FB0"/>
    <w:multiLevelType w:val="hybridMultilevel"/>
    <w:tmpl w:val="BFF0E068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9" w15:restartNumberingAfterBreak="0">
    <w:nsid w:val="411F0AD3"/>
    <w:multiLevelType w:val="hybridMultilevel"/>
    <w:tmpl w:val="68E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7F706754">
      <w:start w:val="1"/>
      <w:numFmt w:val="bullet"/>
      <w:lvlText w:val="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3744"/>
    <w:multiLevelType w:val="hybridMultilevel"/>
    <w:tmpl w:val="3134FD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1995CA3"/>
    <w:multiLevelType w:val="hybridMultilevel"/>
    <w:tmpl w:val="DE46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41CF3"/>
    <w:multiLevelType w:val="multilevel"/>
    <w:tmpl w:val="A0CC2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66D17A7"/>
    <w:multiLevelType w:val="hybridMultilevel"/>
    <w:tmpl w:val="1B226C7A"/>
    <w:lvl w:ilvl="0" w:tplc="7F70675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B47D3"/>
    <w:multiLevelType w:val="hybridMultilevel"/>
    <w:tmpl w:val="EE18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03047"/>
    <w:multiLevelType w:val="multilevel"/>
    <w:tmpl w:val="9ECA5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48680DD0"/>
    <w:multiLevelType w:val="hybridMultilevel"/>
    <w:tmpl w:val="AB567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03145"/>
    <w:multiLevelType w:val="hybridMultilevel"/>
    <w:tmpl w:val="ABA8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96CDA"/>
    <w:multiLevelType w:val="hybridMultilevel"/>
    <w:tmpl w:val="83746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AD65A5"/>
    <w:multiLevelType w:val="multilevel"/>
    <w:tmpl w:val="7D1C271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83649A3"/>
    <w:multiLevelType w:val="hybridMultilevel"/>
    <w:tmpl w:val="37122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B00467"/>
    <w:multiLevelType w:val="hybridMultilevel"/>
    <w:tmpl w:val="23DAB1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7157CC"/>
    <w:multiLevelType w:val="hybridMultilevel"/>
    <w:tmpl w:val="048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576DB"/>
    <w:multiLevelType w:val="hybridMultilevel"/>
    <w:tmpl w:val="1EE4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57B94"/>
    <w:multiLevelType w:val="hybridMultilevel"/>
    <w:tmpl w:val="74EC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33F7B"/>
    <w:multiLevelType w:val="hybridMultilevel"/>
    <w:tmpl w:val="4C00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67094"/>
    <w:multiLevelType w:val="hybridMultilevel"/>
    <w:tmpl w:val="06E8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25BF7"/>
    <w:multiLevelType w:val="hybridMultilevel"/>
    <w:tmpl w:val="BF5C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10516"/>
    <w:multiLevelType w:val="hybridMultilevel"/>
    <w:tmpl w:val="32BA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01646"/>
    <w:multiLevelType w:val="hybridMultilevel"/>
    <w:tmpl w:val="4FE8C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972618"/>
    <w:multiLevelType w:val="hybridMultilevel"/>
    <w:tmpl w:val="7D7C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14EFE"/>
    <w:multiLevelType w:val="hybridMultilevel"/>
    <w:tmpl w:val="D8B6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04FB"/>
    <w:multiLevelType w:val="hybridMultilevel"/>
    <w:tmpl w:val="2DCA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78214">
    <w:abstractNumId w:val="18"/>
  </w:num>
  <w:num w:numId="2" w16cid:durableId="728311599">
    <w:abstractNumId w:val="4"/>
  </w:num>
  <w:num w:numId="3" w16cid:durableId="415631271">
    <w:abstractNumId w:val="15"/>
  </w:num>
  <w:num w:numId="4" w16cid:durableId="906963961">
    <w:abstractNumId w:val="26"/>
  </w:num>
  <w:num w:numId="5" w16cid:durableId="1801921491">
    <w:abstractNumId w:val="13"/>
  </w:num>
  <w:num w:numId="6" w16cid:durableId="1728842634">
    <w:abstractNumId w:val="36"/>
  </w:num>
  <w:num w:numId="7" w16cid:durableId="1509565555">
    <w:abstractNumId w:val="7"/>
  </w:num>
  <w:num w:numId="8" w16cid:durableId="989400949">
    <w:abstractNumId w:val="38"/>
  </w:num>
  <w:num w:numId="9" w16cid:durableId="1612398642">
    <w:abstractNumId w:val="29"/>
  </w:num>
  <w:num w:numId="10" w16cid:durableId="740371099">
    <w:abstractNumId w:val="2"/>
  </w:num>
  <w:num w:numId="11" w16cid:durableId="1530995151">
    <w:abstractNumId w:val="10"/>
  </w:num>
  <w:num w:numId="12" w16cid:durableId="1227958101">
    <w:abstractNumId w:val="3"/>
  </w:num>
  <w:num w:numId="13" w16cid:durableId="767433397">
    <w:abstractNumId w:val="32"/>
  </w:num>
  <w:num w:numId="14" w16cid:durableId="1452747854">
    <w:abstractNumId w:val="34"/>
  </w:num>
  <w:num w:numId="15" w16cid:durableId="367532042">
    <w:abstractNumId w:val="41"/>
  </w:num>
  <w:num w:numId="16" w16cid:durableId="903104935">
    <w:abstractNumId w:val="16"/>
  </w:num>
  <w:num w:numId="17" w16cid:durableId="785391248">
    <w:abstractNumId w:val="12"/>
  </w:num>
  <w:num w:numId="18" w16cid:durableId="162625662">
    <w:abstractNumId w:val="0"/>
  </w:num>
  <w:num w:numId="19" w16cid:durableId="1875657251">
    <w:abstractNumId w:val="11"/>
  </w:num>
  <w:num w:numId="20" w16cid:durableId="1342779427">
    <w:abstractNumId w:val="33"/>
  </w:num>
  <w:num w:numId="21" w16cid:durableId="1646624068">
    <w:abstractNumId w:val="28"/>
  </w:num>
  <w:num w:numId="22" w16cid:durableId="1737510208">
    <w:abstractNumId w:val="40"/>
  </w:num>
  <w:num w:numId="23" w16cid:durableId="155146539">
    <w:abstractNumId w:val="5"/>
  </w:num>
  <w:num w:numId="24" w16cid:durableId="1844929888">
    <w:abstractNumId w:val="8"/>
  </w:num>
  <w:num w:numId="25" w16cid:durableId="1461722865">
    <w:abstractNumId w:val="22"/>
  </w:num>
  <w:num w:numId="26" w16cid:durableId="1076900759">
    <w:abstractNumId w:val="17"/>
  </w:num>
  <w:num w:numId="27" w16cid:durableId="1089888280">
    <w:abstractNumId w:val="31"/>
  </w:num>
  <w:num w:numId="28" w16cid:durableId="1741828416">
    <w:abstractNumId w:val="30"/>
  </w:num>
  <w:num w:numId="29" w16cid:durableId="668217536">
    <w:abstractNumId w:val="27"/>
  </w:num>
  <w:num w:numId="30" w16cid:durableId="1369451820">
    <w:abstractNumId w:val="24"/>
  </w:num>
  <w:num w:numId="31" w16cid:durableId="1840611105">
    <w:abstractNumId w:val="25"/>
  </w:num>
  <w:num w:numId="32" w16cid:durableId="2011833356">
    <w:abstractNumId w:val="37"/>
  </w:num>
  <w:num w:numId="33" w16cid:durableId="467013865">
    <w:abstractNumId w:val="1"/>
  </w:num>
  <w:num w:numId="34" w16cid:durableId="981498062">
    <w:abstractNumId w:val="20"/>
  </w:num>
  <w:num w:numId="35" w16cid:durableId="135728617">
    <w:abstractNumId w:val="14"/>
  </w:num>
  <w:num w:numId="36" w16cid:durableId="272246721">
    <w:abstractNumId w:val="42"/>
  </w:num>
  <w:num w:numId="37" w16cid:durableId="1344697935">
    <w:abstractNumId w:val="39"/>
  </w:num>
  <w:num w:numId="38" w16cid:durableId="1810897848">
    <w:abstractNumId w:val="21"/>
  </w:num>
  <w:num w:numId="39" w16cid:durableId="41448068">
    <w:abstractNumId w:val="35"/>
  </w:num>
  <w:num w:numId="40" w16cid:durableId="961499478">
    <w:abstractNumId w:val="9"/>
  </w:num>
  <w:num w:numId="41" w16cid:durableId="1230380666">
    <w:abstractNumId w:val="23"/>
  </w:num>
  <w:num w:numId="42" w16cid:durableId="1440833995">
    <w:abstractNumId w:val="19"/>
  </w:num>
  <w:num w:numId="43" w16cid:durableId="1003894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CF"/>
    <w:rsid w:val="00003AA1"/>
    <w:rsid w:val="00003DD3"/>
    <w:rsid w:val="00005007"/>
    <w:rsid w:val="0000575C"/>
    <w:rsid w:val="0000776C"/>
    <w:rsid w:val="00015BAA"/>
    <w:rsid w:val="00027551"/>
    <w:rsid w:val="000277EB"/>
    <w:rsid w:val="00030FAF"/>
    <w:rsid w:val="00031AE7"/>
    <w:rsid w:val="00032761"/>
    <w:rsid w:val="000335BD"/>
    <w:rsid w:val="00034580"/>
    <w:rsid w:val="00040B15"/>
    <w:rsid w:val="000449B2"/>
    <w:rsid w:val="00045CF5"/>
    <w:rsid w:val="00045FAF"/>
    <w:rsid w:val="00052F90"/>
    <w:rsid w:val="00057C98"/>
    <w:rsid w:val="0006113C"/>
    <w:rsid w:val="00061791"/>
    <w:rsid w:val="00061F6F"/>
    <w:rsid w:val="00064FEE"/>
    <w:rsid w:val="00066F87"/>
    <w:rsid w:val="00067B38"/>
    <w:rsid w:val="00071CA8"/>
    <w:rsid w:val="00074F8A"/>
    <w:rsid w:val="0007565E"/>
    <w:rsid w:val="0007595D"/>
    <w:rsid w:val="0007761C"/>
    <w:rsid w:val="00080FCB"/>
    <w:rsid w:val="000837B9"/>
    <w:rsid w:val="000843AE"/>
    <w:rsid w:val="00085744"/>
    <w:rsid w:val="00091378"/>
    <w:rsid w:val="00093D4A"/>
    <w:rsid w:val="00097BEB"/>
    <w:rsid w:val="00097BEC"/>
    <w:rsid w:val="000A12DE"/>
    <w:rsid w:val="000A141D"/>
    <w:rsid w:val="000A1F10"/>
    <w:rsid w:val="000A238C"/>
    <w:rsid w:val="000A2701"/>
    <w:rsid w:val="000A37BF"/>
    <w:rsid w:val="000A631B"/>
    <w:rsid w:val="000B4751"/>
    <w:rsid w:val="000B7440"/>
    <w:rsid w:val="000B77C9"/>
    <w:rsid w:val="000C239B"/>
    <w:rsid w:val="000C3793"/>
    <w:rsid w:val="000D0D0C"/>
    <w:rsid w:val="000D76BD"/>
    <w:rsid w:val="000E1916"/>
    <w:rsid w:val="000E1CE0"/>
    <w:rsid w:val="000E2B30"/>
    <w:rsid w:val="000E33E9"/>
    <w:rsid w:val="000E5BB7"/>
    <w:rsid w:val="000E71BA"/>
    <w:rsid w:val="000E7D30"/>
    <w:rsid w:val="000F7EE7"/>
    <w:rsid w:val="00100893"/>
    <w:rsid w:val="00100956"/>
    <w:rsid w:val="00100A50"/>
    <w:rsid w:val="00101331"/>
    <w:rsid w:val="00101388"/>
    <w:rsid w:val="00103494"/>
    <w:rsid w:val="0010388C"/>
    <w:rsid w:val="0010689D"/>
    <w:rsid w:val="001068C7"/>
    <w:rsid w:val="00107DEA"/>
    <w:rsid w:val="00115298"/>
    <w:rsid w:val="0011671D"/>
    <w:rsid w:val="001221EA"/>
    <w:rsid w:val="0012562B"/>
    <w:rsid w:val="0012673A"/>
    <w:rsid w:val="001274B6"/>
    <w:rsid w:val="00127CB7"/>
    <w:rsid w:val="00130526"/>
    <w:rsid w:val="00130B89"/>
    <w:rsid w:val="00130F3E"/>
    <w:rsid w:val="00131591"/>
    <w:rsid w:val="00132669"/>
    <w:rsid w:val="00134003"/>
    <w:rsid w:val="00140763"/>
    <w:rsid w:val="00140AEF"/>
    <w:rsid w:val="001438A3"/>
    <w:rsid w:val="00143C46"/>
    <w:rsid w:val="00146AF3"/>
    <w:rsid w:val="00173D47"/>
    <w:rsid w:val="00175763"/>
    <w:rsid w:val="00177063"/>
    <w:rsid w:val="00180B3F"/>
    <w:rsid w:val="0018272E"/>
    <w:rsid w:val="0019329C"/>
    <w:rsid w:val="00193731"/>
    <w:rsid w:val="00194B58"/>
    <w:rsid w:val="00196F3E"/>
    <w:rsid w:val="001A3DEB"/>
    <w:rsid w:val="001A44CD"/>
    <w:rsid w:val="001A4DA4"/>
    <w:rsid w:val="001A7F76"/>
    <w:rsid w:val="001B3AA2"/>
    <w:rsid w:val="001C1775"/>
    <w:rsid w:val="001C47C9"/>
    <w:rsid w:val="001C7145"/>
    <w:rsid w:val="001D3F11"/>
    <w:rsid w:val="001D437F"/>
    <w:rsid w:val="001D5A93"/>
    <w:rsid w:val="001D7B6A"/>
    <w:rsid w:val="001D7FEC"/>
    <w:rsid w:val="001E6D5D"/>
    <w:rsid w:val="001E701E"/>
    <w:rsid w:val="001F1E8B"/>
    <w:rsid w:val="001F29C5"/>
    <w:rsid w:val="001F438F"/>
    <w:rsid w:val="001F5405"/>
    <w:rsid w:val="001F607B"/>
    <w:rsid w:val="001F70BB"/>
    <w:rsid w:val="002018F2"/>
    <w:rsid w:val="00202396"/>
    <w:rsid w:val="002046BC"/>
    <w:rsid w:val="00204797"/>
    <w:rsid w:val="00206FD8"/>
    <w:rsid w:val="0021301C"/>
    <w:rsid w:val="0022327E"/>
    <w:rsid w:val="00223438"/>
    <w:rsid w:val="00223763"/>
    <w:rsid w:val="002325FF"/>
    <w:rsid w:val="0023708B"/>
    <w:rsid w:val="002406E3"/>
    <w:rsid w:val="00242DBB"/>
    <w:rsid w:val="00243451"/>
    <w:rsid w:val="00247A5A"/>
    <w:rsid w:val="00247FED"/>
    <w:rsid w:val="00252A57"/>
    <w:rsid w:val="00252F8E"/>
    <w:rsid w:val="00255406"/>
    <w:rsid w:val="00257334"/>
    <w:rsid w:val="00257C60"/>
    <w:rsid w:val="00257D75"/>
    <w:rsid w:val="00261827"/>
    <w:rsid w:val="00261CF1"/>
    <w:rsid w:val="00263BBC"/>
    <w:rsid w:val="00263FFC"/>
    <w:rsid w:val="00267727"/>
    <w:rsid w:val="00272304"/>
    <w:rsid w:val="00273A5D"/>
    <w:rsid w:val="00277F59"/>
    <w:rsid w:val="002927ED"/>
    <w:rsid w:val="00292C62"/>
    <w:rsid w:val="0029316C"/>
    <w:rsid w:val="00295CD7"/>
    <w:rsid w:val="002974D7"/>
    <w:rsid w:val="002A278E"/>
    <w:rsid w:val="002A787D"/>
    <w:rsid w:val="002B0F07"/>
    <w:rsid w:val="002B2B0B"/>
    <w:rsid w:val="002B340C"/>
    <w:rsid w:val="002B5665"/>
    <w:rsid w:val="002C253D"/>
    <w:rsid w:val="002C35A7"/>
    <w:rsid w:val="002C4B69"/>
    <w:rsid w:val="002C614F"/>
    <w:rsid w:val="002D1803"/>
    <w:rsid w:val="002D19A2"/>
    <w:rsid w:val="002D2B55"/>
    <w:rsid w:val="002D5400"/>
    <w:rsid w:val="002D761D"/>
    <w:rsid w:val="002E17DF"/>
    <w:rsid w:val="002E4377"/>
    <w:rsid w:val="002E7841"/>
    <w:rsid w:val="002F0354"/>
    <w:rsid w:val="002F1C4B"/>
    <w:rsid w:val="002F1FB6"/>
    <w:rsid w:val="002F28B5"/>
    <w:rsid w:val="002F6C99"/>
    <w:rsid w:val="003040BE"/>
    <w:rsid w:val="0031071D"/>
    <w:rsid w:val="003113E3"/>
    <w:rsid w:val="003127D0"/>
    <w:rsid w:val="00316418"/>
    <w:rsid w:val="00316C99"/>
    <w:rsid w:val="00325868"/>
    <w:rsid w:val="0032797C"/>
    <w:rsid w:val="00327C9D"/>
    <w:rsid w:val="00330ADA"/>
    <w:rsid w:val="00331456"/>
    <w:rsid w:val="00332B5C"/>
    <w:rsid w:val="00332EA3"/>
    <w:rsid w:val="00333307"/>
    <w:rsid w:val="0033372E"/>
    <w:rsid w:val="003369D8"/>
    <w:rsid w:val="0034099E"/>
    <w:rsid w:val="00340AEF"/>
    <w:rsid w:val="003434F2"/>
    <w:rsid w:val="00345E49"/>
    <w:rsid w:val="003470B3"/>
    <w:rsid w:val="00357D10"/>
    <w:rsid w:val="003621DD"/>
    <w:rsid w:val="00363711"/>
    <w:rsid w:val="0037760C"/>
    <w:rsid w:val="00377F2D"/>
    <w:rsid w:val="003812CD"/>
    <w:rsid w:val="00382AA8"/>
    <w:rsid w:val="00382E30"/>
    <w:rsid w:val="00384D7D"/>
    <w:rsid w:val="003872CC"/>
    <w:rsid w:val="00390ACC"/>
    <w:rsid w:val="00390CDC"/>
    <w:rsid w:val="00391D4C"/>
    <w:rsid w:val="0039400F"/>
    <w:rsid w:val="00394D93"/>
    <w:rsid w:val="003955FE"/>
    <w:rsid w:val="00397F6F"/>
    <w:rsid w:val="003A36EC"/>
    <w:rsid w:val="003B0DF7"/>
    <w:rsid w:val="003B1C58"/>
    <w:rsid w:val="003C071B"/>
    <w:rsid w:val="003C0DAC"/>
    <w:rsid w:val="003C38B2"/>
    <w:rsid w:val="003D08AB"/>
    <w:rsid w:val="003D2CF6"/>
    <w:rsid w:val="003D2DCF"/>
    <w:rsid w:val="003D350F"/>
    <w:rsid w:val="003D3619"/>
    <w:rsid w:val="003D4946"/>
    <w:rsid w:val="003D7C72"/>
    <w:rsid w:val="003E168D"/>
    <w:rsid w:val="003E1CFD"/>
    <w:rsid w:val="003E3B92"/>
    <w:rsid w:val="003E4832"/>
    <w:rsid w:val="003E5236"/>
    <w:rsid w:val="003E58F5"/>
    <w:rsid w:val="003E7A57"/>
    <w:rsid w:val="003F48A1"/>
    <w:rsid w:val="003F48C3"/>
    <w:rsid w:val="003F63AE"/>
    <w:rsid w:val="003F6A9B"/>
    <w:rsid w:val="00401331"/>
    <w:rsid w:val="00404780"/>
    <w:rsid w:val="00405F39"/>
    <w:rsid w:val="00407EBE"/>
    <w:rsid w:val="004123E2"/>
    <w:rsid w:val="00413DCF"/>
    <w:rsid w:val="00417E17"/>
    <w:rsid w:val="004204C5"/>
    <w:rsid w:val="00421187"/>
    <w:rsid w:val="004233ED"/>
    <w:rsid w:val="00425D1F"/>
    <w:rsid w:val="00431661"/>
    <w:rsid w:val="00432135"/>
    <w:rsid w:val="0043310D"/>
    <w:rsid w:val="00435AFC"/>
    <w:rsid w:val="004362F7"/>
    <w:rsid w:val="00436D8B"/>
    <w:rsid w:val="00437319"/>
    <w:rsid w:val="0043781A"/>
    <w:rsid w:val="004403C5"/>
    <w:rsid w:val="00444BF7"/>
    <w:rsid w:val="0044598C"/>
    <w:rsid w:val="00447264"/>
    <w:rsid w:val="00447F2A"/>
    <w:rsid w:val="00450B4F"/>
    <w:rsid w:val="00452AD7"/>
    <w:rsid w:val="00452BD1"/>
    <w:rsid w:val="0045412C"/>
    <w:rsid w:val="00454249"/>
    <w:rsid w:val="00456905"/>
    <w:rsid w:val="004604C2"/>
    <w:rsid w:val="004662C9"/>
    <w:rsid w:val="0046665B"/>
    <w:rsid w:val="00473E91"/>
    <w:rsid w:val="004742ED"/>
    <w:rsid w:val="004831C0"/>
    <w:rsid w:val="00483801"/>
    <w:rsid w:val="00483AE0"/>
    <w:rsid w:val="00485A55"/>
    <w:rsid w:val="00487A81"/>
    <w:rsid w:val="00492A19"/>
    <w:rsid w:val="00493F50"/>
    <w:rsid w:val="004A75D4"/>
    <w:rsid w:val="004C10D2"/>
    <w:rsid w:val="004C3465"/>
    <w:rsid w:val="004C3858"/>
    <w:rsid w:val="004C3CB6"/>
    <w:rsid w:val="004C4378"/>
    <w:rsid w:val="004C47AC"/>
    <w:rsid w:val="004D2A48"/>
    <w:rsid w:val="004D6C71"/>
    <w:rsid w:val="004E10EB"/>
    <w:rsid w:val="004E4336"/>
    <w:rsid w:val="004F1195"/>
    <w:rsid w:val="004F3A53"/>
    <w:rsid w:val="004F5BBB"/>
    <w:rsid w:val="004F6F5E"/>
    <w:rsid w:val="004F7DA1"/>
    <w:rsid w:val="00502CCB"/>
    <w:rsid w:val="00505097"/>
    <w:rsid w:val="00506029"/>
    <w:rsid w:val="00507763"/>
    <w:rsid w:val="00513EFD"/>
    <w:rsid w:val="00517459"/>
    <w:rsid w:val="00521837"/>
    <w:rsid w:val="0052678B"/>
    <w:rsid w:val="00527BA9"/>
    <w:rsid w:val="005325E5"/>
    <w:rsid w:val="005329E4"/>
    <w:rsid w:val="005402B8"/>
    <w:rsid w:val="005410EA"/>
    <w:rsid w:val="005419F0"/>
    <w:rsid w:val="00545AA7"/>
    <w:rsid w:val="00547A85"/>
    <w:rsid w:val="00553178"/>
    <w:rsid w:val="00554F52"/>
    <w:rsid w:val="005551E3"/>
    <w:rsid w:val="00557E81"/>
    <w:rsid w:val="00561207"/>
    <w:rsid w:val="00561E41"/>
    <w:rsid w:val="00562C47"/>
    <w:rsid w:val="00563129"/>
    <w:rsid w:val="005675A9"/>
    <w:rsid w:val="00571C38"/>
    <w:rsid w:val="00574EB1"/>
    <w:rsid w:val="0058275B"/>
    <w:rsid w:val="00592CE8"/>
    <w:rsid w:val="00594562"/>
    <w:rsid w:val="0059506C"/>
    <w:rsid w:val="00595F6F"/>
    <w:rsid w:val="00596042"/>
    <w:rsid w:val="005A10BE"/>
    <w:rsid w:val="005A2069"/>
    <w:rsid w:val="005A7023"/>
    <w:rsid w:val="005B0948"/>
    <w:rsid w:val="005B18AB"/>
    <w:rsid w:val="005C0CBF"/>
    <w:rsid w:val="005C10AA"/>
    <w:rsid w:val="005C1DE7"/>
    <w:rsid w:val="005C3F44"/>
    <w:rsid w:val="005D1073"/>
    <w:rsid w:val="005D4250"/>
    <w:rsid w:val="005D485D"/>
    <w:rsid w:val="005D553E"/>
    <w:rsid w:val="005D77D0"/>
    <w:rsid w:val="005D7CD4"/>
    <w:rsid w:val="005E21FF"/>
    <w:rsid w:val="005E492A"/>
    <w:rsid w:val="005E737C"/>
    <w:rsid w:val="005F1369"/>
    <w:rsid w:val="005F2143"/>
    <w:rsid w:val="005F5CBC"/>
    <w:rsid w:val="006012F7"/>
    <w:rsid w:val="00603108"/>
    <w:rsid w:val="00603622"/>
    <w:rsid w:val="00603D6F"/>
    <w:rsid w:val="006070C1"/>
    <w:rsid w:val="006075D7"/>
    <w:rsid w:val="006120B5"/>
    <w:rsid w:val="0061246B"/>
    <w:rsid w:val="006136C0"/>
    <w:rsid w:val="00614C3B"/>
    <w:rsid w:val="0061611D"/>
    <w:rsid w:val="0061733C"/>
    <w:rsid w:val="00620998"/>
    <w:rsid w:val="00624451"/>
    <w:rsid w:val="00625760"/>
    <w:rsid w:val="00632868"/>
    <w:rsid w:val="00637330"/>
    <w:rsid w:val="00637DB8"/>
    <w:rsid w:val="00642ED6"/>
    <w:rsid w:val="00646883"/>
    <w:rsid w:val="00647E75"/>
    <w:rsid w:val="006572F4"/>
    <w:rsid w:val="00657EB5"/>
    <w:rsid w:val="00664165"/>
    <w:rsid w:val="00664720"/>
    <w:rsid w:val="006669D1"/>
    <w:rsid w:val="00670B10"/>
    <w:rsid w:val="006756D2"/>
    <w:rsid w:val="00685ECE"/>
    <w:rsid w:val="006A131D"/>
    <w:rsid w:val="006A15D8"/>
    <w:rsid w:val="006A5DC0"/>
    <w:rsid w:val="006A6092"/>
    <w:rsid w:val="006A663B"/>
    <w:rsid w:val="006A6F68"/>
    <w:rsid w:val="006B11E5"/>
    <w:rsid w:val="006B22F4"/>
    <w:rsid w:val="006B24E9"/>
    <w:rsid w:val="006B5D00"/>
    <w:rsid w:val="006B5EA0"/>
    <w:rsid w:val="006B6663"/>
    <w:rsid w:val="006C2094"/>
    <w:rsid w:val="006C3D3C"/>
    <w:rsid w:val="006C3F28"/>
    <w:rsid w:val="006C6940"/>
    <w:rsid w:val="006D28BA"/>
    <w:rsid w:val="006D3DAB"/>
    <w:rsid w:val="006D4BD2"/>
    <w:rsid w:val="006D57BE"/>
    <w:rsid w:val="006D69FD"/>
    <w:rsid w:val="006E0B65"/>
    <w:rsid w:val="006E1400"/>
    <w:rsid w:val="006E1483"/>
    <w:rsid w:val="006E27FF"/>
    <w:rsid w:val="006E3CE7"/>
    <w:rsid w:val="006E428D"/>
    <w:rsid w:val="006E5279"/>
    <w:rsid w:val="006E76B3"/>
    <w:rsid w:val="006F3FB3"/>
    <w:rsid w:val="006F46FC"/>
    <w:rsid w:val="006F4983"/>
    <w:rsid w:val="006F5CB6"/>
    <w:rsid w:val="006F6315"/>
    <w:rsid w:val="006F6428"/>
    <w:rsid w:val="006F64EC"/>
    <w:rsid w:val="006F6FFD"/>
    <w:rsid w:val="00701077"/>
    <w:rsid w:val="00702C16"/>
    <w:rsid w:val="00703133"/>
    <w:rsid w:val="00703746"/>
    <w:rsid w:val="0070397C"/>
    <w:rsid w:val="00704155"/>
    <w:rsid w:val="00704B43"/>
    <w:rsid w:val="0071189E"/>
    <w:rsid w:val="00711AA9"/>
    <w:rsid w:val="007142DC"/>
    <w:rsid w:val="0071494C"/>
    <w:rsid w:val="00716FF1"/>
    <w:rsid w:val="00717889"/>
    <w:rsid w:val="00717DE2"/>
    <w:rsid w:val="00720146"/>
    <w:rsid w:val="00720162"/>
    <w:rsid w:val="00724ED7"/>
    <w:rsid w:val="00724F37"/>
    <w:rsid w:val="007251FA"/>
    <w:rsid w:val="00730B04"/>
    <w:rsid w:val="00732001"/>
    <w:rsid w:val="00736FA5"/>
    <w:rsid w:val="0073738E"/>
    <w:rsid w:val="0074060D"/>
    <w:rsid w:val="0074754F"/>
    <w:rsid w:val="00751771"/>
    <w:rsid w:val="00751EDB"/>
    <w:rsid w:val="0075231C"/>
    <w:rsid w:val="007567B2"/>
    <w:rsid w:val="00756C02"/>
    <w:rsid w:val="007570A4"/>
    <w:rsid w:val="00757C9C"/>
    <w:rsid w:val="00762D12"/>
    <w:rsid w:val="00767834"/>
    <w:rsid w:val="00770879"/>
    <w:rsid w:val="00773969"/>
    <w:rsid w:val="0077739A"/>
    <w:rsid w:val="00777924"/>
    <w:rsid w:val="007820FB"/>
    <w:rsid w:val="00782D4E"/>
    <w:rsid w:val="00783107"/>
    <w:rsid w:val="00783350"/>
    <w:rsid w:val="00786FB0"/>
    <w:rsid w:val="0079427B"/>
    <w:rsid w:val="007962B7"/>
    <w:rsid w:val="007B2710"/>
    <w:rsid w:val="007B7B71"/>
    <w:rsid w:val="007C10B7"/>
    <w:rsid w:val="007C1220"/>
    <w:rsid w:val="007C4EA0"/>
    <w:rsid w:val="007D03A0"/>
    <w:rsid w:val="007D26DA"/>
    <w:rsid w:val="007D2D1C"/>
    <w:rsid w:val="007D4710"/>
    <w:rsid w:val="007D62E2"/>
    <w:rsid w:val="007E1415"/>
    <w:rsid w:val="007E3AE6"/>
    <w:rsid w:val="007E3B41"/>
    <w:rsid w:val="007E3C77"/>
    <w:rsid w:val="007E53AC"/>
    <w:rsid w:val="007E69AB"/>
    <w:rsid w:val="007F0257"/>
    <w:rsid w:val="007F0B92"/>
    <w:rsid w:val="007F3810"/>
    <w:rsid w:val="00801DBE"/>
    <w:rsid w:val="00802415"/>
    <w:rsid w:val="00806C21"/>
    <w:rsid w:val="0081116F"/>
    <w:rsid w:val="00816984"/>
    <w:rsid w:val="008172BF"/>
    <w:rsid w:val="00817E6A"/>
    <w:rsid w:val="00822383"/>
    <w:rsid w:val="008239DF"/>
    <w:rsid w:val="0082492F"/>
    <w:rsid w:val="0082608E"/>
    <w:rsid w:val="0082736F"/>
    <w:rsid w:val="00841A8B"/>
    <w:rsid w:val="008426B7"/>
    <w:rsid w:val="00850CD8"/>
    <w:rsid w:val="00854B68"/>
    <w:rsid w:val="008575C6"/>
    <w:rsid w:val="008611AA"/>
    <w:rsid w:val="008614B3"/>
    <w:rsid w:val="008629B6"/>
    <w:rsid w:val="0086308E"/>
    <w:rsid w:val="008669A6"/>
    <w:rsid w:val="008721BF"/>
    <w:rsid w:val="00872805"/>
    <w:rsid w:val="00873ABF"/>
    <w:rsid w:val="00875083"/>
    <w:rsid w:val="00881A16"/>
    <w:rsid w:val="008866B9"/>
    <w:rsid w:val="0088711B"/>
    <w:rsid w:val="00887E5E"/>
    <w:rsid w:val="008913A0"/>
    <w:rsid w:val="00893E81"/>
    <w:rsid w:val="00894793"/>
    <w:rsid w:val="008A36F6"/>
    <w:rsid w:val="008A38C7"/>
    <w:rsid w:val="008A3AA0"/>
    <w:rsid w:val="008A5C74"/>
    <w:rsid w:val="008B2E62"/>
    <w:rsid w:val="008B42F9"/>
    <w:rsid w:val="008B628D"/>
    <w:rsid w:val="008B6FFB"/>
    <w:rsid w:val="008B72E5"/>
    <w:rsid w:val="008C3459"/>
    <w:rsid w:val="008C495A"/>
    <w:rsid w:val="008C49B5"/>
    <w:rsid w:val="008C74EB"/>
    <w:rsid w:val="008C7976"/>
    <w:rsid w:val="008D37F6"/>
    <w:rsid w:val="008D3E6A"/>
    <w:rsid w:val="008D7B3E"/>
    <w:rsid w:val="008E320D"/>
    <w:rsid w:val="008E515D"/>
    <w:rsid w:val="008F292D"/>
    <w:rsid w:val="008F2C06"/>
    <w:rsid w:val="008F66C3"/>
    <w:rsid w:val="008F7057"/>
    <w:rsid w:val="008F705E"/>
    <w:rsid w:val="0090377B"/>
    <w:rsid w:val="00903EC3"/>
    <w:rsid w:val="00905B31"/>
    <w:rsid w:val="00905BB5"/>
    <w:rsid w:val="009136DC"/>
    <w:rsid w:val="00913832"/>
    <w:rsid w:val="00913E23"/>
    <w:rsid w:val="00915232"/>
    <w:rsid w:val="009168AB"/>
    <w:rsid w:val="00917347"/>
    <w:rsid w:val="0092421E"/>
    <w:rsid w:val="00924D23"/>
    <w:rsid w:val="00930DA0"/>
    <w:rsid w:val="0093165D"/>
    <w:rsid w:val="009317FD"/>
    <w:rsid w:val="00932A3D"/>
    <w:rsid w:val="00935A48"/>
    <w:rsid w:val="00936200"/>
    <w:rsid w:val="00936747"/>
    <w:rsid w:val="009406FE"/>
    <w:rsid w:val="009446BE"/>
    <w:rsid w:val="00944DBC"/>
    <w:rsid w:val="00944F31"/>
    <w:rsid w:val="009465C4"/>
    <w:rsid w:val="00947BBE"/>
    <w:rsid w:val="00960569"/>
    <w:rsid w:val="009632BE"/>
    <w:rsid w:val="00965FF1"/>
    <w:rsid w:val="00967354"/>
    <w:rsid w:val="009720BA"/>
    <w:rsid w:val="009724B7"/>
    <w:rsid w:val="0097307B"/>
    <w:rsid w:val="00974CA3"/>
    <w:rsid w:val="00976EF4"/>
    <w:rsid w:val="009829C8"/>
    <w:rsid w:val="00982B69"/>
    <w:rsid w:val="00983A6A"/>
    <w:rsid w:val="00985717"/>
    <w:rsid w:val="00990776"/>
    <w:rsid w:val="00994310"/>
    <w:rsid w:val="00997AFA"/>
    <w:rsid w:val="00997EC7"/>
    <w:rsid w:val="009A3040"/>
    <w:rsid w:val="009A34BF"/>
    <w:rsid w:val="009A35B3"/>
    <w:rsid w:val="009A36C9"/>
    <w:rsid w:val="009A4328"/>
    <w:rsid w:val="009A7345"/>
    <w:rsid w:val="009C06A3"/>
    <w:rsid w:val="009C5E1B"/>
    <w:rsid w:val="009D30A2"/>
    <w:rsid w:val="009D478D"/>
    <w:rsid w:val="009E1018"/>
    <w:rsid w:val="009E3F13"/>
    <w:rsid w:val="009E42BE"/>
    <w:rsid w:val="009F19F9"/>
    <w:rsid w:val="009F35C2"/>
    <w:rsid w:val="009F37AC"/>
    <w:rsid w:val="009F4D1B"/>
    <w:rsid w:val="00A00326"/>
    <w:rsid w:val="00A019C6"/>
    <w:rsid w:val="00A03A0B"/>
    <w:rsid w:val="00A07225"/>
    <w:rsid w:val="00A07969"/>
    <w:rsid w:val="00A10E7C"/>
    <w:rsid w:val="00A1258C"/>
    <w:rsid w:val="00A14B27"/>
    <w:rsid w:val="00A1784E"/>
    <w:rsid w:val="00A27291"/>
    <w:rsid w:val="00A3005E"/>
    <w:rsid w:val="00A32A36"/>
    <w:rsid w:val="00A33B75"/>
    <w:rsid w:val="00A411F6"/>
    <w:rsid w:val="00A41686"/>
    <w:rsid w:val="00A41AAC"/>
    <w:rsid w:val="00A41CF7"/>
    <w:rsid w:val="00A43D3C"/>
    <w:rsid w:val="00A46CC1"/>
    <w:rsid w:val="00A52C43"/>
    <w:rsid w:val="00A5772F"/>
    <w:rsid w:val="00A62393"/>
    <w:rsid w:val="00A62A1E"/>
    <w:rsid w:val="00A64B15"/>
    <w:rsid w:val="00A71E47"/>
    <w:rsid w:val="00A82FFB"/>
    <w:rsid w:val="00A84C43"/>
    <w:rsid w:val="00A874BC"/>
    <w:rsid w:val="00A87F1A"/>
    <w:rsid w:val="00A906B6"/>
    <w:rsid w:val="00A910A7"/>
    <w:rsid w:val="00A92E32"/>
    <w:rsid w:val="00A94B1D"/>
    <w:rsid w:val="00A96F06"/>
    <w:rsid w:val="00A96F32"/>
    <w:rsid w:val="00AA0AFF"/>
    <w:rsid w:val="00AB06F7"/>
    <w:rsid w:val="00AC14E4"/>
    <w:rsid w:val="00AC2ADA"/>
    <w:rsid w:val="00AC2ADE"/>
    <w:rsid w:val="00AC3E20"/>
    <w:rsid w:val="00AC4515"/>
    <w:rsid w:val="00AC532E"/>
    <w:rsid w:val="00AD185D"/>
    <w:rsid w:val="00AD370A"/>
    <w:rsid w:val="00AD513F"/>
    <w:rsid w:val="00AE16E4"/>
    <w:rsid w:val="00AE37BE"/>
    <w:rsid w:val="00AE455A"/>
    <w:rsid w:val="00AE5FAD"/>
    <w:rsid w:val="00AF01D4"/>
    <w:rsid w:val="00AF07F6"/>
    <w:rsid w:val="00AF29C8"/>
    <w:rsid w:val="00AF36DA"/>
    <w:rsid w:val="00AF5D65"/>
    <w:rsid w:val="00AF7873"/>
    <w:rsid w:val="00B0613E"/>
    <w:rsid w:val="00B07885"/>
    <w:rsid w:val="00B11A19"/>
    <w:rsid w:val="00B12192"/>
    <w:rsid w:val="00B12D64"/>
    <w:rsid w:val="00B148DE"/>
    <w:rsid w:val="00B15769"/>
    <w:rsid w:val="00B174E5"/>
    <w:rsid w:val="00B17E61"/>
    <w:rsid w:val="00B211F1"/>
    <w:rsid w:val="00B21BC6"/>
    <w:rsid w:val="00B24127"/>
    <w:rsid w:val="00B24554"/>
    <w:rsid w:val="00B26721"/>
    <w:rsid w:val="00B34330"/>
    <w:rsid w:val="00B40EC1"/>
    <w:rsid w:val="00B44D3D"/>
    <w:rsid w:val="00B45429"/>
    <w:rsid w:val="00B45DE1"/>
    <w:rsid w:val="00B467AA"/>
    <w:rsid w:val="00B60B6F"/>
    <w:rsid w:val="00B6170D"/>
    <w:rsid w:val="00B6181B"/>
    <w:rsid w:val="00B6260A"/>
    <w:rsid w:val="00B65047"/>
    <w:rsid w:val="00B66018"/>
    <w:rsid w:val="00B671D8"/>
    <w:rsid w:val="00B72BE5"/>
    <w:rsid w:val="00B73CC8"/>
    <w:rsid w:val="00B7472E"/>
    <w:rsid w:val="00B74E59"/>
    <w:rsid w:val="00B76216"/>
    <w:rsid w:val="00B80B60"/>
    <w:rsid w:val="00B80D8C"/>
    <w:rsid w:val="00B857BF"/>
    <w:rsid w:val="00B91576"/>
    <w:rsid w:val="00B92749"/>
    <w:rsid w:val="00B93641"/>
    <w:rsid w:val="00B95FAA"/>
    <w:rsid w:val="00BA2EAB"/>
    <w:rsid w:val="00BA38DE"/>
    <w:rsid w:val="00BA5A6D"/>
    <w:rsid w:val="00BA6529"/>
    <w:rsid w:val="00BA6AC0"/>
    <w:rsid w:val="00BA727E"/>
    <w:rsid w:val="00BA7C0F"/>
    <w:rsid w:val="00BC0A33"/>
    <w:rsid w:val="00BC65A9"/>
    <w:rsid w:val="00BC75FB"/>
    <w:rsid w:val="00BD41C5"/>
    <w:rsid w:val="00BD5136"/>
    <w:rsid w:val="00BD6CB4"/>
    <w:rsid w:val="00BE2DAE"/>
    <w:rsid w:val="00BE3B07"/>
    <w:rsid w:val="00BE7D2E"/>
    <w:rsid w:val="00BF0D73"/>
    <w:rsid w:val="00BF1E14"/>
    <w:rsid w:val="00BF4776"/>
    <w:rsid w:val="00BF584B"/>
    <w:rsid w:val="00BF73B0"/>
    <w:rsid w:val="00BF7464"/>
    <w:rsid w:val="00C03EDE"/>
    <w:rsid w:val="00C067CF"/>
    <w:rsid w:val="00C07CE8"/>
    <w:rsid w:val="00C10B4C"/>
    <w:rsid w:val="00C10E7C"/>
    <w:rsid w:val="00C133C2"/>
    <w:rsid w:val="00C1340C"/>
    <w:rsid w:val="00C143BD"/>
    <w:rsid w:val="00C20D53"/>
    <w:rsid w:val="00C21010"/>
    <w:rsid w:val="00C24F88"/>
    <w:rsid w:val="00C251E8"/>
    <w:rsid w:val="00C27575"/>
    <w:rsid w:val="00C27C83"/>
    <w:rsid w:val="00C36966"/>
    <w:rsid w:val="00C36E73"/>
    <w:rsid w:val="00C40E3D"/>
    <w:rsid w:val="00C45B5B"/>
    <w:rsid w:val="00C560CF"/>
    <w:rsid w:val="00C57276"/>
    <w:rsid w:val="00C57D4F"/>
    <w:rsid w:val="00C72016"/>
    <w:rsid w:val="00C72996"/>
    <w:rsid w:val="00C749FA"/>
    <w:rsid w:val="00C7554C"/>
    <w:rsid w:val="00C776E1"/>
    <w:rsid w:val="00C7799F"/>
    <w:rsid w:val="00C82CDF"/>
    <w:rsid w:val="00C8315F"/>
    <w:rsid w:val="00C86EEF"/>
    <w:rsid w:val="00C92721"/>
    <w:rsid w:val="00C937E0"/>
    <w:rsid w:val="00C93F63"/>
    <w:rsid w:val="00C964BE"/>
    <w:rsid w:val="00C97186"/>
    <w:rsid w:val="00C976B0"/>
    <w:rsid w:val="00CA3502"/>
    <w:rsid w:val="00CA3D0C"/>
    <w:rsid w:val="00CB0160"/>
    <w:rsid w:val="00CB0A7C"/>
    <w:rsid w:val="00CB0B8F"/>
    <w:rsid w:val="00CB25DD"/>
    <w:rsid w:val="00CB2D11"/>
    <w:rsid w:val="00CB2F24"/>
    <w:rsid w:val="00CB4A00"/>
    <w:rsid w:val="00CB6A2B"/>
    <w:rsid w:val="00CB7970"/>
    <w:rsid w:val="00CB7CBD"/>
    <w:rsid w:val="00CC2729"/>
    <w:rsid w:val="00CC2798"/>
    <w:rsid w:val="00CC315F"/>
    <w:rsid w:val="00CD083F"/>
    <w:rsid w:val="00CD341D"/>
    <w:rsid w:val="00CD5E7A"/>
    <w:rsid w:val="00CD60F9"/>
    <w:rsid w:val="00CE008C"/>
    <w:rsid w:val="00CE2849"/>
    <w:rsid w:val="00CE51F8"/>
    <w:rsid w:val="00CE5C21"/>
    <w:rsid w:val="00D100EA"/>
    <w:rsid w:val="00D12679"/>
    <w:rsid w:val="00D135A0"/>
    <w:rsid w:val="00D156C3"/>
    <w:rsid w:val="00D168C6"/>
    <w:rsid w:val="00D176DE"/>
    <w:rsid w:val="00D20A2D"/>
    <w:rsid w:val="00D22320"/>
    <w:rsid w:val="00D23FDC"/>
    <w:rsid w:val="00D30BD5"/>
    <w:rsid w:val="00D32544"/>
    <w:rsid w:val="00D45A24"/>
    <w:rsid w:val="00D45DE6"/>
    <w:rsid w:val="00D506D8"/>
    <w:rsid w:val="00D55030"/>
    <w:rsid w:val="00D550EA"/>
    <w:rsid w:val="00D605A6"/>
    <w:rsid w:val="00D64475"/>
    <w:rsid w:val="00D64CA1"/>
    <w:rsid w:val="00D66B17"/>
    <w:rsid w:val="00D67989"/>
    <w:rsid w:val="00D70C0E"/>
    <w:rsid w:val="00D7197E"/>
    <w:rsid w:val="00D74CFB"/>
    <w:rsid w:val="00D777D3"/>
    <w:rsid w:val="00D81048"/>
    <w:rsid w:val="00D81994"/>
    <w:rsid w:val="00D82ED5"/>
    <w:rsid w:val="00D846ED"/>
    <w:rsid w:val="00D85712"/>
    <w:rsid w:val="00D867FF"/>
    <w:rsid w:val="00D86F26"/>
    <w:rsid w:val="00D91811"/>
    <w:rsid w:val="00D96CD1"/>
    <w:rsid w:val="00D9760C"/>
    <w:rsid w:val="00DA2A46"/>
    <w:rsid w:val="00DA4391"/>
    <w:rsid w:val="00DA7202"/>
    <w:rsid w:val="00DB101A"/>
    <w:rsid w:val="00DB109B"/>
    <w:rsid w:val="00DB11EC"/>
    <w:rsid w:val="00DB430A"/>
    <w:rsid w:val="00DB5B98"/>
    <w:rsid w:val="00DB6222"/>
    <w:rsid w:val="00DC0B96"/>
    <w:rsid w:val="00DC1FAE"/>
    <w:rsid w:val="00DD04B3"/>
    <w:rsid w:val="00DD064A"/>
    <w:rsid w:val="00DD2314"/>
    <w:rsid w:val="00DE1CFC"/>
    <w:rsid w:val="00DE334C"/>
    <w:rsid w:val="00DE39C2"/>
    <w:rsid w:val="00DE4B2B"/>
    <w:rsid w:val="00DF032E"/>
    <w:rsid w:val="00DF2802"/>
    <w:rsid w:val="00DF2B2C"/>
    <w:rsid w:val="00DF35ED"/>
    <w:rsid w:val="00DF4919"/>
    <w:rsid w:val="00DF5746"/>
    <w:rsid w:val="00DF57E8"/>
    <w:rsid w:val="00E0480A"/>
    <w:rsid w:val="00E048A4"/>
    <w:rsid w:val="00E113DD"/>
    <w:rsid w:val="00E13849"/>
    <w:rsid w:val="00E143E7"/>
    <w:rsid w:val="00E151DA"/>
    <w:rsid w:val="00E162EC"/>
    <w:rsid w:val="00E16FCE"/>
    <w:rsid w:val="00E2115C"/>
    <w:rsid w:val="00E238A7"/>
    <w:rsid w:val="00E31296"/>
    <w:rsid w:val="00E3166F"/>
    <w:rsid w:val="00E339C6"/>
    <w:rsid w:val="00E37443"/>
    <w:rsid w:val="00E43186"/>
    <w:rsid w:val="00E440DA"/>
    <w:rsid w:val="00E45F52"/>
    <w:rsid w:val="00E479C5"/>
    <w:rsid w:val="00E559D5"/>
    <w:rsid w:val="00E55BDC"/>
    <w:rsid w:val="00E56DE4"/>
    <w:rsid w:val="00E62A0C"/>
    <w:rsid w:val="00E65A39"/>
    <w:rsid w:val="00E672D1"/>
    <w:rsid w:val="00E70F67"/>
    <w:rsid w:val="00E7423E"/>
    <w:rsid w:val="00E753F3"/>
    <w:rsid w:val="00E75892"/>
    <w:rsid w:val="00E75D1B"/>
    <w:rsid w:val="00E80EF2"/>
    <w:rsid w:val="00E81FCD"/>
    <w:rsid w:val="00E83C5A"/>
    <w:rsid w:val="00E846CA"/>
    <w:rsid w:val="00E858F0"/>
    <w:rsid w:val="00E91D2E"/>
    <w:rsid w:val="00E93A2E"/>
    <w:rsid w:val="00EA12FC"/>
    <w:rsid w:val="00EA4CC5"/>
    <w:rsid w:val="00EA5707"/>
    <w:rsid w:val="00EB4388"/>
    <w:rsid w:val="00EB5562"/>
    <w:rsid w:val="00EB5F50"/>
    <w:rsid w:val="00EC1129"/>
    <w:rsid w:val="00EC4373"/>
    <w:rsid w:val="00EC4B07"/>
    <w:rsid w:val="00EC7332"/>
    <w:rsid w:val="00ED0DFF"/>
    <w:rsid w:val="00ED4619"/>
    <w:rsid w:val="00ED5B3B"/>
    <w:rsid w:val="00EE1FB9"/>
    <w:rsid w:val="00EE381A"/>
    <w:rsid w:val="00EF2327"/>
    <w:rsid w:val="00EF6881"/>
    <w:rsid w:val="00EF699A"/>
    <w:rsid w:val="00EF6B5C"/>
    <w:rsid w:val="00F0189B"/>
    <w:rsid w:val="00F01931"/>
    <w:rsid w:val="00F03E7A"/>
    <w:rsid w:val="00F07355"/>
    <w:rsid w:val="00F10F52"/>
    <w:rsid w:val="00F15A6C"/>
    <w:rsid w:val="00F1609D"/>
    <w:rsid w:val="00F162A3"/>
    <w:rsid w:val="00F16572"/>
    <w:rsid w:val="00F16DCC"/>
    <w:rsid w:val="00F24ED4"/>
    <w:rsid w:val="00F272A6"/>
    <w:rsid w:val="00F27E54"/>
    <w:rsid w:val="00F302EE"/>
    <w:rsid w:val="00F31461"/>
    <w:rsid w:val="00F334CC"/>
    <w:rsid w:val="00F45902"/>
    <w:rsid w:val="00F46437"/>
    <w:rsid w:val="00F50C08"/>
    <w:rsid w:val="00F541A8"/>
    <w:rsid w:val="00F57194"/>
    <w:rsid w:val="00F704EA"/>
    <w:rsid w:val="00F70A77"/>
    <w:rsid w:val="00F716AF"/>
    <w:rsid w:val="00F72CBE"/>
    <w:rsid w:val="00F72EB3"/>
    <w:rsid w:val="00F7659B"/>
    <w:rsid w:val="00F81788"/>
    <w:rsid w:val="00F833CB"/>
    <w:rsid w:val="00F85C62"/>
    <w:rsid w:val="00F92A65"/>
    <w:rsid w:val="00F93EDB"/>
    <w:rsid w:val="00F9573A"/>
    <w:rsid w:val="00F96AED"/>
    <w:rsid w:val="00F96D36"/>
    <w:rsid w:val="00FA1716"/>
    <w:rsid w:val="00FA2003"/>
    <w:rsid w:val="00FA2413"/>
    <w:rsid w:val="00FA3894"/>
    <w:rsid w:val="00FA51DF"/>
    <w:rsid w:val="00FA5A6B"/>
    <w:rsid w:val="00FA7B45"/>
    <w:rsid w:val="00FB06A1"/>
    <w:rsid w:val="00FB253E"/>
    <w:rsid w:val="00FB38D6"/>
    <w:rsid w:val="00FB55FF"/>
    <w:rsid w:val="00FC2244"/>
    <w:rsid w:val="00FC43E7"/>
    <w:rsid w:val="00FC7B96"/>
    <w:rsid w:val="00FD1A5B"/>
    <w:rsid w:val="00FD1ADB"/>
    <w:rsid w:val="00FD6998"/>
    <w:rsid w:val="00FD6A31"/>
    <w:rsid w:val="00FE0C00"/>
    <w:rsid w:val="00FE208B"/>
    <w:rsid w:val="00FE5355"/>
    <w:rsid w:val="00FE5BD7"/>
    <w:rsid w:val="00FE7D7D"/>
    <w:rsid w:val="00FF6336"/>
    <w:rsid w:val="00FF7100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51ED"/>
  <w15:docId w15:val="{03C991B5-8065-4EC1-9505-88DDE786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0CF"/>
    <w:pPr>
      <w:spacing w:after="0" w:line="240" w:lineRule="auto"/>
    </w:pPr>
  </w:style>
  <w:style w:type="table" w:styleId="TableGrid">
    <w:name w:val="Table Grid"/>
    <w:basedOn w:val="TableNormal"/>
    <w:uiPriority w:val="59"/>
    <w:rsid w:val="00C5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C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E1B"/>
  </w:style>
  <w:style w:type="paragraph" w:styleId="Footer">
    <w:name w:val="footer"/>
    <w:basedOn w:val="Normal"/>
    <w:link w:val="FooterChar"/>
    <w:uiPriority w:val="99"/>
    <w:unhideWhenUsed/>
    <w:qFormat/>
    <w:rsid w:val="009C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E1B"/>
  </w:style>
  <w:style w:type="character" w:styleId="CommentReference">
    <w:name w:val="annotation reference"/>
    <w:basedOn w:val="DefaultParagraphFont"/>
    <w:uiPriority w:val="99"/>
    <w:semiHidden/>
    <w:unhideWhenUsed/>
    <w:rsid w:val="00777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7E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4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9B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45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shington.edu/research/hsd/study-activities/report-events-and-new-information/guide-to-reporting-new-information/" TargetMode="External"/><Relationship Id="rId18" Type="http://schemas.openxmlformats.org/officeDocument/2006/relationships/hyperlink" Target="mailto:hsdinfo@uw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wnetid.sharepoint.com/sites/OR/HSD/Published%20Document%20Library/Forms/AllItems.aspx" TargetMode="External"/><Relationship Id="rId17" Type="http://schemas.openxmlformats.org/officeDocument/2006/relationships/hyperlink" Target="mailto:hsdreprt@uw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sdreprt@uw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ashington.edu/research/hsd/study-activities/report-events-and-new-information/guide-to-reporting-new-informatio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dreprt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Updated instructions for subject numbers and funding</Change_x0020_Notes>
    <Posted_x0020_Date xmlns="7c9d0ed2-8163-4b50-bae4-466292e5dd21">2026-06-26T07:00:00+00:00</Posted_x0020_Date>
    <Taxonomy0 xmlns="7c9d0ed2-8163-4b50-bae4-466292e5dd21">
      <Value>Worksheet</Value>
    </Taxonomy0>
    <Version_x0020_Number xmlns="7c9d0ed2-8163-4b50-bae4-466292e5dd21">3.1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https://www.washington.edu/research/forms-and-templates/worksheet-pre-review-cr/</Url>
      <Description>https://www.washington.edu/research/forms-and-templates/worksheet-pre-review-cr/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Megan Tedell-Hlady</DisplayName>
        <AccountId>73</AccountId>
        <AccountType/>
      </UserInfo>
    </SharePointOwner>
    <ContentOwner xmlns="7c9d0ed2-8163-4b50-bae4-466292e5dd21">
      <UserInfo>
        <DisplayName>Megan Tedell-Hlady</DisplayName>
        <AccountId>73</AccountId>
        <AccountType/>
      </UserInfo>
    </Content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6FA4B-92CC-4F03-AE8C-9CDA0A285502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2.xml><?xml version="1.0" encoding="utf-8"?>
<ds:datastoreItem xmlns:ds="http://schemas.openxmlformats.org/officeDocument/2006/customXml" ds:itemID="{D31CE19D-5110-4950-B8AF-0FFB41BEC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76E34-052D-4F93-B54D-2E8B3A0876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1B7D2-961C-4DDF-9D69-D87F19948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WORKSHEET_Pre_Review_Continuing_Review_v3.1_2025.06.26</vt:lpstr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WORKSHEET_Pre_Review_Continuing_Review_v3.1_2025.06.26</dc:title>
  <dc:creator>User</dc:creator>
  <cp:keywords>;#Closure;#Continuing review;#Pre-review;#</cp:keywords>
  <cp:lastModifiedBy>Megan Tedell-Hlady</cp:lastModifiedBy>
  <cp:revision>4</cp:revision>
  <dcterms:created xsi:type="dcterms:W3CDTF">2025-11-12T19:08:00Z</dcterms:created>
  <dcterms:modified xsi:type="dcterms:W3CDTF">2025-11-21T17:05:00Z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  <property fmtid="{D5CDD505-2E9C-101B-9397-08002B2CF9AE}" pid="3" name="Related Documents">
    <vt:lpwstr>Minor revision to clarify continuing review requirements for studies with prisoner populations</vt:lpwstr>
  </property>
</Properties>
</file>