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64F0" w14:textId="3234C11F" w:rsidR="00706059" w:rsidRDefault="00706059" w:rsidP="00706059">
      <w:pPr>
        <w:pStyle w:val="Header"/>
        <w:tabs>
          <w:tab w:val="clear" w:pos="4680"/>
          <w:tab w:val="clear" w:pos="9360"/>
          <w:tab w:val="right" w:pos="10800"/>
        </w:tabs>
        <w:jc w:val="right"/>
        <w:rPr>
          <w:rFonts w:cs="Arial"/>
          <w:b/>
          <w:sz w:val="28"/>
          <w:szCs w:val="28"/>
        </w:rPr>
      </w:pPr>
      <w:r>
        <w:rPr>
          <w:noProof/>
        </w:rPr>
        <w:drawing>
          <wp:anchor distT="0" distB="0" distL="114300" distR="114300" simplePos="0" relativeHeight="251659264" behindDoc="1" locked="0" layoutInCell="1" allowOverlap="1" wp14:anchorId="43FE130B" wp14:editId="052D6E42">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WORKSHEET Options for IRB Actions</w:t>
      </w:r>
    </w:p>
    <w:p w14:paraId="62740E0D" w14:textId="77777777" w:rsidR="00706059" w:rsidRDefault="00706059" w:rsidP="00706059">
      <w:pPr>
        <w:pStyle w:val="Header"/>
        <w:tabs>
          <w:tab w:val="clear" w:pos="4680"/>
          <w:tab w:val="clear" w:pos="9360"/>
          <w:tab w:val="right" w:pos="10800"/>
        </w:tabs>
        <w:jc w:val="right"/>
      </w:pPr>
    </w:p>
    <w:p w14:paraId="3488A975" w14:textId="77777777" w:rsidR="00BA68ED" w:rsidRDefault="00BA68ED" w:rsidP="007E1BEF">
      <w:pPr>
        <w:shd w:val="clear" w:color="auto" w:fill="33006F"/>
        <w:tabs>
          <w:tab w:val="left" w:pos="2504"/>
        </w:tabs>
      </w:pPr>
      <w:r>
        <w:tab/>
      </w:r>
    </w:p>
    <w:p w14:paraId="0D158DF7" w14:textId="77777777" w:rsidR="00215B3F" w:rsidRDefault="00215B3F"/>
    <w:p w14:paraId="529E0C30" w14:textId="0CCBD422" w:rsidR="00215B3F" w:rsidRPr="00706059" w:rsidRDefault="00706059" w:rsidP="00706059">
      <w:pPr>
        <w:pStyle w:val="Heading2"/>
      </w:pPr>
      <w:r w:rsidRPr="00706059">
        <w:t>PURPOSE AND APPLICABILITY</w:t>
      </w:r>
    </w:p>
    <w:p w14:paraId="7F50A765" w14:textId="77777777" w:rsidR="00706059" w:rsidRDefault="00706059" w:rsidP="00130298">
      <w:pPr>
        <w:ind w:left="450"/>
      </w:pPr>
    </w:p>
    <w:p w14:paraId="79FD4CF1" w14:textId="5AD1631D" w:rsidR="009400E5" w:rsidRDefault="001C6178" w:rsidP="00130298">
      <w:pPr>
        <w:ind w:left="450"/>
      </w:pPr>
      <w:r>
        <w:t>This worksheet describes actions the IRB can and cannot take with respect to unanticipated problems or noncompliance in a human research study. It is intended to be used as a reference tool and is not completed or retained in the IRB file. HSD Leadership can be consulted about any actions that are not listed here.</w:t>
      </w:r>
    </w:p>
    <w:p w14:paraId="1A742BE3" w14:textId="77777777" w:rsidR="007E1BEF" w:rsidRPr="009400E5" w:rsidRDefault="007E1BEF"/>
    <w:p w14:paraId="68051C5B" w14:textId="599CB44D" w:rsidR="009400E5" w:rsidRPr="00706059" w:rsidRDefault="00706059" w:rsidP="00706059">
      <w:pPr>
        <w:pStyle w:val="Heading2"/>
      </w:pPr>
      <w:r>
        <w:t>ACTIONS THE IRB CANNOT TAKE</w:t>
      </w:r>
    </w:p>
    <w:p w14:paraId="3D310F02" w14:textId="77777777" w:rsidR="00706059" w:rsidRDefault="00706059" w:rsidP="00033DF7">
      <w:pPr>
        <w:ind w:left="450"/>
      </w:pPr>
    </w:p>
    <w:p w14:paraId="2E722030" w14:textId="5B84FB53" w:rsidR="003C1E3C" w:rsidRPr="004D2BA9" w:rsidRDefault="00033DF7" w:rsidP="00033DF7">
      <w:pPr>
        <w:ind w:left="450"/>
      </w:pPr>
      <w:r w:rsidRPr="004D2BA9">
        <w:t xml:space="preserve">The IRB can </w:t>
      </w:r>
      <w:proofErr w:type="gramStart"/>
      <w:r w:rsidRPr="004D2BA9">
        <w:t>take action</w:t>
      </w:r>
      <w:proofErr w:type="gramEnd"/>
      <w:r w:rsidRPr="004D2BA9">
        <w:t xml:space="preserve"> on human research under its purview and impose limitation</w:t>
      </w:r>
      <w:r w:rsidR="00706357" w:rsidRPr="004D2BA9">
        <w:t>s</w:t>
      </w:r>
      <w:r w:rsidRPr="004D2BA9">
        <w:t xml:space="preserve"> on individual projects. The IRB does not have the authority to </w:t>
      </w:r>
      <w:proofErr w:type="gramStart"/>
      <w:r w:rsidRPr="004D2BA9">
        <w:t>take action</w:t>
      </w:r>
      <w:proofErr w:type="gramEnd"/>
      <w:r w:rsidRPr="004D2BA9">
        <w:t xml:space="preserve"> against or impose sanctions on the researcher. Nevertheless, the IRB can require that the HSD Director communicate concerns about the researcher or forward recommendations to the appropriate institutional office or authority.</w:t>
      </w:r>
    </w:p>
    <w:p w14:paraId="53DAE73D" w14:textId="77777777" w:rsidR="00706059" w:rsidRPr="004D2BA9" w:rsidRDefault="00706059" w:rsidP="00033DF7">
      <w:pPr>
        <w:ind w:left="450"/>
      </w:pPr>
    </w:p>
    <w:p w14:paraId="04D1B807" w14:textId="37C370A5" w:rsidR="00706059" w:rsidRPr="004D2BA9" w:rsidRDefault="00706059" w:rsidP="00CE4C80">
      <w:pPr>
        <w:spacing w:after="60"/>
        <w:ind w:left="450"/>
        <w:rPr>
          <w:b/>
          <w:bCs/>
        </w:rPr>
      </w:pPr>
      <w:r w:rsidRPr="004D2BA9">
        <w:rPr>
          <w:b/>
          <w:bCs/>
        </w:rPr>
        <w:t>The IRB Cannot:</w:t>
      </w:r>
    </w:p>
    <w:p w14:paraId="2E502696" w14:textId="1C005C55" w:rsidR="00706059" w:rsidRPr="004D2BA9" w:rsidRDefault="00706059" w:rsidP="00CE4C80">
      <w:pPr>
        <w:pStyle w:val="ListParagraph"/>
        <w:numPr>
          <w:ilvl w:val="0"/>
          <w:numId w:val="33"/>
        </w:numPr>
        <w:spacing w:after="60"/>
        <w:contextualSpacing w:val="0"/>
      </w:pPr>
      <w:r w:rsidRPr="004D2BA9">
        <w:t>Retroactively approve use of data collected without IRB approval (including secondary use of the data)</w:t>
      </w:r>
    </w:p>
    <w:p w14:paraId="1D5A8A2C" w14:textId="309A0CE2" w:rsidR="00706059" w:rsidRPr="004D2BA9" w:rsidRDefault="00706059" w:rsidP="00CE4C80">
      <w:pPr>
        <w:pStyle w:val="ListParagraph"/>
        <w:numPr>
          <w:ilvl w:val="0"/>
          <w:numId w:val="33"/>
        </w:numPr>
        <w:spacing w:after="60"/>
        <w:contextualSpacing w:val="0"/>
      </w:pPr>
      <w:r w:rsidRPr="004D2BA9">
        <w:t>Require that data not be published</w:t>
      </w:r>
    </w:p>
    <w:p w14:paraId="3F73D522" w14:textId="36CBDB37" w:rsidR="00706059" w:rsidRPr="004D2BA9" w:rsidRDefault="00706059" w:rsidP="00CE4C80">
      <w:pPr>
        <w:pStyle w:val="ListParagraph"/>
        <w:numPr>
          <w:ilvl w:val="0"/>
          <w:numId w:val="33"/>
        </w:numPr>
        <w:spacing w:after="60"/>
        <w:contextualSpacing w:val="0"/>
      </w:pPr>
      <w:r w:rsidRPr="004D2BA9">
        <w:t>Require that data be destroyed</w:t>
      </w:r>
    </w:p>
    <w:p w14:paraId="7FC10F2A" w14:textId="557064EB" w:rsidR="00706059" w:rsidRPr="004D2BA9" w:rsidRDefault="00706059" w:rsidP="00CE4C80">
      <w:pPr>
        <w:pStyle w:val="ListParagraph"/>
        <w:numPr>
          <w:ilvl w:val="0"/>
          <w:numId w:val="33"/>
        </w:numPr>
        <w:spacing w:after="60"/>
        <w:contextualSpacing w:val="0"/>
      </w:pPr>
      <w:r w:rsidRPr="004D2BA9">
        <w:t>Require that data not be used for a dissertation or thesis</w:t>
      </w:r>
    </w:p>
    <w:p w14:paraId="4C2E973E" w14:textId="2DD42D7F" w:rsidR="00706059" w:rsidRPr="004D2BA9" w:rsidRDefault="00706059" w:rsidP="00CE4C80">
      <w:pPr>
        <w:pStyle w:val="ListParagraph"/>
        <w:numPr>
          <w:ilvl w:val="0"/>
          <w:numId w:val="33"/>
        </w:numPr>
        <w:spacing w:after="60"/>
        <w:contextualSpacing w:val="0"/>
      </w:pPr>
      <w:r w:rsidRPr="004D2BA9">
        <w:t>Take away a researcher’s privilege of conducting research with human</w:t>
      </w:r>
      <w:r w:rsidR="00706357" w:rsidRPr="004D2BA9">
        <w:t>s</w:t>
      </w:r>
      <w:r w:rsidRPr="004D2BA9">
        <w:t xml:space="preserve"> </w:t>
      </w:r>
    </w:p>
    <w:p w14:paraId="26BDEFE1" w14:textId="639990EC" w:rsidR="009B666D" w:rsidRDefault="009B666D"/>
    <w:p w14:paraId="06D15B4C" w14:textId="70ECC540" w:rsidR="00C25316" w:rsidRPr="009400E5" w:rsidRDefault="00706059" w:rsidP="00706059">
      <w:pPr>
        <w:pStyle w:val="Heading2"/>
      </w:pPr>
      <w:r>
        <w:t>ACTIONS THE IRB CAN TAKE</w:t>
      </w:r>
    </w:p>
    <w:p w14:paraId="7F76D29B" w14:textId="77777777" w:rsidR="00033DF7" w:rsidRDefault="00033DF7" w:rsidP="00033DF7"/>
    <w:p w14:paraId="11EDCC06" w14:textId="5065B177" w:rsidR="00835684" w:rsidRDefault="00835684" w:rsidP="00CE4C80">
      <w:pPr>
        <w:spacing w:after="60"/>
        <w:ind w:left="450"/>
        <w:rPr>
          <w:b/>
          <w:bCs/>
        </w:rPr>
      </w:pPr>
      <w:r>
        <w:rPr>
          <w:b/>
          <w:bCs/>
        </w:rPr>
        <w:t>The IRB Can:</w:t>
      </w:r>
    </w:p>
    <w:p w14:paraId="46F321DB" w14:textId="7684122A" w:rsidR="00835684" w:rsidRPr="00835684" w:rsidRDefault="00835684" w:rsidP="00CE4C80">
      <w:pPr>
        <w:pStyle w:val="ListParagraph"/>
        <w:numPr>
          <w:ilvl w:val="0"/>
          <w:numId w:val="34"/>
        </w:numPr>
        <w:spacing w:after="60"/>
        <w:contextualSpacing w:val="0"/>
        <w:rPr>
          <w:b/>
          <w:bCs/>
        </w:rPr>
      </w:pPr>
      <w:r>
        <w:t>Approve the investigator’s proposed corrective/preventive action plan</w:t>
      </w:r>
    </w:p>
    <w:p w14:paraId="47876C59" w14:textId="4DFD5F9E" w:rsidR="00835684" w:rsidRPr="00835684" w:rsidRDefault="00835684" w:rsidP="00CE4C80">
      <w:pPr>
        <w:pStyle w:val="ListParagraph"/>
        <w:numPr>
          <w:ilvl w:val="0"/>
          <w:numId w:val="34"/>
        </w:numPr>
        <w:spacing w:after="60"/>
        <w:contextualSpacing w:val="0"/>
        <w:rPr>
          <w:b/>
          <w:bCs/>
        </w:rPr>
      </w:pPr>
      <w:r>
        <w:t>Require modifications to some or all parts of the research, and/or the corrective/preventive action plan</w:t>
      </w:r>
    </w:p>
    <w:p w14:paraId="0FFBD1E3" w14:textId="027AC9F2" w:rsidR="00835684" w:rsidRPr="00835684" w:rsidRDefault="00835684" w:rsidP="00CE4C80">
      <w:pPr>
        <w:pStyle w:val="ListParagraph"/>
        <w:numPr>
          <w:ilvl w:val="0"/>
          <w:numId w:val="34"/>
        </w:numPr>
        <w:spacing w:after="60"/>
        <w:contextualSpacing w:val="0"/>
        <w:rPr>
          <w:b/>
          <w:bCs/>
        </w:rPr>
      </w:pPr>
      <w:r>
        <w:t>Require additional information from the investigator</w:t>
      </w:r>
    </w:p>
    <w:p w14:paraId="4E7C4F99" w14:textId="2BCAAE9D" w:rsidR="00835684" w:rsidRPr="007E06CE" w:rsidRDefault="00835684" w:rsidP="00CE4C80">
      <w:pPr>
        <w:pStyle w:val="ListParagraph"/>
        <w:numPr>
          <w:ilvl w:val="0"/>
          <w:numId w:val="34"/>
        </w:numPr>
        <w:spacing w:after="60"/>
        <w:contextualSpacing w:val="0"/>
        <w:rPr>
          <w:b/>
          <w:bCs/>
        </w:rPr>
      </w:pPr>
      <w:r>
        <w:t>Require additional information/consultation from others (e.g., subject matter experts)</w:t>
      </w:r>
    </w:p>
    <w:p w14:paraId="1E9DB24E" w14:textId="2BABA1CF" w:rsidR="007E06CE" w:rsidRPr="007E06CE" w:rsidRDefault="007E06CE" w:rsidP="00CE4C80">
      <w:pPr>
        <w:pStyle w:val="ListParagraph"/>
        <w:numPr>
          <w:ilvl w:val="0"/>
          <w:numId w:val="34"/>
        </w:numPr>
        <w:spacing w:after="60"/>
        <w:contextualSpacing w:val="0"/>
        <w:rPr>
          <w:b/>
          <w:bCs/>
        </w:rPr>
      </w:pPr>
      <w:r>
        <w:t>Require training or education for the investigator and/or other individuals involved in the research (IRB identifies issues and topics; method and type of education)</w:t>
      </w:r>
    </w:p>
    <w:p w14:paraId="18EAFD82" w14:textId="020ED213" w:rsidR="007E06CE" w:rsidRPr="007E06CE" w:rsidRDefault="007E06CE" w:rsidP="00CE4C80">
      <w:pPr>
        <w:pStyle w:val="ListParagraph"/>
        <w:numPr>
          <w:ilvl w:val="0"/>
          <w:numId w:val="34"/>
        </w:numPr>
        <w:spacing w:after="60"/>
        <w:contextualSpacing w:val="0"/>
        <w:rPr>
          <w:b/>
          <w:bCs/>
        </w:rPr>
      </w:pPr>
      <w:r>
        <w:t>Increase the frequency of continuing review</w:t>
      </w:r>
    </w:p>
    <w:p w14:paraId="7BCB922F" w14:textId="2347F436" w:rsidR="007E06CE" w:rsidRPr="007E06CE" w:rsidRDefault="007E06CE" w:rsidP="00CE4C80">
      <w:pPr>
        <w:pStyle w:val="ListParagraph"/>
        <w:numPr>
          <w:ilvl w:val="0"/>
          <w:numId w:val="34"/>
        </w:numPr>
        <w:spacing w:after="60"/>
        <w:contextualSpacing w:val="0"/>
        <w:rPr>
          <w:b/>
          <w:bCs/>
        </w:rPr>
      </w:pPr>
      <w:r>
        <w:t>Require reports after specific milestones</w:t>
      </w:r>
    </w:p>
    <w:p w14:paraId="6B846249" w14:textId="3FE2326F" w:rsidR="007E06CE" w:rsidRPr="007E06CE" w:rsidRDefault="007E06CE" w:rsidP="00CE4C80">
      <w:pPr>
        <w:pStyle w:val="ListParagraph"/>
        <w:numPr>
          <w:ilvl w:val="0"/>
          <w:numId w:val="34"/>
        </w:numPr>
        <w:spacing w:after="60"/>
        <w:contextualSpacing w:val="0"/>
        <w:rPr>
          <w:b/>
          <w:bCs/>
        </w:rPr>
      </w:pPr>
      <w:r>
        <w:t xml:space="preserve">Require the investigator to provide information to </w:t>
      </w:r>
      <w:r w:rsidR="00706357">
        <w:t xml:space="preserve">study participants </w:t>
      </w:r>
      <w:r>
        <w:t>or others, in coordination with other applicable laws, regulations, and UW policies (e.g., HIPAA breach notification requirements)</w:t>
      </w:r>
    </w:p>
    <w:p w14:paraId="16CE616D" w14:textId="63B5A93C" w:rsidR="007E06CE" w:rsidRPr="00CE4C80" w:rsidRDefault="007E06CE" w:rsidP="00CE4C80">
      <w:pPr>
        <w:pStyle w:val="ListParagraph"/>
        <w:numPr>
          <w:ilvl w:val="0"/>
          <w:numId w:val="34"/>
        </w:numPr>
        <w:spacing w:after="60"/>
        <w:contextualSpacing w:val="0"/>
        <w:rPr>
          <w:b/>
          <w:bCs/>
        </w:rPr>
      </w:pPr>
      <w:r>
        <w:t xml:space="preserve">Require reconsenting of </w:t>
      </w:r>
      <w:r w:rsidR="00706357">
        <w:t>study participants</w:t>
      </w:r>
    </w:p>
    <w:p w14:paraId="4549DC0D" w14:textId="4B2A45A0" w:rsidR="00CE4C80" w:rsidRPr="00CE4C80" w:rsidRDefault="00CE4C80" w:rsidP="00CE4C80">
      <w:pPr>
        <w:pStyle w:val="ListParagraph"/>
        <w:numPr>
          <w:ilvl w:val="0"/>
          <w:numId w:val="34"/>
        </w:numPr>
        <w:spacing w:after="60"/>
        <w:contextualSpacing w:val="0"/>
        <w:rPr>
          <w:b/>
          <w:bCs/>
        </w:rPr>
      </w:pPr>
      <w:r>
        <w:t xml:space="preserve">Require verification of information from sources other than the investigator (subject to the limitation that HSD </w:t>
      </w:r>
      <w:r w:rsidR="00706357">
        <w:t xml:space="preserve">Director </w:t>
      </w:r>
      <w:r>
        <w:t xml:space="preserve">and/or the </w:t>
      </w:r>
      <w:r w:rsidR="00706357">
        <w:t>Institutional Official</w:t>
      </w:r>
      <w:r>
        <w:t xml:space="preserve"> retains the authority to determine how to fulfill the IRB’s request when it involves site visits, investigations, or audits)</w:t>
      </w:r>
    </w:p>
    <w:p w14:paraId="07B4FC6E" w14:textId="386F5C38" w:rsidR="00CE4C80" w:rsidRPr="00CE4C80" w:rsidRDefault="00CE4C80" w:rsidP="00CE4C80">
      <w:pPr>
        <w:pStyle w:val="ListParagraph"/>
        <w:numPr>
          <w:ilvl w:val="0"/>
          <w:numId w:val="34"/>
        </w:numPr>
        <w:spacing w:after="60"/>
        <w:contextualSpacing w:val="0"/>
        <w:rPr>
          <w:b/>
          <w:bCs/>
        </w:rPr>
      </w:pPr>
      <w:r>
        <w:lastRenderedPageBreak/>
        <w:t>Require additional monitoring of research procedures or outcomes</w:t>
      </w:r>
    </w:p>
    <w:p w14:paraId="446312D9" w14:textId="2FBDFB5E" w:rsidR="00CE4C80" w:rsidRPr="00CE4C80" w:rsidRDefault="00CE4C80" w:rsidP="00CE4C80">
      <w:pPr>
        <w:pStyle w:val="ListParagraph"/>
        <w:numPr>
          <w:ilvl w:val="0"/>
          <w:numId w:val="34"/>
        </w:numPr>
        <w:spacing w:after="60"/>
        <w:contextualSpacing w:val="0"/>
        <w:rPr>
          <w:b/>
          <w:bCs/>
        </w:rPr>
      </w:pPr>
      <w:r>
        <w:t xml:space="preserve">Require the destruction of </w:t>
      </w:r>
      <w:r w:rsidR="00706357">
        <w:t xml:space="preserve">participant </w:t>
      </w:r>
      <w:r>
        <w:t>identifiers (or the link between data and identifiers), if those identifiers were collected or relevant research procedures were performed without prior UW IRB approval</w:t>
      </w:r>
      <w:r w:rsidRPr="00CE4C80">
        <w:t xml:space="preserve"> </w:t>
      </w:r>
    </w:p>
    <w:p w14:paraId="6CB5F2C7" w14:textId="48F92977" w:rsidR="00CE4C80" w:rsidRPr="00CE4C80" w:rsidRDefault="00CE4C80" w:rsidP="00CE4C80">
      <w:pPr>
        <w:pStyle w:val="ListParagraph"/>
        <w:numPr>
          <w:ilvl w:val="0"/>
          <w:numId w:val="34"/>
        </w:numPr>
        <w:spacing w:after="60"/>
        <w:contextualSpacing w:val="0"/>
        <w:rPr>
          <w:b/>
          <w:bCs/>
        </w:rPr>
      </w:pPr>
      <w:r>
        <w:t>Suspend IRB approval for some or all parts of the research activity</w:t>
      </w:r>
    </w:p>
    <w:p w14:paraId="5926876F" w14:textId="26626AB8" w:rsidR="00CE4C80" w:rsidRPr="00CE4C80" w:rsidRDefault="00CE4C80" w:rsidP="00CE4C80">
      <w:pPr>
        <w:pStyle w:val="ListParagraph"/>
        <w:numPr>
          <w:ilvl w:val="0"/>
          <w:numId w:val="34"/>
        </w:numPr>
        <w:spacing w:after="60"/>
        <w:contextualSpacing w:val="0"/>
        <w:rPr>
          <w:b/>
          <w:bCs/>
        </w:rPr>
      </w:pPr>
      <w:r>
        <w:t>Terminate IRB approval for some or all parts of the research activity</w:t>
      </w:r>
    </w:p>
    <w:p w14:paraId="62F8CF8F" w14:textId="77777777" w:rsidR="00CE4C80" w:rsidRPr="00CE4C80" w:rsidRDefault="00CE4C80" w:rsidP="00CE4C80">
      <w:pPr>
        <w:pStyle w:val="ListParagraph"/>
        <w:numPr>
          <w:ilvl w:val="0"/>
          <w:numId w:val="34"/>
        </w:numPr>
        <w:spacing w:after="60"/>
        <w:contextualSpacing w:val="0"/>
        <w:rPr>
          <w:b/>
          <w:bCs/>
        </w:rPr>
      </w:pPr>
      <w:r>
        <w:t>Require HSD to report a problem or concern to other UW offices, co-investigators, collaborators, collaborating institutions, and/or funding agencies or sponsors</w:t>
      </w:r>
    </w:p>
    <w:p w14:paraId="0FB93945" w14:textId="457A590D" w:rsidR="00CE4C80" w:rsidRPr="00CE4C80" w:rsidRDefault="00706357" w:rsidP="00CE4C80">
      <w:pPr>
        <w:pStyle w:val="ListParagraph"/>
        <w:numPr>
          <w:ilvl w:val="0"/>
          <w:numId w:val="34"/>
        </w:numPr>
        <w:spacing w:after="60"/>
        <w:contextualSpacing w:val="0"/>
        <w:rPr>
          <w:b/>
          <w:bCs/>
        </w:rPr>
      </w:pPr>
      <w:r>
        <w:t xml:space="preserve">Request </w:t>
      </w:r>
      <w:r w:rsidR="00CE4C80">
        <w:t>the HSD Director to consider</w:t>
      </w:r>
      <w:r>
        <w:t xml:space="preserve"> taking</w:t>
      </w:r>
      <w:r w:rsidR="00CE4C80">
        <w:t xml:space="preserve"> one</w:t>
      </w:r>
      <w:r>
        <w:t xml:space="preserve"> or more</w:t>
      </w:r>
      <w:r w:rsidR="00CE4C80">
        <w:t xml:space="preserve"> of the actions listed below (for which the IRB itself </w:t>
      </w:r>
      <w:r w:rsidR="00CE4C80" w:rsidRPr="00CE4C80">
        <w:rPr>
          <w:i/>
          <w:iCs/>
        </w:rPr>
        <w:t xml:space="preserve">does not </w:t>
      </w:r>
      <w:r w:rsidR="00CE4C80">
        <w:t xml:space="preserve">have authority). </w:t>
      </w:r>
    </w:p>
    <w:p w14:paraId="4FD6B3A1" w14:textId="77777777" w:rsidR="00CE4C80" w:rsidRDefault="00CE4C80" w:rsidP="00CE4C80">
      <w:pPr>
        <w:pStyle w:val="ListParagraph"/>
        <w:numPr>
          <w:ilvl w:val="1"/>
          <w:numId w:val="34"/>
        </w:numPr>
        <w:spacing w:after="60"/>
        <w:contextualSpacing w:val="0"/>
      </w:pPr>
      <w:r>
        <w:t>Requiring that data not be published or presented;</w:t>
      </w:r>
    </w:p>
    <w:p w14:paraId="7AB5FDBA" w14:textId="77777777" w:rsidR="00CE4C80" w:rsidRDefault="00CE4C80" w:rsidP="00CE4C80">
      <w:pPr>
        <w:pStyle w:val="ListParagraph"/>
        <w:numPr>
          <w:ilvl w:val="1"/>
          <w:numId w:val="34"/>
        </w:numPr>
        <w:spacing w:after="60"/>
        <w:contextualSpacing w:val="0"/>
      </w:pPr>
      <w:r>
        <w:t>Requiring that data not be used for a thesis or dissertation;</w:t>
      </w:r>
    </w:p>
    <w:p w14:paraId="32D3CB65" w14:textId="77777777" w:rsidR="00CE4C80" w:rsidRDefault="00CE4C80" w:rsidP="00CE4C80">
      <w:pPr>
        <w:pStyle w:val="ListParagraph"/>
        <w:numPr>
          <w:ilvl w:val="1"/>
          <w:numId w:val="34"/>
        </w:numPr>
        <w:spacing w:after="60"/>
        <w:contextualSpacing w:val="0"/>
      </w:pPr>
      <w:r>
        <w:t>Requiring that data be destroyed; and/or</w:t>
      </w:r>
    </w:p>
    <w:p w14:paraId="2E86BD67" w14:textId="01B728C2" w:rsidR="00CE4C80" w:rsidRPr="00CE4C80" w:rsidRDefault="004D2BA9" w:rsidP="00CE4C80">
      <w:pPr>
        <w:pStyle w:val="ListParagraph"/>
        <w:numPr>
          <w:ilvl w:val="1"/>
          <w:numId w:val="34"/>
        </w:numPr>
        <w:spacing w:after="60"/>
        <w:contextualSpacing w:val="0"/>
        <w:rPr>
          <w:b/>
          <w:bCs/>
        </w:rPr>
      </w:pPr>
      <w:r>
        <w:t>Restrict a researcher’s privilege to conduct research with humans</w:t>
      </w:r>
    </w:p>
    <w:p w14:paraId="15B5FE76" w14:textId="77777777" w:rsidR="00835684" w:rsidRPr="00835684" w:rsidRDefault="00835684" w:rsidP="00835684">
      <w:pPr>
        <w:ind w:left="450"/>
        <w:rPr>
          <w:b/>
          <w:bCs/>
        </w:rPr>
      </w:pPr>
    </w:p>
    <w:p w14:paraId="3761DCD4" w14:textId="55FA344B" w:rsidR="007203E8" w:rsidRDefault="00706059" w:rsidP="00706059">
      <w:pPr>
        <w:pStyle w:val="Heading2"/>
      </w:pPr>
      <w:r>
        <w:t>RELATED MATERIALS</w:t>
      </w:r>
    </w:p>
    <w:p w14:paraId="21D6EF19" w14:textId="77777777" w:rsidR="00706059" w:rsidRDefault="00706059" w:rsidP="007203E8">
      <w:pPr>
        <w:ind w:left="450" w:hanging="360"/>
      </w:pPr>
    </w:p>
    <w:p w14:paraId="2D56F218" w14:textId="305AAE21" w:rsidR="007203E8" w:rsidRDefault="007203E8" w:rsidP="007203E8">
      <w:pPr>
        <w:ind w:left="450" w:hanging="360"/>
      </w:pPr>
      <w:r>
        <w:t xml:space="preserve">4.1 </w:t>
      </w:r>
      <w:r w:rsidR="00434D1A">
        <w:t>WORKSHEET IRB Review Outcomes</w:t>
      </w:r>
    </w:p>
    <w:p w14:paraId="09740107" w14:textId="17AC0A1A" w:rsidR="00434D1A" w:rsidRDefault="00434D1A" w:rsidP="007203E8">
      <w:pPr>
        <w:ind w:left="450" w:hanging="360"/>
      </w:pPr>
      <w:r>
        <w:t>4.2 WORKSHEET Primary Reviewer, RNI</w:t>
      </w:r>
    </w:p>
    <w:p w14:paraId="52A8D68F" w14:textId="77777777" w:rsidR="001258D0" w:rsidRDefault="001258D0" w:rsidP="008A3BB8"/>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4D2BA9" w:rsidRPr="00ED134C" w14:paraId="5F7DA21C" w14:textId="77777777" w:rsidTr="0088551F">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C02DC8" w14:textId="546DC0C6" w:rsidR="004D2BA9" w:rsidRPr="004D2BA9" w:rsidRDefault="004D2BA9" w:rsidP="00D870E2">
            <w:pPr>
              <w:pStyle w:val="NoSpacing"/>
              <w:jc w:val="center"/>
            </w:pPr>
            <w:r>
              <w:t>2.2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92188" w14:textId="44D54E28" w:rsidR="004D2BA9" w:rsidRPr="004D2BA9" w:rsidRDefault="00BA52F9" w:rsidP="00D870E2">
            <w:pPr>
              <w:pStyle w:val="NoSpacing"/>
              <w:jc w:val="center"/>
            </w:pPr>
            <w:r>
              <w:t>05</w:t>
            </w:r>
            <w:r w:rsidR="005140CD">
              <w:t>/</w:t>
            </w:r>
            <w:r>
              <w:t>29</w:t>
            </w:r>
            <w:r w:rsidR="005140CD">
              <w:t>/</w:t>
            </w:r>
            <w:r>
              <w:t>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782A03" w14:textId="5AEF5427" w:rsidR="004D2BA9" w:rsidRPr="004D2BA9" w:rsidRDefault="00BA52F9" w:rsidP="00E478B8">
            <w:pPr>
              <w:pStyle w:val="NoSpacing"/>
              <w:jc w:val="center"/>
            </w:pPr>
            <w:r>
              <w:t>05</w:t>
            </w:r>
            <w:r w:rsidR="005140CD">
              <w:t>/</w:t>
            </w:r>
            <w:r>
              <w:t>29</w:t>
            </w:r>
            <w:r w:rsidR="005140CD">
              <w:t>/</w:t>
            </w:r>
            <w:r>
              <w:t>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F07321" w14:textId="106D4C1A" w:rsidR="004D2BA9" w:rsidRPr="004D2BA9" w:rsidRDefault="004D2BA9" w:rsidP="0088551F">
            <w:pPr>
              <w:pStyle w:val="NoSpacing"/>
            </w:pPr>
            <w:r>
              <w:t>Clarify IRB request for data or researcher restrictions; remove reference to refusing to review applications; updates for inclusive language</w:t>
            </w:r>
          </w:p>
        </w:tc>
      </w:tr>
      <w:tr w:rsidR="00CE4C80" w:rsidRPr="00D26748" w14:paraId="3C3B929C"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DEFDAD" w14:textId="65769B86" w:rsidR="00CE4C80" w:rsidRDefault="00CE4C80" w:rsidP="00E478B8">
            <w:pPr>
              <w:pStyle w:val="NoSpacing"/>
              <w:jc w:val="center"/>
              <w:rPr>
                <w:rFonts w:ascii="Calibri" w:eastAsiaTheme="majorEastAsia" w:hAnsi="Calibri" w:cstheme="majorBidi"/>
                <w:szCs w:val="26"/>
              </w:rPr>
            </w:pPr>
            <w:r>
              <w:rPr>
                <w:rFonts w:ascii="Calibri" w:eastAsiaTheme="majorEastAsia" w:hAnsi="Calibri" w:cstheme="majorBidi"/>
                <w:szCs w:val="26"/>
              </w:rPr>
              <w:t>2.1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B6C497" w14:textId="2BCC6A7D" w:rsidR="00CE4C80" w:rsidRDefault="00CE4C80" w:rsidP="00E478B8">
            <w:pPr>
              <w:pStyle w:val="NoSpacing"/>
              <w:jc w:val="center"/>
              <w:rPr>
                <w:rFonts w:ascii="Calibri" w:eastAsiaTheme="majorEastAsia" w:hAnsi="Calibri" w:cstheme="majorBidi"/>
              </w:rPr>
            </w:pPr>
            <w:r>
              <w:rPr>
                <w:rFonts w:ascii="Calibri" w:eastAsiaTheme="majorEastAsia" w:hAnsi="Calibri" w:cstheme="majorBidi"/>
              </w:rPr>
              <w:t>01/29/2026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0C086" w14:textId="197A73A4" w:rsidR="00CE4C80" w:rsidRDefault="00CE4C80" w:rsidP="00E478B8">
            <w:pPr>
              <w:pStyle w:val="NoSpacing"/>
              <w:jc w:val="center"/>
              <w:rPr>
                <w:rFonts w:ascii="Calibri" w:eastAsiaTheme="majorEastAsia" w:hAnsi="Calibri" w:cstheme="majorBidi"/>
                <w:szCs w:val="26"/>
              </w:rPr>
            </w:pPr>
            <w:r>
              <w:rPr>
                <w:rFonts w:ascii="Calibri" w:eastAsiaTheme="majorEastAsia" w:hAnsi="Calibri" w:cstheme="majorBidi"/>
                <w:szCs w:val="26"/>
              </w:rPr>
              <w:t>01/29/2026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06D58E" w14:textId="565ED8FA" w:rsidR="00CE4C80" w:rsidRDefault="00CE4C80" w:rsidP="00E478B8">
            <w:pPr>
              <w:pStyle w:val="NoSpacing"/>
              <w:rPr>
                <w:rFonts w:ascii="Calibri" w:eastAsiaTheme="majorEastAsia" w:hAnsi="Calibri" w:cstheme="majorBidi"/>
                <w:szCs w:val="26"/>
              </w:rPr>
            </w:pPr>
            <w:r>
              <w:rPr>
                <w:rFonts w:ascii="Calibri" w:eastAsiaTheme="majorEastAsia" w:hAnsi="Calibri" w:cstheme="majorBidi"/>
                <w:szCs w:val="26"/>
              </w:rPr>
              <w:t>Updates for accessibility</w:t>
            </w:r>
          </w:p>
        </w:tc>
      </w:tr>
      <w:tr w:rsidR="002A472C" w:rsidRPr="00D26748" w14:paraId="7990E838"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90D6C9" w14:textId="5792C518" w:rsidR="002A472C" w:rsidRDefault="00033DF7" w:rsidP="00E478B8">
            <w:pPr>
              <w:pStyle w:val="NoSpacing"/>
              <w:jc w:val="center"/>
              <w:rPr>
                <w:rFonts w:ascii="Calibri" w:eastAsiaTheme="majorEastAsia" w:hAnsi="Calibri" w:cstheme="majorBidi"/>
                <w:szCs w:val="26"/>
              </w:rPr>
            </w:pPr>
            <w:r>
              <w:rPr>
                <w:rFonts w:ascii="Calibri" w:eastAsiaTheme="majorEastAsia" w:hAnsi="Calibri" w:cstheme="majorBidi"/>
                <w:szCs w:val="26"/>
              </w:rPr>
              <w:t>2.0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C9D16" w14:textId="71F32731" w:rsidR="002A472C" w:rsidRDefault="00033DF7" w:rsidP="00E478B8">
            <w:pPr>
              <w:pStyle w:val="NoSpacing"/>
              <w:jc w:val="center"/>
              <w:rPr>
                <w:rFonts w:ascii="Calibri" w:eastAsiaTheme="majorEastAsia" w:hAnsi="Calibri" w:cstheme="majorBidi"/>
              </w:rPr>
            </w:pPr>
            <w:r>
              <w:rPr>
                <w:rFonts w:ascii="Calibri" w:eastAsiaTheme="majorEastAsia" w:hAnsi="Calibri" w:cstheme="majorBidi"/>
              </w:rPr>
              <w:t>05/26/2022</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731414" w14:textId="59D7BB27" w:rsidR="002A472C" w:rsidRDefault="00033DF7" w:rsidP="00E478B8">
            <w:pPr>
              <w:pStyle w:val="NoSpacing"/>
              <w:jc w:val="center"/>
              <w:rPr>
                <w:rFonts w:ascii="Calibri" w:eastAsiaTheme="majorEastAsia" w:hAnsi="Calibri" w:cstheme="majorBidi"/>
                <w:szCs w:val="26"/>
              </w:rPr>
            </w:pPr>
            <w:r>
              <w:rPr>
                <w:rFonts w:ascii="Calibri" w:eastAsiaTheme="majorEastAsia" w:hAnsi="Calibri" w:cstheme="majorBidi"/>
                <w:szCs w:val="26"/>
              </w:rPr>
              <w:t>05/26/2022</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64139" w14:textId="11C1B265" w:rsidR="002A472C" w:rsidRDefault="00033DF7" w:rsidP="00E478B8">
            <w:pPr>
              <w:pStyle w:val="NoSpacing"/>
              <w:rPr>
                <w:rFonts w:ascii="Calibri" w:eastAsiaTheme="majorEastAsia" w:hAnsi="Calibri" w:cstheme="majorBidi"/>
                <w:szCs w:val="26"/>
              </w:rPr>
            </w:pPr>
            <w:r>
              <w:rPr>
                <w:rFonts w:ascii="Calibri" w:eastAsiaTheme="majorEastAsia" w:hAnsi="Calibri" w:cstheme="majorBidi"/>
                <w:szCs w:val="26"/>
              </w:rPr>
              <w:t>Move content to new worksheet TEMPLATE; remove reference to retired document</w:t>
            </w:r>
          </w:p>
        </w:tc>
      </w:tr>
      <w:tr w:rsidR="008A3BB8" w:rsidRPr="00D26748" w14:paraId="0B9BBECD"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0AA371" w14:textId="6EA702D6" w:rsidR="008A3BB8" w:rsidRPr="00543DD2" w:rsidRDefault="00033DF7" w:rsidP="00E478B8">
            <w:pPr>
              <w:pStyle w:val="NoSpacing"/>
              <w:jc w:val="center"/>
              <w:rPr>
                <w:rFonts w:ascii="Calibri" w:eastAsiaTheme="majorEastAsia" w:hAnsi="Calibri" w:cstheme="majorBidi"/>
                <w:szCs w:val="26"/>
              </w:rPr>
            </w:pPr>
            <w:r>
              <w:rPr>
                <w:rFonts w:ascii="Calibri" w:eastAsiaTheme="majorEastAsia" w:hAnsi="Calibri" w:cstheme="majorBidi"/>
                <w:szCs w:val="26"/>
              </w:rPr>
              <w:t>1.2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EF7C" w14:textId="4E60BF6A" w:rsidR="008A3BB8" w:rsidRDefault="00434D1A" w:rsidP="00E478B8">
            <w:pPr>
              <w:pStyle w:val="NoSpacing"/>
              <w:jc w:val="center"/>
              <w:rPr>
                <w:rFonts w:ascii="Calibri" w:eastAsiaTheme="majorEastAsia" w:hAnsi="Calibri" w:cstheme="majorBidi"/>
              </w:rPr>
            </w:pPr>
            <w:r>
              <w:rPr>
                <w:rFonts w:ascii="Calibri" w:eastAsiaTheme="majorEastAsia" w:hAnsi="Calibri" w:cstheme="majorBidi"/>
              </w:rPr>
              <w:t>04/24/2015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C1BD2" w14:textId="5AC41066" w:rsidR="008A3BB8" w:rsidRPr="00543DD2" w:rsidRDefault="00434D1A" w:rsidP="00E478B8">
            <w:pPr>
              <w:pStyle w:val="NoSpacing"/>
              <w:jc w:val="center"/>
              <w:rPr>
                <w:rFonts w:ascii="Calibri" w:eastAsiaTheme="majorEastAsia" w:hAnsi="Calibri" w:cstheme="majorBidi"/>
                <w:szCs w:val="26"/>
              </w:rPr>
            </w:pPr>
            <w:r>
              <w:rPr>
                <w:rFonts w:ascii="Calibri" w:eastAsiaTheme="majorEastAsia" w:hAnsi="Calibri" w:cstheme="majorBidi"/>
                <w:szCs w:val="26"/>
              </w:rPr>
              <w:t>04/24/2015</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F434D6" w14:textId="4DFB808F" w:rsidR="008A3BB8" w:rsidRPr="00543DD2" w:rsidRDefault="00434D1A" w:rsidP="00E478B8">
            <w:pPr>
              <w:pStyle w:val="NoSpacing"/>
              <w:rPr>
                <w:rFonts w:ascii="Calibri" w:eastAsiaTheme="majorEastAsia" w:hAnsi="Calibri" w:cstheme="majorBidi"/>
                <w:szCs w:val="26"/>
              </w:rPr>
            </w:pPr>
            <w:r>
              <w:rPr>
                <w:rFonts w:ascii="Calibri" w:eastAsiaTheme="majorEastAsia" w:hAnsi="Calibri" w:cstheme="majorBidi"/>
                <w:szCs w:val="26"/>
              </w:rPr>
              <w:t>Remove reference to HIPAA authorization</w:t>
            </w:r>
          </w:p>
        </w:tc>
      </w:tr>
      <w:tr w:rsidR="007E1BEF" w:rsidRPr="00D26748" w14:paraId="42408BCB"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EFC6C7" w14:textId="4E5DCDCC" w:rsidR="007E1BEF" w:rsidRPr="00135B00" w:rsidRDefault="00434D1A" w:rsidP="00E478B8">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98D65" w14:textId="77777777" w:rsidR="007E1BEF" w:rsidRPr="00135B00" w:rsidRDefault="007E1BEF" w:rsidP="00E478B8">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A23202" w14:textId="77777777" w:rsidR="007E1BEF" w:rsidRPr="00135B00" w:rsidRDefault="007E1BEF" w:rsidP="00E478B8">
            <w:pPr>
              <w:pStyle w:val="NoSpacing"/>
              <w:jc w:val="center"/>
              <w:rPr>
                <w:rFonts w:ascii="Calibri" w:eastAsiaTheme="majorEastAsia" w:hAnsi="Calibri" w:cstheme="majorBidi"/>
                <w:color w:val="000000" w:themeColor="text1"/>
                <w:szCs w:val="26"/>
              </w:rPr>
            </w:pP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655A28" w14:textId="0FE81B59" w:rsidR="007E1BEF" w:rsidRPr="00135B00" w:rsidRDefault="009C7440" w:rsidP="00E478B8">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 are b</w:t>
            </w:r>
            <w:r w:rsidR="00434D1A">
              <w:rPr>
                <w:rFonts w:ascii="Calibri" w:eastAsiaTheme="majorEastAsia" w:hAnsi="Calibri" w:cstheme="majorBidi"/>
                <w:color w:val="000000" w:themeColor="text1"/>
                <w:szCs w:val="26"/>
              </w:rPr>
              <w:t>eyond records retention</w:t>
            </w:r>
            <w:r>
              <w:rPr>
                <w:rFonts w:ascii="Calibri" w:eastAsiaTheme="majorEastAsia" w:hAnsi="Calibri" w:cstheme="majorBidi"/>
                <w:color w:val="000000" w:themeColor="text1"/>
                <w:szCs w:val="26"/>
              </w:rPr>
              <w:t xml:space="preserve"> requirements</w:t>
            </w:r>
          </w:p>
        </w:tc>
      </w:tr>
    </w:tbl>
    <w:p w14:paraId="46DDF505" w14:textId="2B2F1B00" w:rsidR="008A3BB8" w:rsidRDefault="008A3BB8"/>
    <w:p w14:paraId="492B8A0B" w14:textId="4A65E96F" w:rsidR="00F06C39" w:rsidRPr="00033DF7" w:rsidRDefault="00F06C39">
      <w:pPr>
        <w:rPr>
          <w:sz w:val="18"/>
          <w:szCs w:val="18"/>
        </w:rPr>
      </w:pPr>
      <w:r w:rsidRPr="00AA3F9D">
        <w:rPr>
          <w:b/>
          <w:bCs/>
          <w:sz w:val="18"/>
          <w:szCs w:val="18"/>
        </w:rPr>
        <w:t xml:space="preserve">Key </w:t>
      </w:r>
      <w:r w:rsidR="003C56B4">
        <w:rPr>
          <w:b/>
          <w:bCs/>
          <w:sz w:val="18"/>
          <w:szCs w:val="18"/>
        </w:rPr>
        <w:t>w</w:t>
      </w:r>
      <w:r w:rsidRPr="00AA3F9D">
        <w:rPr>
          <w:b/>
          <w:bCs/>
          <w:sz w:val="18"/>
          <w:szCs w:val="18"/>
        </w:rPr>
        <w:t xml:space="preserve">ords: </w:t>
      </w:r>
      <w:r w:rsidR="00033DF7">
        <w:rPr>
          <w:sz w:val="18"/>
          <w:szCs w:val="18"/>
        </w:rPr>
        <w:t>IRB review; Noncompliance; Reporting; Unanticipated problem</w:t>
      </w:r>
    </w:p>
    <w:sectPr w:rsidR="00F06C39" w:rsidRPr="00033DF7" w:rsidSect="00EF57B9">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81FF" w14:textId="77777777" w:rsidR="0012429B" w:rsidRDefault="0012429B" w:rsidP="008212BD">
      <w:r>
        <w:separator/>
      </w:r>
    </w:p>
  </w:endnote>
  <w:endnote w:type="continuationSeparator" w:id="0">
    <w:p w14:paraId="775FA600" w14:textId="77777777" w:rsidR="0012429B" w:rsidRDefault="0012429B"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AF94" w14:textId="173CEC72" w:rsidR="00835684" w:rsidRDefault="00835684" w:rsidP="00835684">
    <w:pPr>
      <w:pStyle w:val="Footer"/>
      <w:tabs>
        <w:tab w:val="clear" w:pos="4680"/>
        <w:tab w:val="clear" w:pos="9360"/>
        <w:tab w:val="center" w:pos="5310"/>
        <w:tab w:val="right" w:pos="10800"/>
      </w:tabs>
    </w:pPr>
    <w:r w:rsidRPr="005031DB">
      <w:rPr>
        <w:rFonts w:cs="Calibri"/>
        <w:sz w:val="18"/>
        <w:szCs w:val="18"/>
      </w:rPr>
      <w:t xml:space="preserve">Date Posted </w:t>
    </w:r>
    <w:r>
      <w:rPr>
        <w:rFonts w:cs="Calibri"/>
        <w:sz w:val="18"/>
        <w:szCs w:val="18"/>
      </w:rPr>
      <w:t>0</w:t>
    </w:r>
    <w:r w:rsidR="00672D0D">
      <w:rPr>
        <w:rFonts w:cs="Calibri"/>
        <w:sz w:val="18"/>
        <w:szCs w:val="18"/>
      </w:rPr>
      <w:t>5</w:t>
    </w:r>
    <w:r>
      <w:rPr>
        <w:rFonts w:cs="Calibri"/>
        <w:sz w:val="18"/>
        <w:szCs w:val="18"/>
      </w:rPr>
      <w:t>.29.2026</w:t>
    </w:r>
  </w:p>
  <w:p w14:paraId="6D4092E2" w14:textId="649EE84F" w:rsidR="00835684" w:rsidRDefault="00835684" w:rsidP="00835684">
    <w:pPr>
      <w:pStyle w:val="Footer"/>
      <w:tabs>
        <w:tab w:val="clear" w:pos="4680"/>
        <w:tab w:val="clear" w:pos="9360"/>
        <w:tab w:val="center" w:pos="5310"/>
        <w:tab w:val="right" w:pos="10800"/>
      </w:tabs>
      <w:rPr>
        <w:rFonts w:cs="Calibri"/>
        <w:sz w:val="18"/>
        <w:szCs w:val="18"/>
      </w:rPr>
    </w:pPr>
    <w:r>
      <w:rPr>
        <w:rFonts w:cs="Calibri"/>
        <w:sz w:val="18"/>
        <w:szCs w:val="18"/>
      </w:rPr>
      <w:t>WORKSHEET Options for IRB Actions</w:t>
    </w:r>
  </w:p>
  <w:p w14:paraId="614FEB4D" w14:textId="17478DE2" w:rsidR="00835684" w:rsidRDefault="00835684" w:rsidP="00835684">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2.</w:t>
    </w:r>
    <w:r w:rsidR="0078118B">
      <w:rPr>
        <w:rFonts w:cs="Calibri"/>
        <w:sz w:val="18"/>
        <w:szCs w:val="18"/>
      </w:rPr>
      <w:t>2</w:t>
    </w:r>
  </w:p>
  <w:p w14:paraId="4580C1FB" w14:textId="26AF218D" w:rsidR="00E478B8" w:rsidRPr="00835684" w:rsidRDefault="00835684" w:rsidP="00835684">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7D4A" w14:textId="77777777" w:rsidR="0012429B" w:rsidRDefault="0012429B" w:rsidP="008212BD">
      <w:r>
        <w:separator/>
      </w:r>
    </w:p>
  </w:footnote>
  <w:footnote w:type="continuationSeparator" w:id="0">
    <w:p w14:paraId="74AFEA69" w14:textId="77777777" w:rsidR="0012429B" w:rsidRDefault="0012429B"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C050C"/>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AD1635"/>
    <w:multiLevelType w:val="hybridMultilevel"/>
    <w:tmpl w:val="69AA218E"/>
    <w:lvl w:ilvl="0" w:tplc="9620BA00">
      <w:start w:val="1"/>
      <w:numFmt w:val="decimal"/>
      <w:lvlText w:val="%1."/>
      <w:lvlJc w:val="left"/>
      <w:pPr>
        <w:ind w:left="1170" w:hanging="360"/>
      </w:pPr>
      <w:rPr>
        <w:b w:val="0"/>
        <w:bCs w:val="0"/>
      </w:rPr>
    </w:lvl>
    <w:lvl w:ilvl="1" w:tplc="8C2636E6">
      <w:start w:val="1"/>
      <w:numFmt w:val="lowerLetter"/>
      <w:lvlText w:val="%2."/>
      <w:lvlJc w:val="left"/>
      <w:pPr>
        <w:ind w:left="1890" w:hanging="360"/>
      </w:pPr>
      <w:rPr>
        <w:b w:val="0"/>
        <w:bCs w:val="0"/>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8280970"/>
    <w:multiLevelType w:val="hybridMultilevel"/>
    <w:tmpl w:val="F300DF7E"/>
    <w:lvl w:ilvl="0" w:tplc="A7C25426">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D3CD6"/>
    <w:multiLevelType w:val="hybridMultilevel"/>
    <w:tmpl w:val="3EE6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1" w15:restartNumberingAfterBreak="0">
    <w:nsid w:val="7BCD3473"/>
    <w:multiLevelType w:val="hybridMultilevel"/>
    <w:tmpl w:val="C1AEAFB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3A7E43"/>
    <w:multiLevelType w:val="hybridMultilevel"/>
    <w:tmpl w:val="1B863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18"/>
  </w:num>
  <w:num w:numId="2" w16cid:durableId="56980175">
    <w:abstractNumId w:val="12"/>
  </w:num>
  <w:num w:numId="3" w16cid:durableId="1981643860">
    <w:abstractNumId w:val="29"/>
  </w:num>
  <w:num w:numId="4" w16cid:durableId="789588117">
    <w:abstractNumId w:val="33"/>
  </w:num>
  <w:num w:numId="5" w16cid:durableId="1031413638">
    <w:abstractNumId w:val="0"/>
  </w:num>
  <w:num w:numId="6" w16cid:durableId="1084113241">
    <w:abstractNumId w:val="24"/>
  </w:num>
  <w:num w:numId="7" w16cid:durableId="1153524209">
    <w:abstractNumId w:val="2"/>
  </w:num>
  <w:num w:numId="8" w16cid:durableId="1165825522">
    <w:abstractNumId w:val="8"/>
  </w:num>
  <w:num w:numId="9" w16cid:durableId="214463615">
    <w:abstractNumId w:val="4"/>
  </w:num>
  <w:num w:numId="10" w16cid:durableId="640578230">
    <w:abstractNumId w:val="15"/>
  </w:num>
  <w:num w:numId="11" w16cid:durableId="808473260">
    <w:abstractNumId w:val="20"/>
  </w:num>
  <w:num w:numId="12" w16cid:durableId="1044981425">
    <w:abstractNumId w:val="17"/>
  </w:num>
  <w:num w:numId="13" w16cid:durableId="76948576">
    <w:abstractNumId w:val="30"/>
  </w:num>
  <w:num w:numId="14" w16cid:durableId="151989050">
    <w:abstractNumId w:val="13"/>
  </w:num>
  <w:num w:numId="15" w16cid:durableId="1170216852">
    <w:abstractNumId w:val="7"/>
  </w:num>
  <w:num w:numId="16" w16cid:durableId="34160750">
    <w:abstractNumId w:val="21"/>
  </w:num>
  <w:num w:numId="17" w16cid:durableId="92091696">
    <w:abstractNumId w:val="1"/>
  </w:num>
  <w:num w:numId="18" w16cid:durableId="1814174005">
    <w:abstractNumId w:val="25"/>
  </w:num>
  <w:num w:numId="19" w16cid:durableId="855314039">
    <w:abstractNumId w:val="16"/>
  </w:num>
  <w:num w:numId="20" w16cid:durableId="140270774">
    <w:abstractNumId w:val="10"/>
  </w:num>
  <w:num w:numId="21" w16cid:durableId="1151169682">
    <w:abstractNumId w:val="5"/>
  </w:num>
  <w:num w:numId="22" w16cid:durableId="1640719368">
    <w:abstractNumId w:val="14"/>
  </w:num>
  <w:num w:numId="23" w16cid:durableId="926114417">
    <w:abstractNumId w:val="9"/>
  </w:num>
  <w:num w:numId="24" w16cid:durableId="345134893">
    <w:abstractNumId w:val="22"/>
  </w:num>
  <w:num w:numId="25" w16cid:durableId="1280182912">
    <w:abstractNumId w:val="23"/>
  </w:num>
  <w:num w:numId="26" w16cid:durableId="1491868446">
    <w:abstractNumId w:val="19"/>
  </w:num>
  <w:num w:numId="27" w16cid:durableId="1860895228">
    <w:abstractNumId w:val="26"/>
  </w:num>
  <w:num w:numId="28" w16cid:durableId="763303607">
    <w:abstractNumId w:val="11"/>
  </w:num>
  <w:num w:numId="29" w16cid:durableId="1124231654">
    <w:abstractNumId w:val="3"/>
  </w:num>
  <w:num w:numId="30" w16cid:durableId="753748315">
    <w:abstractNumId w:val="32"/>
  </w:num>
  <w:num w:numId="31" w16cid:durableId="187836310">
    <w:abstractNumId w:val="27"/>
  </w:num>
  <w:num w:numId="32" w16cid:durableId="582759973">
    <w:abstractNumId w:val="28"/>
  </w:num>
  <w:num w:numId="33" w16cid:durableId="1250113632">
    <w:abstractNumId w:val="31"/>
  </w:num>
  <w:num w:numId="34" w16cid:durableId="257755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16C61"/>
    <w:rsid w:val="00021B70"/>
    <w:rsid w:val="00024BA1"/>
    <w:rsid w:val="00025715"/>
    <w:rsid w:val="00031C71"/>
    <w:rsid w:val="00033DF7"/>
    <w:rsid w:val="00034501"/>
    <w:rsid w:val="0005362F"/>
    <w:rsid w:val="00056D3E"/>
    <w:rsid w:val="0006009F"/>
    <w:rsid w:val="000616CA"/>
    <w:rsid w:val="00072281"/>
    <w:rsid w:val="000B0C16"/>
    <w:rsid w:val="000B1C08"/>
    <w:rsid w:val="000D18CF"/>
    <w:rsid w:val="00102C21"/>
    <w:rsid w:val="00104A02"/>
    <w:rsid w:val="0012429B"/>
    <w:rsid w:val="001258D0"/>
    <w:rsid w:val="00126372"/>
    <w:rsid w:val="00130298"/>
    <w:rsid w:val="00143E29"/>
    <w:rsid w:val="0015137A"/>
    <w:rsid w:val="00164EAF"/>
    <w:rsid w:val="001744BE"/>
    <w:rsid w:val="001966AF"/>
    <w:rsid w:val="001A253A"/>
    <w:rsid w:val="001B2FD6"/>
    <w:rsid w:val="001B415E"/>
    <w:rsid w:val="001B4E32"/>
    <w:rsid w:val="001C1F68"/>
    <w:rsid w:val="001C27DB"/>
    <w:rsid w:val="001C6178"/>
    <w:rsid w:val="001D22E5"/>
    <w:rsid w:val="001D32D3"/>
    <w:rsid w:val="001D44BD"/>
    <w:rsid w:val="001D79FC"/>
    <w:rsid w:val="001E191D"/>
    <w:rsid w:val="001F417A"/>
    <w:rsid w:val="001F602D"/>
    <w:rsid w:val="00207336"/>
    <w:rsid w:val="00215B3F"/>
    <w:rsid w:val="00243A0D"/>
    <w:rsid w:val="00244B9F"/>
    <w:rsid w:val="00247F4C"/>
    <w:rsid w:val="00254EEF"/>
    <w:rsid w:val="002714CF"/>
    <w:rsid w:val="002738A8"/>
    <w:rsid w:val="002805AE"/>
    <w:rsid w:val="002A472C"/>
    <w:rsid w:val="002A4FC6"/>
    <w:rsid w:val="002B5406"/>
    <w:rsid w:val="002E26E6"/>
    <w:rsid w:val="002E5EF1"/>
    <w:rsid w:val="00300E7F"/>
    <w:rsid w:val="00304D8D"/>
    <w:rsid w:val="00326662"/>
    <w:rsid w:val="003356DC"/>
    <w:rsid w:val="00354B0F"/>
    <w:rsid w:val="003769D7"/>
    <w:rsid w:val="00376B3A"/>
    <w:rsid w:val="003A06FA"/>
    <w:rsid w:val="003C1E3C"/>
    <w:rsid w:val="003C56B4"/>
    <w:rsid w:val="0040301C"/>
    <w:rsid w:val="004301DE"/>
    <w:rsid w:val="00434D1A"/>
    <w:rsid w:val="004513AB"/>
    <w:rsid w:val="00486010"/>
    <w:rsid w:val="004A1C89"/>
    <w:rsid w:val="004A5B52"/>
    <w:rsid w:val="004C0295"/>
    <w:rsid w:val="004D2BA9"/>
    <w:rsid w:val="004D360F"/>
    <w:rsid w:val="004E7E43"/>
    <w:rsid w:val="004F7585"/>
    <w:rsid w:val="005030EA"/>
    <w:rsid w:val="005140CD"/>
    <w:rsid w:val="00514240"/>
    <w:rsid w:val="00520010"/>
    <w:rsid w:val="005402AD"/>
    <w:rsid w:val="00555B89"/>
    <w:rsid w:val="00561CEA"/>
    <w:rsid w:val="005809E9"/>
    <w:rsid w:val="00582D7C"/>
    <w:rsid w:val="005914C6"/>
    <w:rsid w:val="005C5DDA"/>
    <w:rsid w:val="005D215B"/>
    <w:rsid w:val="005F180A"/>
    <w:rsid w:val="00602EBB"/>
    <w:rsid w:val="00613A6B"/>
    <w:rsid w:val="00627DEF"/>
    <w:rsid w:val="00633217"/>
    <w:rsid w:val="006454D9"/>
    <w:rsid w:val="00656A4C"/>
    <w:rsid w:val="00657DCF"/>
    <w:rsid w:val="00672D0D"/>
    <w:rsid w:val="00673A7A"/>
    <w:rsid w:val="006A0D6F"/>
    <w:rsid w:val="006A79C3"/>
    <w:rsid w:val="006D0168"/>
    <w:rsid w:val="006F756F"/>
    <w:rsid w:val="00706059"/>
    <w:rsid w:val="00706357"/>
    <w:rsid w:val="00710429"/>
    <w:rsid w:val="007203E8"/>
    <w:rsid w:val="00721935"/>
    <w:rsid w:val="00722AB1"/>
    <w:rsid w:val="00735BFD"/>
    <w:rsid w:val="00752787"/>
    <w:rsid w:val="0078118B"/>
    <w:rsid w:val="00786B32"/>
    <w:rsid w:val="00796DF8"/>
    <w:rsid w:val="007C4328"/>
    <w:rsid w:val="007E06CE"/>
    <w:rsid w:val="007E100C"/>
    <w:rsid w:val="007E1BEF"/>
    <w:rsid w:val="007E2BA5"/>
    <w:rsid w:val="007E784E"/>
    <w:rsid w:val="007F536B"/>
    <w:rsid w:val="00820B6D"/>
    <w:rsid w:val="008212BD"/>
    <w:rsid w:val="00835684"/>
    <w:rsid w:val="008458C5"/>
    <w:rsid w:val="008601F4"/>
    <w:rsid w:val="00861E44"/>
    <w:rsid w:val="008639D4"/>
    <w:rsid w:val="008675B6"/>
    <w:rsid w:val="00883390"/>
    <w:rsid w:val="0088551F"/>
    <w:rsid w:val="00885832"/>
    <w:rsid w:val="00894E5E"/>
    <w:rsid w:val="008A0F42"/>
    <w:rsid w:val="008A3BB8"/>
    <w:rsid w:val="008B6D0F"/>
    <w:rsid w:val="008D6EBD"/>
    <w:rsid w:val="008F2875"/>
    <w:rsid w:val="00903811"/>
    <w:rsid w:val="00923354"/>
    <w:rsid w:val="0093251D"/>
    <w:rsid w:val="009400E5"/>
    <w:rsid w:val="0094577D"/>
    <w:rsid w:val="00961369"/>
    <w:rsid w:val="00967FDA"/>
    <w:rsid w:val="00977B9D"/>
    <w:rsid w:val="0098273F"/>
    <w:rsid w:val="009A048D"/>
    <w:rsid w:val="009B4302"/>
    <w:rsid w:val="009B666D"/>
    <w:rsid w:val="009C7440"/>
    <w:rsid w:val="009D5581"/>
    <w:rsid w:val="009E7CAE"/>
    <w:rsid w:val="009F1778"/>
    <w:rsid w:val="00A02692"/>
    <w:rsid w:val="00A110DD"/>
    <w:rsid w:val="00A60169"/>
    <w:rsid w:val="00A62865"/>
    <w:rsid w:val="00A62F41"/>
    <w:rsid w:val="00A70BD9"/>
    <w:rsid w:val="00A8082D"/>
    <w:rsid w:val="00A86708"/>
    <w:rsid w:val="00A96E33"/>
    <w:rsid w:val="00AA3F9D"/>
    <w:rsid w:val="00AB1AE1"/>
    <w:rsid w:val="00AD050B"/>
    <w:rsid w:val="00AD0514"/>
    <w:rsid w:val="00AE201A"/>
    <w:rsid w:val="00AE3E7F"/>
    <w:rsid w:val="00AF4EDC"/>
    <w:rsid w:val="00B06CB1"/>
    <w:rsid w:val="00B36AE0"/>
    <w:rsid w:val="00B6703B"/>
    <w:rsid w:val="00B71101"/>
    <w:rsid w:val="00B76CE9"/>
    <w:rsid w:val="00BA52F9"/>
    <w:rsid w:val="00BA68ED"/>
    <w:rsid w:val="00BA72DA"/>
    <w:rsid w:val="00BB4E3B"/>
    <w:rsid w:val="00BD17E3"/>
    <w:rsid w:val="00BE05E5"/>
    <w:rsid w:val="00BE2372"/>
    <w:rsid w:val="00BF4486"/>
    <w:rsid w:val="00BF49CE"/>
    <w:rsid w:val="00C031A5"/>
    <w:rsid w:val="00C104BC"/>
    <w:rsid w:val="00C15D93"/>
    <w:rsid w:val="00C17D98"/>
    <w:rsid w:val="00C25316"/>
    <w:rsid w:val="00C52559"/>
    <w:rsid w:val="00C566B8"/>
    <w:rsid w:val="00C72040"/>
    <w:rsid w:val="00C909FF"/>
    <w:rsid w:val="00C97DCA"/>
    <w:rsid w:val="00CB7D54"/>
    <w:rsid w:val="00CC6D25"/>
    <w:rsid w:val="00CE20EC"/>
    <w:rsid w:val="00CE4C80"/>
    <w:rsid w:val="00CF6C51"/>
    <w:rsid w:val="00D129F9"/>
    <w:rsid w:val="00D15A48"/>
    <w:rsid w:val="00D21284"/>
    <w:rsid w:val="00D240B3"/>
    <w:rsid w:val="00D50A92"/>
    <w:rsid w:val="00D86821"/>
    <w:rsid w:val="00D870E2"/>
    <w:rsid w:val="00D90665"/>
    <w:rsid w:val="00D96C6B"/>
    <w:rsid w:val="00DB67AF"/>
    <w:rsid w:val="00DC4307"/>
    <w:rsid w:val="00DD17C0"/>
    <w:rsid w:val="00DD3321"/>
    <w:rsid w:val="00DE59D9"/>
    <w:rsid w:val="00DF7A2E"/>
    <w:rsid w:val="00E07225"/>
    <w:rsid w:val="00E412BA"/>
    <w:rsid w:val="00E478B8"/>
    <w:rsid w:val="00E53B6C"/>
    <w:rsid w:val="00E60F80"/>
    <w:rsid w:val="00E73686"/>
    <w:rsid w:val="00E75748"/>
    <w:rsid w:val="00E836B9"/>
    <w:rsid w:val="00EB32CB"/>
    <w:rsid w:val="00EC0CC1"/>
    <w:rsid w:val="00EC22F3"/>
    <w:rsid w:val="00EC78AC"/>
    <w:rsid w:val="00EE7361"/>
    <w:rsid w:val="00EF57B9"/>
    <w:rsid w:val="00EF6D15"/>
    <w:rsid w:val="00F06C39"/>
    <w:rsid w:val="00F2600A"/>
    <w:rsid w:val="00F46ABE"/>
    <w:rsid w:val="00F51D7A"/>
    <w:rsid w:val="00F57845"/>
    <w:rsid w:val="00F605CF"/>
    <w:rsid w:val="00FA1FC2"/>
    <w:rsid w:val="00FB2B2B"/>
    <w:rsid w:val="00FD7679"/>
    <w:rsid w:val="00FE3405"/>
    <w:rsid w:val="00FE52FD"/>
    <w:rsid w:val="00FF28C9"/>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2">
    <w:name w:val="heading 2"/>
    <w:basedOn w:val="ListParagraph"/>
    <w:next w:val="Normal"/>
    <w:link w:val="Heading2Char"/>
    <w:uiPriority w:val="9"/>
    <w:unhideWhenUsed/>
    <w:qFormat/>
    <w:rsid w:val="00706059"/>
    <w:pPr>
      <w:numPr>
        <w:numId w:val="31"/>
      </w:numPr>
      <w:shd w:val="clear" w:color="auto" w:fill="33006F"/>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6059"/>
    <w:rPr>
      <w:rFonts w:ascii="Calibri" w:eastAsia="Calibri" w:hAnsi="Calibri" w:cs="Times New Roman"/>
      <w:b/>
      <w:bCs/>
      <w:shd w:val="clear" w:color="auto" w:fill="3300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Updates for accessibility</Change_x0020_Notes>
    <Posted_x0020_Date xmlns="7c9d0ed2-8163-4b50-bae4-466292e5dd21">2026-01-29T08:00:00+00:00</Posted_x0020_Date>
    <Taxonomy0 xmlns="7c9d0ed2-8163-4b50-bae4-466292e5dd21">
      <Value>Worksheet</Value>
    </Taxonomy0>
    <Version_x0020_Number xmlns="7c9d0ed2-8163-4b50-bae4-466292e5dd21">2.1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https://www.washington.edu/research/forms-and-templates/worksheet-options-for-irb-actions/</Url>
      <Description>https://www.washington.edu/research/forms-and-templates/worksheet-options-for-irb-actions/</Description>
    </Web_x0020_Page_x0020_URL>
    <Archive_x003f__x0028_checkifyes_x0029_ xmlns="7c9d0ed2-8163-4b50-bae4-466292e5dd21">true</Archive_x003f__x0028_checkifyes_x0029_>
    <SharePointOwner xmlns="7c9d0ed2-8163-4b50-bae4-466292e5dd21">
      <UserInfo>
        <DisplayName>Dolly Morse</DisplayName>
        <AccountId>75</AccountId>
        <AccountType/>
      </UserInfo>
    </SharePointOwner>
    <ContentOwner xmlns="7c9d0ed2-8163-4b50-bae4-466292e5dd21">
      <UserInfo>
        <DisplayName>Jean Kang</DisplayName>
        <AccountId>98</AccountId>
        <AccountType/>
      </UserInfo>
    </Content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3.xml><?xml version="1.0" encoding="utf-8"?>
<ds:datastoreItem xmlns:ds="http://schemas.openxmlformats.org/officeDocument/2006/customXml" ds:itemID="{BD40CEA7-5D9D-4DA8-905F-B4C6D5472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4E6FD-2528-4C4D-BE68-BD95505BF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WORKSHEET_Options_for_IRB_Actions_v2.1_2026.01.29</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WORKSHEET_Options_for_IRB_Actions_v2.1_2026.01.29</dc:title>
  <dc:subject/>
  <dc:creator>Sherry Edwards</dc:creator>
  <cp:keywords>;#IRB review;#Noncompliance;#Reporting;#Unanticipated problem;#</cp:keywords>
  <dc:description/>
  <cp:lastModifiedBy>Dolly Morse</cp:lastModifiedBy>
  <cp:revision>2</cp:revision>
  <dcterms:created xsi:type="dcterms:W3CDTF">2026-05-29T17:47:00Z</dcterms:created>
  <dcterms:modified xsi:type="dcterms:W3CDTF">2026-05-29T17:47:00Z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