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181A4" w14:textId="316D4A47" w:rsidR="00402968" w:rsidRDefault="00402968" w:rsidP="00402968">
      <w:pPr>
        <w:widowControl w:val="0"/>
        <w:jc w:val="right"/>
        <w:rPr>
          <w:b/>
          <w:sz w:val="28"/>
          <w:szCs w:val="28"/>
        </w:rPr>
      </w:pPr>
      <w:r w:rsidRPr="00402968">
        <w:rPr>
          <w:noProof/>
          <w:sz w:val="28"/>
          <w:szCs w:val="28"/>
        </w:rPr>
        <w:drawing>
          <wp:anchor distT="0" distB="0" distL="114300" distR="114300" simplePos="0" relativeHeight="251658240" behindDoc="1" locked="0" layoutInCell="1" allowOverlap="1" wp14:anchorId="6D9E2229" wp14:editId="76808B62">
            <wp:simplePos x="0" y="0"/>
            <wp:positionH relativeFrom="column">
              <wp:posOffset>3810</wp:posOffset>
            </wp:positionH>
            <wp:positionV relativeFrom="paragraph">
              <wp:posOffset>3810</wp:posOffset>
            </wp:positionV>
            <wp:extent cx="2743200" cy="333375"/>
            <wp:effectExtent l="0" t="0" r="0" b="9525"/>
            <wp:wrapTight wrapText="bothSides">
              <wp:wrapPolygon edited="0">
                <wp:start x="0" y="0"/>
                <wp:lineTo x="0" y="4937"/>
                <wp:lineTo x="300" y="19749"/>
                <wp:lineTo x="600" y="20983"/>
                <wp:lineTo x="15600" y="20983"/>
                <wp:lineTo x="15900" y="19749"/>
                <wp:lineTo x="21450" y="12343"/>
                <wp:lineTo x="21450" y="0"/>
                <wp:lineTo x="0" y="0"/>
              </wp:wrapPolygon>
            </wp:wrapTight>
            <wp:docPr id="374358678" name="Picture 2" descr="Logo&#10;&#10;University of Washington Human Subjects Di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10;&#10;University of Washington Human Subjects Divis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333375"/>
                    </a:xfrm>
                    <a:prstGeom prst="rect">
                      <a:avLst/>
                    </a:prstGeom>
                    <a:noFill/>
                  </pic:spPr>
                </pic:pic>
              </a:graphicData>
            </a:graphic>
            <wp14:sizeRelH relativeFrom="page">
              <wp14:pctWidth>0</wp14:pctWidth>
            </wp14:sizeRelH>
            <wp14:sizeRelV relativeFrom="page">
              <wp14:pctHeight>0</wp14:pctHeight>
            </wp14:sizeRelV>
          </wp:anchor>
        </w:drawing>
      </w:r>
      <w:r w:rsidRPr="00402968">
        <w:rPr>
          <w:b/>
          <w:sz w:val="28"/>
          <w:szCs w:val="28"/>
        </w:rPr>
        <w:t xml:space="preserve">WORKSHEET </w:t>
      </w:r>
      <w:r>
        <w:rPr>
          <w:b/>
          <w:sz w:val="28"/>
          <w:szCs w:val="28"/>
        </w:rPr>
        <w:t>IRB Review Outcomes</w:t>
      </w:r>
    </w:p>
    <w:p w14:paraId="223F8BF3" w14:textId="77777777" w:rsidR="00402968" w:rsidRPr="00402968" w:rsidRDefault="00402968" w:rsidP="00402968">
      <w:pPr>
        <w:widowControl w:val="0"/>
        <w:jc w:val="right"/>
        <w:rPr>
          <w:b/>
          <w:sz w:val="28"/>
          <w:szCs w:val="28"/>
        </w:rPr>
      </w:pPr>
    </w:p>
    <w:p w14:paraId="2C86654B" w14:textId="77777777" w:rsidR="00402968" w:rsidRDefault="00402968" w:rsidP="00402968">
      <w:pPr>
        <w:widowControl w:val="0"/>
        <w:shd w:val="clear" w:color="auto" w:fill="33006F"/>
        <w:rPr>
          <w:sz w:val="24"/>
          <w:szCs w:val="24"/>
        </w:rPr>
      </w:pPr>
    </w:p>
    <w:p w14:paraId="0A4EBF59" w14:textId="77777777" w:rsidR="00402968" w:rsidRDefault="00402968" w:rsidP="0083035A">
      <w:pPr>
        <w:widowControl w:val="0"/>
        <w:rPr>
          <w:sz w:val="24"/>
          <w:szCs w:val="24"/>
        </w:rPr>
      </w:pPr>
    </w:p>
    <w:p w14:paraId="6E08B82A" w14:textId="77777777" w:rsidR="00402968" w:rsidRDefault="00402968" w:rsidP="0083035A">
      <w:pPr>
        <w:widowControl w:val="0"/>
        <w:rPr>
          <w:sz w:val="24"/>
          <w:szCs w:val="24"/>
        </w:rPr>
      </w:pPr>
    </w:p>
    <w:p w14:paraId="6B241557" w14:textId="7322DC84" w:rsidR="00402968" w:rsidRDefault="00402968" w:rsidP="00402968">
      <w:pPr>
        <w:pStyle w:val="Heading2"/>
      </w:pPr>
      <w:r>
        <w:t xml:space="preserve">PURPOSE AND </w:t>
      </w:r>
      <w:r w:rsidRPr="00402968">
        <w:t>APPLICABILITY</w:t>
      </w:r>
    </w:p>
    <w:p w14:paraId="15FE9661" w14:textId="77777777" w:rsidR="00402968" w:rsidRDefault="00402968" w:rsidP="00402968">
      <w:pPr>
        <w:widowControl w:val="0"/>
        <w:shd w:val="clear" w:color="auto" w:fill="FFFFFF" w:themeFill="background1"/>
        <w:ind w:firstLine="180"/>
        <w:rPr>
          <w:b/>
          <w:bCs/>
          <w:sz w:val="24"/>
          <w:szCs w:val="24"/>
        </w:rPr>
      </w:pPr>
    </w:p>
    <w:p w14:paraId="059684CA" w14:textId="7A70DDA5" w:rsidR="00402968" w:rsidRDefault="00402968" w:rsidP="00402968">
      <w:pPr>
        <w:widowControl w:val="0"/>
        <w:shd w:val="clear" w:color="auto" w:fill="FFFFFF" w:themeFill="background1"/>
        <w:ind w:left="180"/>
        <w:rPr>
          <w:b/>
          <w:bCs/>
          <w:sz w:val="24"/>
          <w:szCs w:val="24"/>
        </w:rPr>
      </w:pPr>
      <w:r w:rsidRPr="006B06A5">
        <w:t xml:space="preserve">This </w:t>
      </w:r>
      <w:r>
        <w:t>worksheet</w:t>
      </w:r>
      <w:r w:rsidRPr="006B06A5">
        <w:t xml:space="preserve"> provides an annotated description of possible review outcomes resulting from the UW IRB review of applications for new studies</w:t>
      </w:r>
      <w:r>
        <w:t>,</w:t>
      </w:r>
      <w:r w:rsidRPr="006B06A5">
        <w:t xml:space="preserve"> or applications for continuing review or modification. IRB review outcomes taken in response to Reports of New Information (RNI) are detailed in the </w:t>
      </w:r>
      <w:r w:rsidRPr="006B06A5">
        <w:rPr>
          <w:b/>
          <w:bCs/>
        </w:rPr>
        <w:t>WORKSHEET Options for IRB Actions</w:t>
      </w:r>
      <w:r w:rsidRPr="006B06A5">
        <w:t xml:space="preserve">. For a complete description of the IRB review process, use this worksheet in combination with the </w:t>
      </w:r>
      <w:r w:rsidRPr="006B06A5">
        <w:rPr>
          <w:b/>
          <w:bCs/>
        </w:rPr>
        <w:t>SOP IRB Review</w:t>
      </w:r>
      <w:r w:rsidRPr="006B06A5">
        <w:t xml:space="preserve">, </w:t>
      </w:r>
      <w:r w:rsidRPr="006B06A5">
        <w:rPr>
          <w:b/>
          <w:bCs/>
        </w:rPr>
        <w:t>WORKSHEETs Primary Reviewer</w:t>
      </w:r>
      <w:r w:rsidRPr="006B06A5">
        <w:t>,</w:t>
      </w:r>
      <w:r w:rsidRPr="006B06A5">
        <w:rPr>
          <w:b/>
          <w:bCs/>
        </w:rPr>
        <w:t xml:space="preserve"> WORKSHEET Expedited Review</w:t>
      </w:r>
      <w:r w:rsidRPr="006B06A5">
        <w:t xml:space="preserve">, </w:t>
      </w:r>
      <w:r w:rsidRPr="006B06A5">
        <w:rPr>
          <w:b/>
          <w:bCs/>
        </w:rPr>
        <w:t xml:space="preserve">SOP </w:t>
      </w:r>
      <w:r>
        <w:rPr>
          <w:b/>
          <w:bCs/>
        </w:rPr>
        <w:t>Convened IRB Meeting Administration</w:t>
      </w:r>
      <w:r>
        <w:t>,</w:t>
      </w:r>
      <w:r w:rsidRPr="006B06A5">
        <w:rPr>
          <w:b/>
          <w:bCs/>
        </w:rPr>
        <w:t xml:space="preserve"> </w:t>
      </w:r>
      <w:r w:rsidRPr="006B06A5">
        <w:t xml:space="preserve">and </w:t>
      </w:r>
      <w:r w:rsidRPr="006B06A5">
        <w:rPr>
          <w:b/>
          <w:bCs/>
        </w:rPr>
        <w:t xml:space="preserve">SOP </w:t>
      </w:r>
      <w:r>
        <w:rPr>
          <w:b/>
          <w:bCs/>
        </w:rPr>
        <w:t xml:space="preserve">Convened </w:t>
      </w:r>
      <w:r w:rsidRPr="006B06A5">
        <w:rPr>
          <w:b/>
          <w:bCs/>
        </w:rPr>
        <w:t>IRB Meeting</w:t>
      </w:r>
      <w:r>
        <w:rPr>
          <w:b/>
          <w:bCs/>
        </w:rPr>
        <w:t>s</w:t>
      </w:r>
      <w:r w:rsidRPr="006B06A5">
        <w:t>. This worksheet is intended to be used as a reference tool and is not completed or retained in the IRB file</w:t>
      </w:r>
      <w:r>
        <w:t>.</w:t>
      </w:r>
    </w:p>
    <w:p w14:paraId="115A202A" w14:textId="77777777" w:rsidR="00402968" w:rsidRDefault="00402968" w:rsidP="00402968">
      <w:pPr>
        <w:widowControl w:val="0"/>
        <w:shd w:val="clear" w:color="auto" w:fill="FFFFFF" w:themeFill="background1"/>
        <w:ind w:firstLine="180"/>
        <w:rPr>
          <w:b/>
          <w:bCs/>
          <w:sz w:val="24"/>
          <w:szCs w:val="24"/>
        </w:rPr>
      </w:pPr>
    </w:p>
    <w:p w14:paraId="4C05DE08" w14:textId="783612CC" w:rsidR="00B67C92" w:rsidRPr="00402968" w:rsidRDefault="00B67C92" w:rsidP="00B67C92">
      <w:pPr>
        <w:pStyle w:val="Heading2"/>
      </w:pPr>
      <w:r>
        <w:t>CONTEXT</w:t>
      </w:r>
    </w:p>
    <w:p w14:paraId="5F427722" w14:textId="6AF5E5EC" w:rsidR="005C5DDA" w:rsidRDefault="005C5DDA" w:rsidP="0083035A">
      <w:pPr>
        <w:widowControl w:val="0"/>
        <w:rPr>
          <w:sz w:val="24"/>
          <w:szCs w:val="24"/>
        </w:rPr>
      </w:pPr>
    </w:p>
    <w:p w14:paraId="641745ED" w14:textId="77777777" w:rsidR="00B67C92" w:rsidRDefault="00B67C92" w:rsidP="00B67C92">
      <w:pPr>
        <w:widowControl w:val="0"/>
        <w:ind w:left="180"/>
      </w:pPr>
      <w:r>
        <w:t xml:space="preserve">Federal human subjects regulations and Washington State law give the IRB the authority to take specific actions in connection with human subjects research activities and to require specific action, changes, or information from researchers in order to obtain IRB approval. UW policy grants authority to the UW IRB, and to the Director of the Human Subjects Division (HSD), to take some specific additional actions. </w:t>
      </w:r>
    </w:p>
    <w:p w14:paraId="6BE28B1B" w14:textId="77777777" w:rsidR="00B67C92" w:rsidRDefault="00B67C92" w:rsidP="00B67C92">
      <w:pPr>
        <w:widowControl w:val="0"/>
      </w:pPr>
    </w:p>
    <w:p w14:paraId="29E1A2A5" w14:textId="6CFF8E3B" w:rsidR="00B67C92" w:rsidRDefault="00B67C92" w:rsidP="00B67C92">
      <w:pPr>
        <w:widowControl w:val="0"/>
        <w:ind w:left="180"/>
        <w:rPr>
          <w:sz w:val="24"/>
          <w:szCs w:val="24"/>
        </w:rPr>
      </w:pPr>
      <w:r>
        <w:t>The UW IRBs are not authorized to take actions outside of federal regulations, state law, or UW policy but the IRB may make recommendations to appropriate University officials for additional actions and/or sanctions.</w:t>
      </w:r>
    </w:p>
    <w:p w14:paraId="5C1E349A" w14:textId="77777777" w:rsidR="00B67C92" w:rsidRPr="006B06A5" w:rsidRDefault="00B67C92" w:rsidP="0083035A">
      <w:pPr>
        <w:widowControl w:val="0"/>
        <w:rPr>
          <w:sz w:val="24"/>
          <w:szCs w:val="24"/>
        </w:rPr>
      </w:pPr>
    </w:p>
    <w:p w14:paraId="76827096" w14:textId="05B2985D" w:rsidR="005C5DDA" w:rsidRDefault="003E2577" w:rsidP="003E2577">
      <w:pPr>
        <w:pStyle w:val="Heading2"/>
      </w:pPr>
      <w:r>
        <w:t>IRB REVIEW OUTCOMES</w:t>
      </w:r>
    </w:p>
    <w:p w14:paraId="3D13247C" w14:textId="77777777" w:rsidR="003E2577" w:rsidRDefault="003E2577" w:rsidP="0083035A">
      <w:pPr>
        <w:widowControl w:val="0"/>
        <w:rPr>
          <w:sz w:val="24"/>
          <w:szCs w:val="24"/>
        </w:rPr>
      </w:pPr>
    </w:p>
    <w:p w14:paraId="21790142" w14:textId="668F376E" w:rsidR="003E2577" w:rsidRPr="0022752A" w:rsidRDefault="003E2577" w:rsidP="003E2577">
      <w:pPr>
        <w:pStyle w:val="Heading3"/>
        <w:rPr>
          <w:b/>
          <w:bCs/>
        </w:rPr>
      </w:pPr>
      <w:r w:rsidRPr="0022752A">
        <w:rPr>
          <w:b/>
          <w:bCs/>
        </w:rPr>
        <w:t>APPROVAL:</w:t>
      </w:r>
    </w:p>
    <w:p w14:paraId="15F1F6E5" w14:textId="77777777" w:rsidR="003E2577" w:rsidRDefault="003E2577" w:rsidP="003E2577">
      <w:pPr>
        <w:widowControl w:val="0"/>
        <w:ind w:left="180"/>
        <w:rPr>
          <w:b/>
          <w:bCs/>
        </w:rPr>
      </w:pPr>
    </w:p>
    <w:p w14:paraId="1F2A6459" w14:textId="49C14146" w:rsidR="003E2577" w:rsidRDefault="003E2577" w:rsidP="00CB368C">
      <w:pPr>
        <w:widowControl w:val="0"/>
        <w:spacing w:after="120"/>
        <w:ind w:left="360"/>
        <w:rPr>
          <w:b/>
          <w:bCs/>
        </w:rPr>
      </w:pPr>
      <w:r>
        <w:rPr>
          <w:b/>
          <w:bCs/>
        </w:rPr>
        <w:t>A simple majority of t</w:t>
      </w:r>
      <w:r w:rsidRPr="00B67ABC">
        <w:rPr>
          <w:b/>
          <w:bCs/>
        </w:rPr>
        <w:t>he convened IRB, or a designated reviewer, determines that no changes or additional information are needed in order to meet, or continue to meet, the applicable IRB criteria for approval. The study may be conducted according to the IRB-approved protocol.</w:t>
      </w:r>
    </w:p>
    <w:p w14:paraId="1B115A26" w14:textId="77777777" w:rsidR="003E2577" w:rsidRDefault="003E2577" w:rsidP="00CB368C">
      <w:pPr>
        <w:widowControl w:val="0"/>
        <w:spacing w:after="120"/>
        <w:ind w:left="720"/>
      </w:pPr>
      <w:r w:rsidRPr="00B67ABC">
        <w:rPr>
          <w:b/>
          <w:bCs/>
        </w:rPr>
        <w:t>Approval of components</w:t>
      </w:r>
      <w:r w:rsidRPr="00B8046C">
        <w:t xml:space="preserve">. </w:t>
      </w:r>
      <w:r>
        <w:t>The IRB may choose to approve some components of the project but not others, if the IRB has determined the approved components satisfy all the criteria required for IRB approval. It may be appropriate for the researcher to later submit a modification to request approval for the other components.</w:t>
      </w:r>
    </w:p>
    <w:p w14:paraId="03BC1F74" w14:textId="77777777" w:rsidR="003E2577" w:rsidRDefault="003E2577" w:rsidP="00CB368C">
      <w:pPr>
        <w:widowControl w:val="0"/>
        <w:spacing w:after="120"/>
        <w:ind w:left="1080"/>
      </w:pPr>
      <w:r w:rsidRPr="008822E0">
        <w:rPr>
          <w:b/>
          <w:bCs/>
        </w:rPr>
        <w:t>Example.</w:t>
      </w:r>
      <w:r>
        <w:t xml:space="preserve"> A researcher requests approval for a study involving a survey of drug use among community-dwelling adults and incarcerated adults. The IRB initially approves the study for community-dwelling adults only, because the researcher will not be able to address prisoner-related requirements for a few more months.</w:t>
      </w:r>
    </w:p>
    <w:p w14:paraId="1BB427E1" w14:textId="5C66127C" w:rsidR="003E2577" w:rsidRDefault="003E2577" w:rsidP="00CB368C">
      <w:pPr>
        <w:widowControl w:val="0"/>
        <w:spacing w:after="120"/>
        <w:ind w:left="810"/>
      </w:pPr>
      <w:r w:rsidRPr="00B67ABC">
        <w:rPr>
          <w:b/>
          <w:bCs/>
        </w:rPr>
        <w:t>Studies with suspension or unresolved problems</w:t>
      </w:r>
      <w:r>
        <w:t>. A decision to approve means that the study continues to meet the applicable criteria for approval, except for any issues related to the problem or suspension, and that the IRB expects that the issues will be successfully resolved (which may include modifications) such that the criteria for approval will still be met. Any suspension remains in place until the IRB explicitly lifts the suspension or decides to terminate the study.</w:t>
      </w:r>
    </w:p>
    <w:p w14:paraId="1AED81B4" w14:textId="77777777" w:rsidR="003E2577" w:rsidRDefault="003E2577" w:rsidP="003E2577">
      <w:pPr>
        <w:widowControl w:val="0"/>
        <w:ind w:left="810"/>
      </w:pPr>
    </w:p>
    <w:p w14:paraId="67D76C9C" w14:textId="26594E52" w:rsidR="00CB368C" w:rsidRDefault="00FF4011" w:rsidP="00CB368C">
      <w:pPr>
        <w:widowControl w:val="0"/>
        <w:ind w:left="270" w:firstLine="90"/>
        <w:rPr>
          <w:b/>
          <w:bCs/>
          <w:sz w:val="24"/>
          <w:szCs w:val="24"/>
        </w:rPr>
      </w:pPr>
      <w:sdt>
        <w:sdtPr>
          <w:rPr>
            <w:sz w:val="24"/>
            <w:szCs w:val="24"/>
          </w:rPr>
          <w:alias w:val="Met - A simple majority of the convened IRB, or a designated reviewer, determines that no changes or additional information are needed in order to meet, or continue to meet, the applicable IRB criteria for approval. The study may be conducted according to the IRB-approved protocol."/>
          <w:tag w:val="Met - A simple majority of the convened IRB, or a designated reviewer, determines that no changes or additional information are needed in order to meet, or continue to meet, the applicable IRB criteria for approval. The study may be conducted according to the IRB-approved protocol."/>
          <w:id w:val="-377167298"/>
          <w14:checkbox>
            <w14:checked w14:val="0"/>
            <w14:checkedState w14:val="2612" w14:font="MS Gothic"/>
            <w14:uncheckedState w14:val="2610" w14:font="MS Gothic"/>
          </w14:checkbox>
        </w:sdtPr>
        <w:sdtEndPr/>
        <w:sdtContent>
          <w:r w:rsidR="003E2577">
            <w:rPr>
              <w:rFonts w:ascii="MS Gothic" w:eastAsia="MS Gothic" w:hAnsi="MS Gothic" w:hint="eastAsia"/>
              <w:sz w:val="24"/>
              <w:szCs w:val="24"/>
            </w:rPr>
            <w:t>☐</w:t>
          </w:r>
        </w:sdtContent>
      </w:sdt>
      <w:r w:rsidR="003E2577">
        <w:rPr>
          <w:sz w:val="24"/>
          <w:szCs w:val="24"/>
        </w:rPr>
        <w:t xml:space="preserve"> </w:t>
      </w:r>
      <w:r w:rsidR="003E2577">
        <w:rPr>
          <w:b/>
          <w:bCs/>
          <w:sz w:val="24"/>
          <w:szCs w:val="24"/>
        </w:rPr>
        <w:t>MET</w:t>
      </w:r>
    </w:p>
    <w:p w14:paraId="4A7D6620" w14:textId="77777777" w:rsidR="00CB368C" w:rsidRPr="00CB368C" w:rsidRDefault="00CB368C" w:rsidP="00CB368C">
      <w:pPr>
        <w:widowControl w:val="0"/>
        <w:ind w:left="270" w:firstLine="90"/>
        <w:rPr>
          <w:b/>
          <w:bCs/>
          <w:sz w:val="24"/>
          <w:szCs w:val="24"/>
        </w:rPr>
      </w:pPr>
    </w:p>
    <w:p w14:paraId="775CAA14" w14:textId="6E85874A" w:rsidR="00CB368C" w:rsidRPr="0022752A" w:rsidRDefault="00CB368C" w:rsidP="00CB368C">
      <w:pPr>
        <w:pStyle w:val="Heading3"/>
        <w:rPr>
          <w:b/>
          <w:bCs/>
        </w:rPr>
      </w:pPr>
      <w:r w:rsidRPr="0022752A">
        <w:rPr>
          <w:b/>
          <w:bCs/>
        </w:rPr>
        <w:t>CONDITIONAL APPROVAL (MODIFICATIONS REQUIRED TO SECURE APPROVAL):</w:t>
      </w:r>
    </w:p>
    <w:p w14:paraId="7BAA5909" w14:textId="77777777" w:rsidR="00CB368C" w:rsidRDefault="00CB368C" w:rsidP="00CB368C">
      <w:pPr>
        <w:rPr>
          <w:b/>
          <w:bCs/>
        </w:rPr>
      </w:pPr>
    </w:p>
    <w:p w14:paraId="0446ACA1" w14:textId="40EA6826" w:rsidR="00CB368C" w:rsidRDefault="00CB368C" w:rsidP="00CB368C">
      <w:pPr>
        <w:ind w:left="360"/>
        <w:rPr>
          <w:b/>
          <w:bCs/>
        </w:rPr>
      </w:pPr>
      <w:r>
        <w:rPr>
          <w:b/>
          <w:bCs/>
        </w:rPr>
        <w:t>A simple majority of t</w:t>
      </w:r>
      <w:r w:rsidRPr="006B06A5">
        <w:rPr>
          <w:b/>
          <w:bCs/>
        </w:rPr>
        <w:t>he convened IRB, or a designated reviewer, determines that the applicable criteria for approval have been met, based on the assumption that specific conditions will be met by the researcher and subsequently verified by an individual designated by the IRB. Research activities or changes cannot be initiated until the conditions have been met and verified.</w:t>
      </w:r>
    </w:p>
    <w:p w14:paraId="7A25FFA2" w14:textId="77777777" w:rsidR="00CB368C" w:rsidRDefault="00CB368C" w:rsidP="00CB368C">
      <w:pPr>
        <w:ind w:left="360"/>
        <w:rPr>
          <w:b/>
          <w:bCs/>
        </w:rPr>
      </w:pPr>
    </w:p>
    <w:p w14:paraId="45A2576D" w14:textId="0000CCB0" w:rsidR="00CB368C" w:rsidRDefault="00CB368C" w:rsidP="00CB368C">
      <w:pPr>
        <w:spacing w:after="120"/>
        <w:ind w:left="720"/>
      </w:pPr>
      <w:r w:rsidRPr="00CB368C">
        <w:rPr>
          <w:b/>
          <w:bCs/>
        </w:rPr>
        <w:t>Conditions</w:t>
      </w:r>
      <w:r w:rsidRPr="00CB368C">
        <w:t>. These may include requesting that the researcher will: a) make specific changes to the research protocol, the consent materials, or other study materials; b) confirm specific assumptions or understandings on the part of the IRB; and/or c) provide additional or revised information or documents that are not necessary for determining that the criteria for approval have been met. The researcher is provided with a statement as to the reasons for the conditions and given the opportunity to respond.</w:t>
      </w:r>
    </w:p>
    <w:p w14:paraId="147FD37A" w14:textId="77777777" w:rsidR="00CB368C" w:rsidRDefault="00CB368C" w:rsidP="00CB368C">
      <w:pPr>
        <w:widowControl w:val="0"/>
        <w:spacing w:after="120"/>
        <w:ind w:left="1080"/>
      </w:pPr>
      <w:r w:rsidRPr="006B06A5">
        <w:rPr>
          <w:b/>
          <w:bCs/>
        </w:rPr>
        <w:t>Distinguishing conditional approval from deferral</w:t>
      </w:r>
      <w:r>
        <w:t xml:space="preserve">. It is important to understand the distinction between a decision of “conditional approval” and a decision of “deferral”, and the conditions for which each is appropriate. For example, the review outcome should be “deferral” if any additional information the IRB requests (e.g., about risk) is necessary for determining that the criteria for approval have been met. See </w:t>
      </w:r>
      <w:hyperlink r:id="rId11" w:history="1">
        <w:r w:rsidRPr="00D57604">
          <w:rPr>
            <w:rStyle w:val="Hyperlink"/>
          </w:rPr>
          <w:t>Approval of Research with Conditions: OHRP Guidance (2010)</w:t>
        </w:r>
      </w:hyperlink>
      <w:r>
        <w:t>.</w:t>
      </w:r>
    </w:p>
    <w:p w14:paraId="06E0B023" w14:textId="77777777" w:rsidR="00CB368C" w:rsidRPr="00D13B14" w:rsidRDefault="00CB368C" w:rsidP="00CB368C">
      <w:pPr>
        <w:widowControl w:val="0"/>
        <w:spacing w:after="120"/>
        <w:ind w:left="1440"/>
        <w:rPr>
          <w:i/>
          <w:iCs/>
        </w:rPr>
      </w:pPr>
      <w:r>
        <w:rPr>
          <w:u w:val="single"/>
        </w:rPr>
        <w:t>Example conditional approval point</w:t>
      </w:r>
      <w:r>
        <w:t xml:space="preserve">. </w:t>
      </w:r>
      <w:r>
        <w:rPr>
          <w:i/>
          <w:iCs/>
        </w:rPr>
        <w:t xml:space="preserve">Confirm the IRB’s understanding that a licensed clinician will administer the psychiatric evaluations and will follow the suicidal ideation safety protocol you have provided with your application. </w:t>
      </w:r>
    </w:p>
    <w:p w14:paraId="55F0DDF5" w14:textId="74D1E6C2" w:rsidR="00CB368C" w:rsidRDefault="00CB368C" w:rsidP="00CB368C">
      <w:pPr>
        <w:spacing w:after="120"/>
        <w:ind w:left="1440"/>
        <w:rPr>
          <w:i/>
          <w:iCs/>
        </w:rPr>
      </w:pPr>
      <w:r>
        <w:rPr>
          <w:u w:val="single"/>
        </w:rPr>
        <w:t>Example deferral point</w:t>
      </w:r>
      <w:r>
        <w:t xml:space="preserve">. </w:t>
      </w:r>
      <w:r>
        <w:rPr>
          <w:i/>
          <w:iCs/>
        </w:rPr>
        <w:t>Describe your plan for mitigating risks to subjects, given that psychiatric evaluations will be administered by students. For example, will there be a licensed clinician in attendance or otherwise available to assist should the evaluations indicate a subject may be at risk of immediate self-harm? In your response, provide the IRB with a suicidal ideation safety protocol.</w:t>
      </w:r>
    </w:p>
    <w:p w14:paraId="3A09E870" w14:textId="2926F22C" w:rsidR="00CB368C" w:rsidRDefault="00CB368C" w:rsidP="00CB368C">
      <w:pPr>
        <w:spacing w:after="120"/>
        <w:ind w:left="720"/>
      </w:pPr>
      <w:r>
        <w:rPr>
          <w:b/>
          <w:bCs/>
        </w:rPr>
        <w:t xml:space="preserve">Communication. </w:t>
      </w:r>
      <w:r>
        <w:t>The IRB provides researchers with a Conditional Approval letter listing the conditional approval points and requesting the researcher’s written response.</w:t>
      </w:r>
    </w:p>
    <w:p w14:paraId="79F383F1" w14:textId="77777777" w:rsidR="00CB368C" w:rsidRDefault="00CB368C" w:rsidP="00CB368C">
      <w:pPr>
        <w:widowControl w:val="0"/>
        <w:spacing w:after="60"/>
        <w:ind w:left="720"/>
      </w:pPr>
      <w:r w:rsidRPr="006B06A5">
        <w:rPr>
          <w:b/>
          <w:bCs/>
        </w:rPr>
        <w:t>Verification</w:t>
      </w:r>
      <w:r w:rsidRPr="00B8046C">
        <w:t>.</w:t>
      </w:r>
      <w:r>
        <w:t xml:space="preserve"> The researcher’s response is verified by an individual(s) designated by the IRB rather than at an IRB meeting. It is not necessary for the verification to be performed by an IRB member because verification is not considered to be an IRB review action. Unless otherwise indicated in the IRB meeting minutes, </w:t>
      </w:r>
      <w:proofErr w:type="gramStart"/>
      <w:r>
        <w:t>a</w:t>
      </w:r>
      <w:proofErr w:type="gramEnd"/>
      <w:r>
        <w:t xml:space="preserve"> HSD staff administrator is designated by the IRB to verify the conditions. If the verification requires medical, scientific, technical, or other expertise, the IRB designates an individual(s) with the requisite expertise to verify the response. The individual(s) verifying the response may consult the IRB Chair or other individuals with applicable expertise if they are unsure whether the response satisfies the IRB’s conditions. </w:t>
      </w:r>
    </w:p>
    <w:p w14:paraId="2E9F281D" w14:textId="0E19ACD0" w:rsidR="00CB368C" w:rsidRDefault="00CB368C" w:rsidP="00CB368C">
      <w:pPr>
        <w:spacing w:after="120"/>
        <w:ind w:left="1080"/>
        <w:rPr>
          <w:b/>
          <w:bCs/>
        </w:rPr>
      </w:pPr>
      <w:r w:rsidRPr="006B06A5">
        <w:rPr>
          <w:b/>
          <w:bCs/>
        </w:rPr>
        <w:t>Unable to verify</w:t>
      </w:r>
      <w:r w:rsidRPr="00B8046C">
        <w:t>.</w:t>
      </w:r>
      <w:r>
        <w:t xml:space="preserve"> </w:t>
      </w:r>
      <w:r w:rsidRPr="009F6D12">
        <w:t>The r</w:t>
      </w:r>
      <w:r>
        <w:t>esearcher is informed whether the response satisfactorily meets the conditions of the IRB. The researcher may be asked to provide additional materials or information to meet the conditions or may choose to offer an alternative to the conditions communicated by the IRB. If the researcher is not willing to meet the IRB’s conditions, the item must undergo re-review by the convened IRB; this is true whether the conditions were imposed by the convened IRB or a designated reviewer. This re-review results in reconsideration of the applicable criteria for approval, determinations and waivers, and a new IRB review outcome (e.g., conditional approval, approval, deferral).</w:t>
      </w:r>
    </w:p>
    <w:p w14:paraId="127A20A0" w14:textId="77777777" w:rsidR="00CB368C" w:rsidRDefault="00CB368C" w:rsidP="00CB368C">
      <w:pPr>
        <w:widowControl w:val="0"/>
        <w:spacing w:after="120"/>
        <w:ind w:left="720"/>
      </w:pPr>
      <w:r w:rsidRPr="006B06A5">
        <w:rPr>
          <w:b/>
          <w:bCs/>
        </w:rPr>
        <w:t>Ongoing research</w:t>
      </w:r>
      <w:r w:rsidRPr="00B8046C">
        <w:t xml:space="preserve">. </w:t>
      </w:r>
      <w:r>
        <w:t>When granting conditional approval status to a continuing review or modification application, the IRB must specify whether any conditions need to be satisfied before the researcher can continue particular research activities related to those conditions. Such constraints are not considered a suspension.</w:t>
      </w:r>
    </w:p>
    <w:p w14:paraId="5C41F316" w14:textId="72424B20" w:rsidR="00CB368C" w:rsidRDefault="00CB368C" w:rsidP="00CB368C">
      <w:pPr>
        <w:tabs>
          <w:tab w:val="left" w:pos="1440"/>
        </w:tabs>
        <w:spacing w:after="120"/>
        <w:ind w:left="1440"/>
      </w:pPr>
      <w:r w:rsidRPr="00290286">
        <w:rPr>
          <w:u w:val="single"/>
        </w:rPr>
        <w:t>Example</w:t>
      </w:r>
      <w:r w:rsidRPr="00290286">
        <w:t>.</w:t>
      </w:r>
      <w:r>
        <w:t xml:space="preserve"> The IRB conditionally approves a continuing review application with the condition that the researcher submit a modification to add new information about the study risks to the consent form and </w:t>
      </w:r>
      <w:r>
        <w:lastRenderedPageBreak/>
        <w:t>describe their plan for reconsent, and that no new subjects may be enrolled until the conditions are met.</w:t>
      </w:r>
    </w:p>
    <w:p w14:paraId="79F4ECBE" w14:textId="1836BEE0" w:rsidR="00CB368C" w:rsidRDefault="00CB368C" w:rsidP="00CB368C">
      <w:pPr>
        <w:tabs>
          <w:tab w:val="left" w:pos="720"/>
        </w:tabs>
        <w:spacing w:after="120"/>
        <w:ind w:left="720"/>
      </w:pPr>
      <w:r w:rsidRPr="006449BB">
        <w:rPr>
          <w:b/>
          <w:bCs/>
        </w:rPr>
        <w:t>Studies with suspension or unresolved problems</w:t>
      </w:r>
      <w:r>
        <w:t>. A decision to conditionally approve can be made independently of any issues related to the problem or suspension, if the IRB expects that the issues will be successfully resolved (which may include modifications) such that the criteria for approval will still be met. Any suspension remains in place until the IRB explicitly lifts the suspension or decides to terminate the study.</w:t>
      </w:r>
    </w:p>
    <w:p w14:paraId="0C96CDDB" w14:textId="5B6FD42A" w:rsidR="00CB368C" w:rsidRDefault="00CB368C" w:rsidP="00CB368C">
      <w:pPr>
        <w:tabs>
          <w:tab w:val="left" w:pos="720"/>
        </w:tabs>
        <w:spacing w:after="120"/>
        <w:ind w:left="720"/>
      </w:pPr>
      <w:r w:rsidRPr="009F6D12">
        <w:rPr>
          <w:b/>
          <w:bCs/>
        </w:rPr>
        <w:t>Dates</w:t>
      </w:r>
      <w:r>
        <w:t xml:space="preserve">. When conditional approval is granted before the expiration date of the preceding IRB approval period, the IRB approval does not lapse even if the researcher needs additional time – beyond the date on which the preceding IRB approval would have expired – to satisfy some or all of the IRB’s conditions. The conditional approval date for an application is the </w:t>
      </w:r>
      <w:r w:rsidRPr="00BA7731">
        <w:rPr>
          <w:i/>
          <w:iCs/>
        </w:rPr>
        <w:t>approval date</w:t>
      </w:r>
      <w:r>
        <w:t xml:space="preserve"> and the date conditions are verified is the </w:t>
      </w:r>
      <w:r w:rsidRPr="00BA7731">
        <w:rPr>
          <w:i/>
          <w:iCs/>
        </w:rPr>
        <w:t>effective date</w:t>
      </w:r>
      <w:r>
        <w:t>.</w:t>
      </w:r>
    </w:p>
    <w:p w14:paraId="3E676FE4" w14:textId="77777777" w:rsidR="00CB368C" w:rsidRDefault="00CB368C" w:rsidP="00CB368C">
      <w:pPr>
        <w:widowControl w:val="0"/>
        <w:spacing w:after="120"/>
        <w:ind w:left="720"/>
      </w:pPr>
      <w:r w:rsidRPr="00B8046C">
        <w:rPr>
          <w:b/>
          <w:bCs/>
        </w:rPr>
        <w:t>Modifications proposed with the conditional approval response.</w:t>
      </w:r>
      <w:r>
        <w:rPr>
          <w:b/>
          <w:bCs/>
        </w:rPr>
        <w:t xml:space="preserve"> </w:t>
      </w:r>
      <w:r>
        <w:t xml:space="preserve">Additional changes are sometimes proposed by the researcher after the IRB has granted conditional approval but before approval has been granted. Changes that are administrative in nature (e.g., correction of typo) do not require additional IRB review because these are not changes to the research. Changes that meet the regulatory definition of a </w:t>
      </w:r>
      <w:hyperlink r:id="rId12" w:history="1">
        <w:r w:rsidRPr="00C4596C">
          <w:rPr>
            <w:rStyle w:val="Hyperlink"/>
          </w:rPr>
          <w:t>minor change</w:t>
        </w:r>
      </w:hyperlink>
      <w:r>
        <w:t xml:space="preserve"> may be reviewed by the IRB Chair or designated reviewer using expedited review procedures so long as all members of the IRB are advised of the changes that are approved under expedited review (e.g., by sending an email to the IRB members that attended that meeting). Changes that are more than minor require review by the convened IRB.</w:t>
      </w:r>
    </w:p>
    <w:p w14:paraId="1750541F" w14:textId="39DF4F45" w:rsidR="00CB368C" w:rsidRDefault="00CB368C" w:rsidP="00CB368C">
      <w:pPr>
        <w:tabs>
          <w:tab w:val="left" w:pos="720"/>
        </w:tabs>
        <w:spacing w:after="120"/>
        <w:ind w:left="720"/>
      </w:pPr>
      <w:r>
        <w:rPr>
          <w:b/>
          <w:bCs/>
        </w:rPr>
        <w:t xml:space="preserve">Level of review. </w:t>
      </w:r>
      <w:r>
        <w:t>Conditional Approval may be granted during an expedited review but it is generally unnecessary. This is because the expedited review process is almost always a single extended process between the designated reviewer and the researcher that isn’t tied to convened IRB meetings and therefore doesn’t require formal pre-approval review decisions.</w:t>
      </w:r>
    </w:p>
    <w:p w14:paraId="73403C5E" w14:textId="35071CA6" w:rsidR="00A11EF2" w:rsidRPr="00A11EF2" w:rsidRDefault="00FF4011" w:rsidP="00A11EF2">
      <w:pPr>
        <w:spacing w:after="120"/>
        <w:ind w:left="270" w:firstLine="90"/>
        <w:rPr>
          <w:b/>
          <w:bCs/>
        </w:rPr>
      </w:pPr>
      <w:sdt>
        <w:sdtPr>
          <w:alias w:val="Met - A simple majority of the convened IRB, or a designated reviewer, determines that the applicable criteria for approval have been met, based on the assumption that specific conditions will be met by the researcher and subsequently verified by an individual designated by the IRB. Research activities or changes cannot be initiated until the conditions have been met and verified."/>
          <w:tag w:val="Met - A simple majority of the convened IRB, or a designated reviewer, determines that the applicable criteria for approval have been met, based on the assumption that specific conditions will be met by the researcher and subsequently verified by an individual designated by the IRB. Research activities or changes cannot be initiated until the conditions have been met and verified."/>
          <w:id w:val="-1854031010"/>
          <w14:checkbox>
            <w14:checked w14:val="0"/>
            <w14:checkedState w14:val="2612" w14:font="MS Gothic"/>
            <w14:uncheckedState w14:val="2610" w14:font="MS Gothic"/>
          </w14:checkbox>
        </w:sdtPr>
        <w:sdtEndPr/>
        <w:sdtContent>
          <w:r w:rsidR="00131392">
            <w:rPr>
              <w:rFonts w:ascii="MS Gothic" w:eastAsia="MS Gothic" w:hAnsi="MS Gothic" w:hint="eastAsia"/>
            </w:rPr>
            <w:t>☐</w:t>
          </w:r>
        </w:sdtContent>
      </w:sdt>
      <w:r w:rsidR="00A11EF2">
        <w:t xml:space="preserve"> </w:t>
      </w:r>
      <w:r w:rsidR="00A11EF2" w:rsidRPr="00A11EF2">
        <w:rPr>
          <w:b/>
          <w:bCs/>
          <w:sz w:val="24"/>
          <w:szCs w:val="24"/>
        </w:rPr>
        <w:t>MET</w:t>
      </w:r>
    </w:p>
    <w:p w14:paraId="34E80B56" w14:textId="77777777" w:rsidR="00A11EF2" w:rsidRDefault="00A11EF2" w:rsidP="00A11EF2">
      <w:pPr>
        <w:spacing w:after="120"/>
        <w:ind w:left="180"/>
      </w:pPr>
    </w:p>
    <w:p w14:paraId="255002CE" w14:textId="58F7935B" w:rsidR="00131392" w:rsidRPr="0022752A" w:rsidRDefault="00131392" w:rsidP="00131392">
      <w:pPr>
        <w:pStyle w:val="Heading3"/>
        <w:rPr>
          <w:b/>
          <w:bCs/>
        </w:rPr>
      </w:pPr>
      <w:r w:rsidRPr="0022752A">
        <w:rPr>
          <w:b/>
          <w:bCs/>
        </w:rPr>
        <w:t>DEFERRAL:</w:t>
      </w:r>
    </w:p>
    <w:p w14:paraId="446CA1E8" w14:textId="77777777" w:rsidR="00131392" w:rsidRDefault="00131392" w:rsidP="00131392">
      <w:pPr>
        <w:ind w:left="360"/>
        <w:rPr>
          <w:b/>
          <w:bCs/>
        </w:rPr>
      </w:pPr>
    </w:p>
    <w:p w14:paraId="309E660C" w14:textId="1CA015AF" w:rsidR="00131392" w:rsidRDefault="00131392" w:rsidP="00131392">
      <w:pPr>
        <w:spacing w:after="120"/>
        <w:ind w:left="360"/>
        <w:rPr>
          <w:b/>
          <w:bCs/>
        </w:rPr>
      </w:pPr>
      <w:r>
        <w:rPr>
          <w:b/>
          <w:bCs/>
        </w:rPr>
        <w:t>A simple majority of t</w:t>
      </w:r>
      <w:r w:rsidRPr="005C6DC9">
        <w:rPr>
          <w:b/>
          <w:bCs/>
        </w:rPr>
        <w:t>he convened IRB determines that modifications, clarification, revised documents, and/or additional information are required in order to assess the applicable criteria for IRB approval. This means that the item is deferred for further review at a future date. Human research activities may not begin.</w:t>
      </w:r>
    </w:p>
    <w:p w14:paraId="2F320ABB" w14:textId="46C0FB54" w:rsidR="00131392" w:rsidRPr="00131392" w:rsidRDefault="00131392" w:rsidP="00131392">
      <w:pPr>
        <w:spacing w:after="120"/>
        <w:ind w:left="720"/>
      </w:pPr>
      <w:r w:rsidRPr="00131392">
        <w:t>The IRB specifies what changes, information, and/or new or revised materials are needed in a written letter to the researcher. These requests should be directly relevant to the criteria for approval and required determinations.</w:t>
      </w:r>
    </w:p>
    <w:p w14:paraId="7BD2A840" w14:textId="7476A7AC" w:rsidR="00131392" w:rsidRPr="00131392" w:rsidRDefault="00131392" w:rsidP="00131392">
      <w:pPr>
        <w:spacing w:after="120"/>
        <w:ind w:left="720"/>
      </w:pPr>
      <w:r w:rsidRPr="00131392">
        <w:t xml:space="preserve">Deferral is not an option for designated reviewers using the expedited process. It is not considered a deferral when a designated reviewer refers an application to the full convened IRB, which may happen when it becomes apparent that the item doesn’t meet the criteria for expedited review. Deferral responses may not be reviewed by the expedited process. </w:t>
      </w:r>
    </w:p>
    <w:p w14:paraId="17864B1C" w14:textId="5B8D9BEE" w:rsidR="00131392" w:rsidRDefault="00131392" w:rsidP="00131392">
      <w:pPr>
        <w:spacing w:after="120"/>
        <w:ind w:left="720"/>
      </w:pPr>
      <w:r w:rsidRPr="00131392">
        <w:rPr>
          <w:b/>
          <w:bCs/>
        </w:rPr>
        <w:t>Verification from other sources</w:t>
      </w:r>
      <w:r w:rsidRPr="00131392">
        <w:t>. The convened IRB or designated reviewer may determine that approval for a continuing review or modification application cannot be granted without verification from sources other than the researcher that no material changes have been made to the project since the last IRB review. The review decision must be “deferral” until the verification has been obtained (</w:t>
      </w:r>
      <w:r w:rsidRPr="00131392">
        <w:rPr>
          <w:b/>
          <w:bCs/>
        </w:rPr>
        <w:t>WORKSHEET Primary Reviewer, Continuing Review and Modification</w:t>
      </w:r>
      <w:r w:rsidRPr="00131392">
        <w:t>).</w:t>
      </w:r>
    </w:p>
    <w:p w14:paraId="7FBCCEE4" w14:textId="1CF4CF95" w:rsidR="00131392" w:rsidRDefault="00FF4011" w:rsidP="00131392">
      <w:pPr>
        <w:spacing w:after="120"/>
        <w:ind w:left="270" w:firstLine="90"/>
        <w:rPr>
          <w:b/>
          <w:bCs/>
          <w:sz w:val="24"/>
          <w:szCs w:val="24"/>
        </w:rPr>
      </w:pPr>
      <w:sdt>
        <w:sdtPr>
          <w:alias w:val="Met - A simple majority of the convened IRB determines that modifications, clarification, revised documents, and/or additional information are required in order to assess the applicable criteria for IRB approval. This means that the item is deferred for further review at a future date. Human research activities may not begin."/>
          <w:tag w:val="Met - A simple majority of the convened IRB determines that modifications, clarification, revised documents, and/or additional information are required in order to assess the applicable criteria for IRB approval. This means that the item is deferred for further review at a future date. Human research activities may not begin."/>
          <w:id w:val="860326507"/>
          <w14:checkbox>
            <w14:checked w14:val="0"/>
            <w14:checkedState w14:val="2612" w14:font="MS Gothic"/>
            <w14:uncheckedState w14:val="2610" w14:font="MS Gothic"/>
          </w14:checkbox>
        </w:sdtPr>
        <w:sdtEndPr/>
        <w:sdtContent>
          <w:r w:rsidR="00131392">
            <w:rPr>
              <w:rFonts w:ascii="MS Gothic" w:eastAsia="MS Gothic" w:hAnsi="MS Gothic" w:hint="eastAsia"/>
            </w:rPr>
            <w:t>☐</w:t>
          </w:r>
        </w:sdtContent>
      </w:sdt>
      <w:r w:rsidR="00131392">
        <w:t xml:space="preserve"> </w:t>
      </w:r>
      <w:r w:rsidR="00131392" w:rsidRPr="00131392">
        <w:rPr>
          <w:b/>
          <w:bCs/>
          <w:sz w:val="24"/>
          <w:szCs w:val="24"/>
        </w:rPr>
        <w:t>MET</w:t>
      </w:r>
    </w:p>
    <w:p w14:paraId="76216D0B" w14:textId="77777777" w:rsidR="00131392" w:rsidRDefault="00131392" w:rsidP="00131392">
      <w:pPr>
        <w:spacing w:after="120"/>
        <w:ind w:left="270" w:firstLine="90"/>
        <w:rPr>
          <w:b/>
          <w:bCs/>
          <w:sz w:val="24"/>
          <w:szCs w:val="24"/>
        </w:rPr>
      </w:pPr>
    </w:p>
    <w:p w14:paraId="12B94E57" w14:textId="0D14887C" w:rsidR="00131392" w:rsidRPr="0022752A" w:rsidRDefault="002634AB" w:rsidP="002634AB">
      <w:pPr>
        <w:pStyle w:val="Heading3"/>
        <w:rPr>
          <w:b/>
          <w:bCs/>
        </w:rPr>
      </w:pPr>
      <w:r w:rsidRPr="0022752A">
        <w:rPr>
          <w:b/>
          <w:bCs/>
        </w:rPr>
        <w:t>DISAPPROVAL:</w:t>
      </w:r>
    </w:p>
    <w:p w14:paraId="5FEF3B2D" w14:textId="77777777" w:rsidR="0022752A" w:rsidRDefault="0022752A" w:rsidP="002634AB">
      <w:pPr>
        <w:spacing w:after="120"/>
        <w:ind w:left="360"/>
        <w:rPr>
          <w:b/>
          <w:bCs/>
        </w:rPr>
      </w:pPr>
    </w:p>
    <w:p w14:paraId="0175422E" w14:textId="71944385" w:rsidR="002634AB" w:rsidRDefault="002634AB" w:rsidP="002634AB">
      <w:pPr>
        <w:spacing w:after="120"/>
        <w:ind w:left="360"/>
        <w:rPr>
          <w:b/>
          <w:bCs/>
        </w:rPr>
      </w:pPr>
      <w:r>
        <w:rPr>
          <w:b/>
          <w:bCs/>
        </w:rPr>
        <w:t>A simple majority of t</w:t>
      </w:r>
      <w:r w:rsidRPr="00666A7E">
        <w:rPr>
          <w:b/>
          <w:bCs/>
        </w:rPr>
        <w:t>he convened IRB determine</w:t>
      </w:r>
      <w:r>
        <w:rPr>
          <w:b/>
          <w:bCs/>
        </w:rPr>
        <w:t>s</w:t>
      </w:r>
      <w:r w:rsidRPr="00666A7E">
        <w:rPr>
          <w:b/>
          <w:bCs/>
        </w:rPr>
        <w:t xml:space="preserve"> that the applicable criteria for approval are not met and the IRB is not willing to re-review the application again. Designated reviewers are not authorized to disapprove applications. None of the proposed research activities may be initiated if an application has been disapproved by the IRB.</w:t>
      </w:r>
    </w:p>
    <w:p w14:paraId="27A0C8C6" w14:textId="77777777" w:rsidR="002634AB" w:rsidRPr="00666A7E" w:rsidRDefault="002634AB" w:rsidP="002634AB">
      <w:pPr>
        <w:pStyle w:val="NoSpacing"/>
        <w:widowControl w:val="0"/>
        <w:spacing w:after="120"/>
        <w:ind w:left="720"/>
      </w:pPr>
      <w:r w:rsidRPr="00666A7E">
        <w:t xml:space="preserve">An item is disapproved rather than deferred when the IRB believes that: 1) it is unlikely that the applicable criteria for approval will be met, even with substantial modifications and/or information; and/or 2) it is not possible to obtain (or the investigator is unwilling to provide) the substantial modifications or additional information that would be necessary to meet the criteria for approval. </w:t>
      </w:r>
    </w:p>
    <w:p w14:paraId="51E9741E" w14:textId="77777777" w:rsidR="002634AB" w:rsidRPr="00666A7E" w:rsidRDefault="002634AB" w:rsidP="002634AB">
      <w:pPr>
        <w:pStyle w:val="NoSpacing"/>
        <w:widowControl w:val="0"/>
        <w:spacing w:after="120"/>
        <w:ind w:left="720"/>
      </w:pPr>
      <w:r w:rsidRPr="00666A7E">
        <w:t xml:space="preserve">The IRB generally does not disapprove an item until there has been at least one attempt (i.e., deferral) to work with the investigator to find mutually acceptable changes that will allow the IRB to determine that the criteria for approval have been met. The IRB is strongly encouraged to continue to communicate any suggestions it has with the disapproval outcome. For example, the IRB may suggest that the investigator seek scientific review, redesign the project, and then submit a new application. </w:t>
      </w:r>
    </w:p>
    <w:p w14:paraId="3BACA25E" w14:textId="77777777" w:rsidR="002634AB" w:rsidRPr="005050B1" w:rsidRDefault="002634AB" w:rsidP="002634AB">
      <w:pPr>
        <w:pStyle w:val="NoSpacing"/>
        <w:widowControl w:val="0"/>
        <w:spacing w:after="120"/>
        <w:ind w:left="720"/>
      </w:pPr>
      <w:r>
        <w:t>The researcher is provided with a statement as to the reasons for the disapproval and given the opportunity to respond in writing.</w:t>
      </w:r>
    </w:p>
    <w:p w14:paraId="55749068" w14:textId="77777777" w:rsidR="002634AB" w:rsidRPr="00666A7E" w:rsidRDefault="002634AB" w:rsidP="002634AB">
      <w:pPr>
        <w:pStyle w:val="NoSpacing"/>
        <w:widowControl w:val="0"/>
        <w:spacing w:after="120"/>
        <w:ind w:left="720"/>
        <w:rPr>
          <w:b/>
          <w:bCs/>
        </w:rPr>
      </w:pPr>
      <w:r w:rsidRPr="00666A7E">
        <w:rPr>
          <w:b/>
          <w:bCs/>
        </w:rPr>
        <w:t xml:space="preserve">Circumstances when disapproval may be appropriate. </w:t>
      </w:r>
    </w:p>
    <w:p w14:paraId="73D4D74B" w14:textId="77777777" w:rsidR="002634AB" w:rsidRPr="00666A7E" w:rsidRDefault="002634AB" w:rsidP="002634AB">
      <w:pPr>
        <w:pStyle w:val="NoSpacing"/>
        <w:widowControl w:val="0"/>
        <w:numPr>
          <w:ilvl w:val="0"/>
          <w:numId w:val="11"/>
        </w:numPr>
        <w:spacing w:after="120"/>
      </w:pPr>
      <w:r w:rsidRPr="00666A7E">
        <w:t>The scientific rationale for the research is clearly inadequate when weighed against the research risks</w:t>
      </w:r>
    </w:p>
    <w:p w14:paraId="0B2E139E" w14:textId="77777777" w:rsidR="002634AB" w:rsidRDefault="002634AB" w:rsidP="002634AB">
      <w:pPr>
        <w:pStyle w:val="NoSpacing"/>
        <w:widowControl w:val="0"/>
        <w:numPr>
          <w:ilvl w:val="0"/>
          <w:numId w:val="11"/>
        </w:numPr>
        <w:spacing w:after="120"/>
      </w:pPr>
      <w:r w:rsidRPr="00666A7E">
        <w:t>The resources to conduct the activity are not available</w:t>
      </w:r>
    </w:p>
    <w:p w14:paraId="624F27C6" w14:textId="6AC4639B" w:rsidR="002634AB" w:rsidRDefault="002634AB" w:rsidP="002634AB">
      <w:pPr>
        <w:pStyle w:val="NoSpacing"/>
        <w:widowControl w:val="0"/>
        <w:numPr>
          <w:ilvl w:val="0"/>
          <w:numId w:val="11"/>
        </w:numPr>
        <w:spacing w:after="120"/>
      </w:pPr>
      <w:r w:rsidRPr="00666A7E">
        <w:t>The risks of the research outweigh the benefits, and the risks cannot be sufficiently reduced or mitigated</w:t>
      </w:r>
    </w:p>
    <w:p w14:paraId="50A76152" w14:textId="4179021F" w:rsidR="002634AB" w:rsidRDefault="00FF4011" w:rsidP="002634AB">
      <w:pPr>
        <w:pStyle w:val="NoSpacing"/>
        <w:widowControl w:val="0"/>
        <w:spacing w:after="120"/>
        <w:ind w:left="270" w:firstLine="90"/>
        <w:rPr>
          <w:b/>
          <w:bCs/>
          <w:sz w:val="24"/>
          <w:szCs w:val="24"/>
        </w:rPr>
      </w:pPr>
      <w:sdt>
        <w:sdtPr>
          <w:alias w:val="Met - A simple majority of the convened IRB determines that the applicable criteria for approval are not met and the IRB is not willing to re-review the application again. Designated reviewers are not authorized to disapprove applications. None of the proposed research activities may be initiated if an application has been disapproved by the IRB."/>
          <w:tag w:val="Met - A simple majority of the convened IRB determines that the applicable criteria for approval are not met and the IRB is not willing to re-review the application again. Designated reviewers are not authorized to disapprove applications. None of the proposed research activities may be initiated if an application has been disapproved by the IRB."/>
          <w:id w:val="526681380"/>
          <w14:checkbox>
            <w14:checked w14:val="0"/>
            <w14:checkedState w14:val="2612" w14:font="MS Gothic"/>
            <w14:uncheckedState w14:val="2610" w14:font="MS Gothic"/>
          </w14:checkbox>
        </w:sdtPr>
        <w:sdtEndPr/>
        <w:sdtContent>
          <w:r w:rsidR="002634AB">
            <w:rPr>
              <w:rFonts w:ascii="MS Gothic" w:eastAsia="MS Gothic" w:hAnsi="MS Gothic" w:hint="eastAsia"/>
            </w:rPr>
            <w:t>☐</w:t>
          </w:r>
        </w:sdtContent>
      </w:sdt>
      <w:r w:rsidR="002634AB">
        <w:t xml:space="preserve"> </w:t>
      </w:r>
      <w:r w:rsidR="002634AB" w:rsidRPr="002634AB">
        <w:rPr>
          <w:b/>
          <w:bCs/>
          <w:sz w:val="24"/>
          <w:szCs w:val="24"/>
        </w:rPr>
        <w:t>MET</w:t>
      </w:r>
    </w:p>
    <w:p w14:paraId="7B3EB5DF" w14:textId="77777777" w:rsidR="002634AB" w:rsidRDefault="002634AB" w:rsidP="002634AB">
      <w:pPr>
        <w:pStyle w:val="NoSpacing"/>
        <w:widowControl w:val="0"/>
        <w:spacing w:after="120"/>
        <w:ind w:left="270" w:firstLine="90"/>
        <w:rPr>
          <w:b/>
          <w:bCs/>
          <w:sz w:val="24"/>
          <w:szCs w:val="24"/>
        </w:rPr>
      </w:pPr>
    </w:p>
    <w:p w14:paraId="2B2BB808" w14:textId="12CC872A" w:rsidR="002634AB" w:rsidRPr="0022752A" w:rsidRDefault="002634AB" w:rsidP="002634AB">
      <w:pPr>
        <w:pStyle w:val="Heading3"/>
        <w:rPr>
          <w:b/>
          <w:bCs/>
        </w:rPr>
      </w:pPr>
      <w:r w:rsidRPr="0022752A">
        <w:rPr>
          <w:b/>
          <w:bCs/>
        </w:rPr>
        <w:t>SUSPENSION:</w:t>
      </w:r>
    </w:p>
    <w:p w14:paraId="05D64F61" w14:textId="77777777" w:rsidR="002634AB" w:rsidRDefault="002634AB" w:rsidP="002634AB">
      <w:pPr>
        <w:ind w:left="360"/>
        <w:rPr>
          <w:b/>
          <w:bCs/>
        </w:rPr>
      </w:pPr>
    </w:p>
    <w:p w14:paraId="3EA53BBA" w14:textId="06ABBF4B" w:rsidR="002634AB" w:rsidRDefault="002634AB" w:rsidP="002634AB">
      <w:pPr>
        <w:spacing w:after="120"/>
        <w:ind w:left="360"/>
        <w:rPr>
          <w:b/>
          <w:bCs/>
        </w:rPr>
      </w:pPr>
      <w:r>
        <w:rPr>
          <w:b/>
          <w:bCs/>
        </w:rPr>
        <w:t>A simple majority of t</w:t>
      </w:r>
      <w:r w:rsidRPr="00666A7E">
        <w:rPr>
          <w:b/>
          <w:bCs/>
        </w:rPr>
        <w:t>he convened IRB or the IRB Chair temporarily suspends approval for some or all parts of an approved research study if they determine: 1) that the research is not being conducted in accordance with the IRB’s requirements or IRB approved procedures; or 2) new information suggests the benefits of the research may be significantly less than previously expected or that the study has been associated with unexpected serious harm to subjects. The suspended activities must be immediately halted, except for those activities the IRB requires to continue for the safety or welfare of the subjects.</w:t>
      </w:r>
    </w:p>
    <w:p w14:paraId="41B80FF4" w14:textId="77777777" w:rsidR="002634AB" w:rsidRDefault="002634AB" w:rsidP="002634AB">
      <w:pPr>
        <w:widowControl w:val="0"/>
        <w:spacing w:after="120"/>
        <w:ind w:left="720"/>
      </w:pPr>
      <w:r w:rsidRPr="00666A7E">
        <w:rPr>
          <w:b/>
          <w:bCs/>
        </w:rPr>
        <w:t>Purpose</w:t>
      </w:r>
      <w:r>
        <w:t>. Suspension is one of the most serious options available to the IRB and HSD in these circumstances, and is generally used only when noncompliance is serious and/or a significant pattern or when increased risks to subjects are immediate and significant. It allows for investigation and gathering of additional information, as well as the development of a thoughtful action plan which may involve significant modifications to the study.</w:t>
      </w:r>
    </w:p>
    <w:p w14:paraId="5E369724" w14:textId="000C41DC" w:rsidR="002634AB" w:rsidRDefault="002634AB" w:rsidP="002634AB">
      <w:pPr>
        <w:spacing w:after="120"/>
        <w:ind w:left="720"/>
      </w:pPr>
      <w:r w:rsidRPr="00666A7E">
        <w:rPr>
          <w:b/>
          <w:bCs/>
        </w:rPr>
        <w:t>Identifying the need for suspension</w:t>
      </w:r>
      <w:r>
        <w:t>. The need for suspension may become apparent to the IRB through: (1) reviewing a continuing review, modification, or RNI application from the researcher; (2) new information obtained by HSD staff through interactions with the researcher, post-approval monitoring or other routes; (3) new information from other compliance offices or federal regulatory agencies (e.g., a FDA MedWatch warning); or (4) a temporary suspension imposed by HSD management, based on new information.</w:t>
      </w:r>
    </w:p>
    <w:p w14:paraId="514A1045" w14:textId="77777777" w:rsidR="002634AB" w:rsidRDefault="002634AB" w:rsidP="002634AB">
      <w:pPr>
        <w:widowControl w:val="0"/>
        <w:spacing w:after="120"/>
        <w:ind w:left="720"/>
      </w:pPr>
      <w:r w:rsidRPr="00666A7E">
        <w:rPr>
          <w:b/>
          <w:bCs/>
        </w:rPr>
        <w:t>Procedures</w:t>
      </w:r>
      <w:r>
        <w:t>. Regulations require the IRB to follow specific procedures after it decides to suspend research (</w:t>
      </w:r>
      <w:r w:rsidRPr="00666A7E">
        <w:rPr>
          <w:b/>
          <w:bCs/>
        </w:rPr>
        <w:t>SOP IRB Review</w:t>
      </w:r>
      <w:r>
        <w:t>).</w:t>
      </w:r>
    </w:p>
    <w:p w14:paraId="215F18CF" w14:textId="77777777" w:rsidR="002634AB" w:rsidRPr="00D24144" w:rsidRDefault="002634AB" w:rsidP="002634AB">
      <w:pPr>
        <w:widowControl w:val="0"/>
        <w:spacing w:after="120"/>
        <w:ind w:left="720"/>
      </w:pPr>
      <w:r w:rsidRPr="00666A7E">
        <w:rPr>
          <w:b/>
          <w:bCs/>
        </w:rPr>
        <w:t>Guidance</w:t>
      </w:r>
      <w:r>
        <w:t>.</w:t>
      </w:r>
    </w:p>
    <w:p w14:paraId="58478CB2" w14:textId="77777777" w:rsidR="002634AB" w:rsidRDefault="002634AB" w:rsidP="002634AB">
      <w:pPr>
        <w:pStyle w:val="ListParagraph"/>
        <w:widowControl w:val="0"/>
        <w:numPr>
          <w:ilvl w:val="0"/>
          <w:numId w:val="13"/>
        </w:numPr>
        <w:spacing w:after="120"/>
        <w:contextualSpacing w:val="0"/>
      </w:pPr>
      <w:r>
        <w:lastRenderedPageBreak/>
        <w:t>Federal regulations do not restrict the action of suspension to the convened IRB. However, it is HSD policy that only the convened IRB and IRB Chairs can take this IRB action. Other designated reviewers are not authorized to suspend research.</w:t>
      </w:r>
    </w:p>
    <w:p w14:paraId="4BED7E27" w14:textId="77777777" w:rsidR="002634AB" w:rsidRDefault="002634AB" w:rsidP="002634AB">
      <w:pPr>
        <w:pStyle w:val="ListParagraph"/>
        <w:widowControl w:val="0"/>
        <w:numPr>
          <w:ilvl w:val="0"/>
          <w:numId w:val="13"/>
        </w:numPr>
        <w:spacing w:after="120"/>
        <w:contextualSpacing w:val="0"/>
      </w:pPr>
      <w:r>
        <w:t>UW policy has delegated suspension authority to the HSD Director, who has in turn delegated the authority to the other HSD managers. This is intended to be a temporary immediate action when necessary to protect subjects, and should always be confirmed or rescinded by the IRB as soon as possible (</w:t>
      </w:r>
      <w:r w:rsidRPr="00666A7E">
        <w:rPr>
          <w:b/>
          <w:bCs/>
        </w:rPr>
        <w:t>SOP HSD Management of RNI).</w:t>
      </w:r>
    </w:p>
    <w:p w14:paraId="710D70D0" w14:textId="77777777" w:rsidR="002634AB" w:rsidRDefault="002634AB" w:rsidP="002634AB">
      <w:pPr>
        <w:pStyle w:val="ListParagraph"/>
        <w:widowControl w:val="0"/>
        <w:numPr>
          <w:ilvl w:val="0"/>
          <w:numId w:val="13"/>
        </w:numPr>
        <w:spacing w:after="120"/>
        <w:contextualSpacing w:val="0"/>
      </w:pPr>
      <w:r>
        <w:t>A suspension may be lifted only by the convened IRB, even if the suspended study is otherwise eligible for expedited review.</w:t>
      </w:r>
    </w:p>
    <w:p w14:paraId="2BADC2D1" w14:textId="77777777" w:rsidR="002634AB" w:rsidRDefault="002634AB" w:rsidP="002634AB">
      <w:pPr>
        <w:pStyle w:val="ListParagraph"/>
        <w:widowControl w:val="0"/>
        <w:numPr>
          <w:ilvl w:val="0"/>
          <w:numId w:val="13"/>
        </w:numPr>
        <w:spacing w:after="120"/>
        <w:contextualSpacing w:val="0"/>
      </w:pPr>
      <w:r>
        <w:t>It is not considered a suspension when:</w:t>
      </w:r>
    </w:p>
    <w:p w14:paraId="44178B17" w14:textId="77777777" w:rsidR="002634AB" w:rsidRDefault="002634AB" w:rsidP="002634AB">
      <w:pPr>
        <w:pStyle w:val="ListParagraph"/>
        <w:widowControl w:val="0"/>
        <w:numPr>
          <w:ilvl w:val="1"/>
          <w:numId w:val="13"/>
        </w:numPr>
        <w:spacing w:after="120"/>
        <w:contextualSpacing w:val="0"/>
      </w:pPr>
      <w:r>
        <w:t>IRB approval lapses due to a lack of continuing review.</w:t>
      </w:r>
    </w:p>
    <w:p w14:paraId="7C69ECBB" w14:textId="77777777" w:rsidR="002634AB" w:rsidRDefault="002634AB" w:rsidP="002634AB">
      <w:pPr>
        <w:pStyle w:val="ListParagraph"/>
        <w:widowControl w:val="0"/>
        <w:numPr>
          <w:ilvl w:val="1"/>
          <w:numId w:val="13"/>
        </w:numPr>
        <w:spacing w:after="120"/>
        <w:contextualSpacing w:val="0"/>
      </w:pPr>
      <w:r>
        <w:t>The IRB grants conditional approval to a status report that includes a condition that certain activities may not continue until a specific condition is met.</w:t>
      </w:r>
    </w:p>
    <w:p w14:paraId="554CD2C3" w14:textId="7F1FA781" w:rsidR="002634AB" w:rsidRDefault="002634AB" w:rsidP="002634AB">
      <w:pPr>
        <w:pStyle w:val="ListParagraph"/>
        <w:widowControl w:val="0"/>
        <w:numPr>
          <w:ilvl w:val="1"/>
          <w:numId w:val="13"/>
        </w:numPr>
        <w:spacing w:after="120"/>
        <w:contextualSpacing w:val="0"/>
      </w:pPr>
      <w:r>
        <w:t>A suspension is imposed by any entity other than the IRB or authorized HSD Manager (e.g., sponsor, DSMB, FDA, department chair).</w:t>
      </w:r>
    </w:p>
    <w:p w14:paraId="5CF711FA" w14:textId="0DEC7410" w:rsidR="002634AB" w:rsidRPr="002634AB" w:rsidRDefault="00FF4011" w:rsidP="002634AB">
      <w:pPr>
        <w:widowControl w:val="0"/>
        <w:spacing w:after="120"/>
        <w:ind w:left="270" w:firstLine="90"/>
        <w:rPr>
          <w:b/>
          <w:bCs/>
        </w:rPr>
      </w:pPr>
      <w:sdt>
        <w:sdtPr>
          <w:alias w:val="Met - A simple majority of the convened IRB or the IRB Chair temporarily suspends approval for some or all parts of an approved research study if they determine: 1) that the research is not being conducted in accordance with the IRB’s requirements or IRB approved procedures; or 2) new information suggests the benefits of the research may be significantly less than previously expected or that the study has been associated with unexpected serious harm to subjects. The suspended activities must be immediately halted, except for those activities the IRB requires to continue for the safety or welfare of the subjects."/>
          <w:tag w:val="Met - A simple majority of the convened IRB or the IRB Chair temporarily suspends approval for some or all parts of an approved research study if they determine: 1) that the research is not being conducted in accordance with the IRB’s requirements or IRB approved procedures; or 2) new information suggests the benefits of the research may be significantly less than previously expected or that the study has been associated with unexpected serious harm to subjects. The suspended activities must be immediately halted, except for those activities the IRB requires to continue for the safety or welfare of the subjects."/>
          <w:id w:val="-2041512536"/>
          <w14:checkbox>
            <w14:checked w14:val="0"/>
            <w14:checkedState w14:val="2612" w14:font="MS Gothic"/>
            <w14:uncheckedState w14:val="2610" w14:font="MS Gothic"/>
          </w14:checkbox>
        </w:sdtPr>
        <w:sdtEndPr/>
        <w:sdtContent>
          <w:r w:rsidR="002634AB">
            <w:rPr>
              <w:rFonts w:ascii="MS Gothic" w:eastAsia="MS Gothic" w:hAnsi="MS Gothic" w:hint="eastAsia"/>
            </w:rPr>
            <w:t>☐</w:t>
          </w:r>
        </w:sdtContent>
      </w:sdt>
      <w:r w:rsidR="002634AB">
        <w:t xml:space="preserve"> </w:t>
      </w:r>
      <w:r w:rsidR="002634AB" w:rsidRPr="002634AB">
        <w:rPr>
          <w:b/>
          <w:bCs/>
          <w:sz w:val="24"/>
          <w:szCs w:val="24"/>
        </w:rPr>
        <w:t>MET</w:t>
      </w:r>
    </w:p>
    <w:p w14:paraId="032EC7EE" w14:textId="77777777" w:rsidR="002634AB" w:rsidRDefault="002634AB" w:rsidP="002634AB">
      <w:pPr>
        <w:widowControl w:val="0"/>
        <w:spacing w:after="120"/>
      </w:pPr>
    </w:p>
    <w:p w14:paraId="4C332D43" w14:textId="070ACCC8" w:rsidR="002634AB" w:rsidRPr="0022752A" w:rsidRDefault="002634AB" w:rsidP="002634AB">
      <w:pPr>
        <w:pStyle w:val="Heading3"/>
        <w:rPr>
          <w:b/>
          <w:bCs/>
        </w:rPr>
      </w:pPr>
      <w:r w:rsidRPr="0022752A">
        <w:rPr>
          <w:b/>
          <w:bCs/>
        </w:rPr>
        <w:t>TERMINATION:</w:t>
      </w:r>
    </w:p>
    <w:p w14:paraId="03810E68" w14:textId="77777777" w:rsidR="002634AB" w:rsidRDefault="002634AB" w:rsidP="002634AB"/>
    <w:p w14:paraId="20C079F2" w14:textId="08C4BE50" w:rsidR="002634AB" w:rsidRDefault="002634AB" w:rsidP="00EF0169">
      <w:pPr>
        <w:spacing w:after="120"/>
        <w:ind w:left="360"/>
        <w:rPr>
          <w:b/>
          <w:bCs/>
        </w:rPr>
      </w:pPr>
      <w:r>
        <w:rPr>
          <w:b/>
          <w:bCs/>
        </w:rPr>
        <w:t>A simple majority of t</w:t>
      </w:r>
      <w:r w:rsidRPr="00C754A0">
        <w:rPr>
          <w:b/>
          <w:bCs/>
        </w:rPr>
        <w:t>he convened IRB permanently withdraws (i.e., terminates) IRB approval for some or all parts of an approved study. This may occur after when the IRB determines that the actions required to adequately address serious or continuing noncompliance, significant increases in risk, or significant decreases in benefits cannot or will not occur. Only the full convened IRB is authorized to terminate approval. Terminated activities must be immediately halted, except for those activities and actions that the IRB requires for the safety and welfare of the subjects.</w:t>
      </w:r>
    </w:p>
    <w:p w14:paraId="399922A1" w14:textId="77777777" w:rsidR="00EF0169" w:rsidRPr="00C754A0" w:rsidRDefault="00EF0169" w:rsidP="00EF0169">
      <w:pPr>
        <w:pStyle w:val="NoSpacing"/>
        <w:widowControl w:val="0"/>
        <w:spacing w:after="120"/>
        <w:ind w:left="720"/>
      </w:pPr>
      <w:r w:rsidRPr="00C754A0">
        <w:rPr>
          <w:b/>
          <w:bCs/>
        </w:rPr>
        <w:t>Purpose</w:t>
      </w:r>
      <w:r w:rsidRPr="00C754A0">
        <w:t>. Termination is the most serious option available to the IRB and is used only when there appears to be no viable options that would allow the research to meet the criteria for approval and the requirements of the IRB.</w:t>
      </w:r>
    </w:p>
    <w:p w14:paraId="198F90FA" w14:textId="77777777" w:rsidR="00EF0169" w:rsidRPr="00C754A0" w:rsidRDefault="00EF0169" w:rsidP="00EF0169">
      <w:pPr>
        <w:pStyle w:val="NoSpacing"/>
        <w:widowControl w:val="0"/>
        <w:spacing w:after="120"/>
        <w:ind w:left="720"/>
      </w:pPr>
      <w:r w:rsidRPr="00C754A0">
        <w:rPr>
          <w:b/>
          <w:bCs/>
        </w:rPr>
        <w:t>Identifying the need for termination</w:t>
      </w:r>
      <w:r w:rsidRPr="00C754A0">
        <w:t xml:space="preserve">. The need for termination typically becomes apparent in connection with suspension, when it has become clear that the conditions necessary to lift the suspension cannot, or will not, occur. However, on rare occasions, termination may occur without a preceding suspension if warranted by serious new risk information with no apparent possible mitigation or by information about the researcher. </w:t>
      </w:r>
    </w:p>
    <w:p w14:paraId="017A2380" w14:textId="2478E29F" w:rsidR="002634AB" w:rsidRPr="002634AB" w:rsidRDefault="00EF0169" w:rsidP="00EF0169">
      <w:pPr>
        <w:spacing w:after="120"/>
        <w:ind w:left="720"/>
      </w:pPr>
      <w:r w:rsidRPr="00C754A0">
        <w:rPr>
          <w:b/>
          <w:bCs/>
        </w:rPr>
        <w:t>Procedures</w:t>
      </w:r>
      <w:r w:rsidRPr="00C754A0">
        <w:t>. Regulations require the IRB to follow specific procedures after it decides to terminate approval (</w:t>
      </w:r>
      <w:r w:rsidRPr="00AC1393">
        <w:rPr>
          <w:b/>
          <w:bCs/>
        </w:rPr>
        <w:t>SOP IRB Review</w:t>
      </w:r>
      <w:r w:rsidRPr="00C754A0">
        <w:t>).</w:t>
      </w:r>
    </w:p>
    <w:p w14:paraId="12A17346" w14:textId="77777777" w:rsidR="00C754A0" w:rsidRDefault="00C754A0" w:rsidP="0083035A">
      <w:pPr>
        <w:widowControl w:val="0"/>
        <w:tabs>
          <w:tab w:val="left" w:pos="360"/>
        </w:tabs>
        <w:rPr>
          <w:b/>
          <w:bCs/>
        </w:rPr>
      </w:pPr>
    </w:p>
    <w:p w14:paraId="044C469C" w14:textId="77777777" w:rsidR="00C754A0" w:rsidRDefault="00C754A0" w:rsidP="0083035A">
      <w:pPr>
        <w:widowControl w:val="0"/>
        <w:tabs>
          <w:tab w:val="left" w:pos="360"/>
        </w:tabs>
        <w:rPr>
          <w:b/>
          <w:bCs/>
        </w:rPr>
      </w:pPr>
    </w:p>
    <w:p w14:paraId="029B77D1" w14:textId="56CFFDE6" w:rsidR="00C754A0" w:rsidRDefault="00C754A0" w:rsidP="00EF0169">
      <w:pPr>
        <w:pStyle w:val="Heading2"/>
      </w:pPr>
      <w:r>
        <w:t>RELATED MATERIALS</w:t>
      </w:r>
    </w:p>
    <w:p w14:paraId="58431A28" w14:textId="77777777" w:rsidR="00C754A0" w:rsidRDefault="00C754A0" w:rsidP="0083035A">
      <w:pPr>
        <w:widowControl w:val="0"/>
        <w:tabs>
          <w:tab w:val="left" w:pos="360"/>
        </w:tabs>
        <w:rPr>
          <w:b/>
          <w:bCs/>
        </w:rPr>
      </w:pPr>
    </w:p>
    <w:p w14:paraId="05E828B3" w14:textId="6D499C82" w:rsidR="00C754A0" w:rsidRDefault="00C754A0" w:rsidP="0083035A">
      <w:pPr>
        <w:widowControl w:val="0"/>
        <w:tabs>
          <w:tab w:val="left" w:pos="360"/>
        </w:tabs>
      </w:pPr>
      <w:hyperlink r:id="rId13" w:history="1">
        <w:r w:rsidRPr="00E01F0E">
          <w:rPr>
            <w:rStyle w:val="Hyperlink"/>
          </w:rPr>
          <w:t xml:space="preserve">SOP </w:t>
        </w:r>
        <w:r w:rsidR="00E01F0E" w:rsidRPr="00E01F0E">
          <w:rPr>
            <w:rStyle w:val="Hyperlink"/>
          </w:rPr>
          <w:t>Convened IRB Meetings</w:t>
        </w:r>
      </w:hyperlink>
    </w:p>
    <w:p w14:paraId="5EF5D5DB" w14:textId="15A4BEA5" w:rsidR="00C754A0" w:rsidRDefault="00C754A0" w:rsidP="0083035A">
      <w:pPr>
        <w:widowControl w:val="0"/>
        <w:tabs>
          <w:tab w:val="left" w:pos="360"/>
        </w:tabs>
      </w:pPr>
      <w:r w:rsidRPr="004D34FD">
        <w:t xml:space="preserve">SOP </w:t>
      </w:r>
      <w:r w:rsidR="00E01F0E" w:rsidRPr="004D34FD">
        <w:t>Convened IRB Meeting Administration</w:t>
      </w:r>
    </w:p>
    <w:p w14:paraId="181A1DB5" w14:textId="024C3871" w:rsidR="00C754A0" w:rsidRDefault="00C754A0" w:rsidP="0083035A">
      <w:pPr>
        <w:widowControl w:val="0"/>
        <w:tabs>
          <w:tab w:val="left" w:pos="360"/>
        </w:tabs>
      </w:pPr>
      <w:hyperlink r:id="rId14" w:history="1">
        <w:r w:rsidRPr="00814A33">
          <w:rPr>
            <w:rStyle w:val="Hyperlink"/>
          </w:rPr>
          <w:t>SOP IRB Review</w:t>
        </w:r>
      </w:hyperlink>
    </w:p>
    <w:p w14:paraId="3CF278DA" w14:textId="42E10822" w:rsidR="00C754A0" w:rsidRDefault="00C754A0" w:rsidP="0083035A">
      <w:pPr>
        <w:widowControl w:val="0"/>
        <w:tabs>
          <w:tab w:val="left" w:pos="360"/>
        </w:tabs>
      </w:pPr>
      <w:r>
        <w:t>SOP HSD Management of RNI</w:t>
      </w:r>
    </w:p>
    <w:p w14:paraId="3D1323B4" w14:textId="3603E5A8" w:rsidR="00C754A0" w:rsidRDefault="00C754A0" w:rsidP="0083035A">
      <w:pPr>
        <w:widowControl w:val="0"/>
        <w:tabs>
          <w:tab w:val="left" w:pos="360"/>
        </w:tabs>
      </w:pPr>
      <w:hyperlink r:id="rId15" w:history="1">
        <w:r w:rsidRPr="00814A33">
          <w:rPr>
            <w:rStyle w:val="Hyperlink"/>
          </w:rPr>
          <w:t>WORKSHEET Expedited Review</w:t>
        </w:r>
      </w:hyperlink>
    </w:p>
    <w:p w14:paraId="224D886F" w14:textId="0551D766" w:rsidR="00C754A0" w:rsidRDefault="00C754A0" w:rsidP="0083035A">
      <w:pPr>
        <w:widowControl w:val="0"/>
        <w:tabs>
          <w:tab w:val="left" w:pos="360"/>
        </w:tabs>
      </w:pPr>
      <w:hyperlink r:id="rId16" w:history="1">
        <w:r w:rsidRPr="00814A33">
          <w:rPr>
            <w:rStyle w:val="Hyperlink"/>
          </w:rPr>
          <w:t>WORKSHEET Options for IRB Actions</w:t>
        </w:r>
      </w:hyperlink>
    </w:p>
    <w:p w14:paraId="1377CE36" w14:textId="72EED6B0" w:rsidR="00C754A0" w:rsidRDefault="00C754A0" w:rsidP="0083035A">
      <w:pPr>
        <w:widowControl w:val="0"/>
        <w:tabs>
          <w:tab w:val="left" w:pos="360"/>
        </w:tabs>
      </w:pPr>
      <w:r>
        <w:lastRenderedPageBreak/>
        <w:t>WORKSHEET Primary Reviewer</w:t>
      </w:r>
      <w:r w:rsidR="007F107C">
        <w:t>, Initial</w:t>
      </w:r>
    </w:p>
    <w:p w14:paraId="4FAF07D0" w14:textId="59914E60" w:rsidR="007F107C" w:rsidRPr="00D305C6" w:rsidRDefault="007F107C" w:rsidP="0083035A">
      <w:pPr>
        <w:widowControl w:val="0"/>
        <w:tabs>
          <w:tab w:val="left" w:pos="360"/>
        </w:tabs>
      </w:pPr>
      <w:r>
        <w:t>WORKSHEET Primary Reviewer, CR and Mod</w:t>
      </w:r>
    </w:p>
    <w:p w14:paraId="762EB6D2" w14:textId="1B626C51" w:rsidR="00C754A0" w:rsidRDefault="00C754A0" w:rsidP="0083035A">
      <w:pPr>
        <w:widowControl w:val="0"/>
        <w:rPr>
          <w:b/>
          <w:bCs/>
        </w:rPr>
      </w:pPr>
    </w:p>
    <w:p w14:paraId="792881E2" w14:textId="2BD815D6" w:rsidR="00C754A0" w:rsidRDefault="00C754A0" w:rsidP="00EF0169">
      <w:pPr>
        <w:pStyle w:val="Heading2"/>
      </w:pPr>
      <w:r>
        <w:t>REGULATORY REFERENCES</w:t>
      </w:r>
    </w:p>
    <w:p w14:paraId="220BB503" w14:textId="77777777" w:rsidR="00C754A0" w:rsidRDefault="00C754A0" w:rsidP="0083035A">
      <w:pPr>
        <w:widowControl w:val="0"/>
        <w:tabs>
          <w:tab w:val="left" w:pos="360"/>
        </w:tabs>
      </w:pPr>
    </w:p>
    <w:p w14:paraId="362BFBF2" w14:textId="17E46242" w:rsidR="00C754A0" w:rsidRDefault="00C754A0" w:rsidP="0083035A">
      <w:pPr>
        <w:widowControl w:val="0"/>
        <w:tabs>
          <w:tab w:val="left" w:pos="360"/>
          <w:tab w:val="left" w:pos="900"/>
        </w:tabs>
      </w:pPr>
      <w:r>
        <w:t>45 CFR 46.103b4 [pre-2018 requirements] 45 CFR 46.108a3ii [2018 requirements]</w:t>
      </w:r>
    </w:p>
    <w:p w14:paraId="506D542C" w14:textId="2F9A465C" w:rsidR="00C754A0" w:rsidRPr="000B1C5E" w:rsidRDefault="00C754A0" w:rsidP="0083035A">
      <w:pPr>
        <w:widowControl w:val="0"/>
        <w:tabs>
          <w:tab w:val="left" w:pos="360"/>
          <w:tab w:val="left" w:pos="900"/>
        </w:tabs>
      </w:pPr>
      <w:r w:rsidRPr="000B1C5E">
        <w:t>45 CFR 46.109 [pre-2018 &amp; 2018 requirements]</w:t>
      </w:r>
    </w:p>
    <w:p w14:paraId="0D42ECFC" w14:textId="4C89FCBB" w:rsidR="00C754A0" w:rsidRDefault="00C754A0" w:rsidP="0083035A">
      <w:pPr>
        <w:widowControl w:val="0"/>
        <w:tabs>
          <w:tab w:val="left" w:pos="360"/>
          <w:tab w:val="left" w:pos="900"/>
        </w:tabs>
      </w:pPr>
      <w:r>
        <w:t>45 CFR 46.110b [pre-2018 requirements] 45 CFR 46.110b2 [2018 requirements]</w:t>
      </w:r>
    </w:p>
    <w:p w14:paraId="5B8A4095" w14:textId="64B16C72" w:rsidR="00C754A0" w:rsidRPr="000B1C5E" w:rsidRDefault="00C754A0" w:rsidP="0083035A">
      <w:pPr>
        <w:widowControl w:val="0"/>
        <w:tabs>
          <w:tab w:val="left" w:pos="360"/>
          <w:tab w:val="left" w:pos="900"/>
        </w:tabs>
      </w:pPr>
      <w:r w:rsidRPr="000B1C5E">
        <w:t>45 CFR 46.113 [pre-2018 &amp; 2018 requirements]</w:t>
      </w:r>
    </w:p>
    <w:p w14:paraId="61DC8771" w14:textId="059A3B71" w:rsidR="00C754A0" w:rsidRDefault="00C754A0" w:rsidP="0083035A">
      <w:pPr>
        <w:widowControl w:val="0"/>
        <w:tabs>
          <w:tab w:val="left" w:pos="360"/>
          <w:tab w:val="left" w:pos="900"/>
        </w:tabs>
      </w:pPr>
      <w:r>
        <w:t>21 CFR 56.108a2</w:t>
      </w:r>
    </w:p>
    <w:p w14:paraId="6444E8CB" w14:textId="08E7125B" w:rsidR="00C754A0" w:rsidRDefault="00C754A0" w:rsidP="0083035A">
      <w:pPr>
        <w:widowControl w:val="0"/>
        <w:tabs>
          <w:tab w:val="left" w:pos="360"/>
          <w:tab w:val="left" w:pos="900"/>
        </w:tabs>
      </w:pPr>
      <w:r w:rsidRPr="000B1C5E">
        <w:t>21 CFR 56.109</w:t>
      </w:r>
    </w:p>
    <w:p w14:paraId="42A39F6B" w14:textId="23B7D84B" w:rsidR="00C754A0" w:rsidRPr="000B1C5E" w:rsidRDefault="00C754A0" w:rsidP="0083035A">
      <w:pPr>
        <w:widowControl w:val="0"/>
        <w:tabs>
          <w:tab w:val="left" w:pos="360"/>
          <w:tab w:val="left" w:pos="900"/>
        </w:tabs>
      </w:pPr>
      <w:r>
        <w:t>21 CFR 56.110b</w:t>
      </w:r>
    </w:p>
    <w:p w14:paraId="1A27A663" w14:textId="5EF187AA" w:rsidR="00C754A0" w:rsidRPr="000B1C5E" w:rsidRDefault="00C754A0" w:rsidP="0083035A">
      <w:pPr>
        <w:widowControl w:val="0"/>
        <w:tabs>
          <w:tab w:val="left" w:pos="360"/>
          <w:tab w:val="left" w:pos="900"/>
        </w:tabs>
      </w:pPr>
      <w:r w:rsidRPr="000B1C5E">
        <w:t>21 CFR 56.113</w:t>
      </w:r>
    </w:p>
    <w:p w14:paraId="7E26E79F" w14:textId="72EE7D77" w:rsidR="00C754A0" w:rsidRDefault="00C754A0" w:rsidP="0083035A">
      <w:pPr>
        <w:widowControl w:val="0"/>
        <w:tabs>
          <w:tab w:val="left" w:pos="360"/>
          <w:tab w:val="left" w:pos="900"/>
        </w:tabs>
      </w:pPr>
      <w:r>
        <w:t>OHRP “Guidance on IRB Approval of Research with Conditions”, November 10, 2010</w:t>
      </w:r>
    </w:p>
    <w:p w14:paraId="3590BFCA" w14:textId="16A19498" w:rsidR="00C754A0" w:rsidRDefault="00C754A0" w:rsidP="0083035A">
      <w:pPr>
        <w:widowControl w:val="0"/>
        <w:tabs>
          <w:tab w:val="left" w:pos="360"/>
          <w:tab w:val="left" w:pos="810"/>
          <w:tab w:val="left" w:pos="1080"/>
        </w:tabs>
      </w:pPr>
      <w:r>
        <w:t>OHRP “Guidance on Continuing Review”, November 10, 2010</w:t>
      </w:r>
    </w:p>
    <w:p w14:paraId="1DC83DD1" w14:textId="23025F84" w:rsidR="00320536" w:rsidRDefault="00E01F0E" w:rsidP="0083035A">
      <w:pPr>
        <w:widowControl w:val="0"/>
        <w:tabs>
          <w:tab w:val="left" w:pos="360"/>
        </w:tabs>
      </w:pPr>
      <w:r>
        <w:t>FDA Guidance “IRB Continuing Review After Clinical Investigation Approval”, February 2012</w:t>
      </w:r>
    </w:p>
    <w:p w14:paraId="3A0DCF74" w14:textId="77777777" w:rsidR="00E01F0E" w:rsidRDefault="00E01F0E" w:rsidP="0083035A">
      <w:pPr>
        <w:widowControl w:val="0"/>
        <w:tabs>
          <w:tab w:val="left" w:pos="360"/>
        </w:tabs>
      </w:pPr>
    </w:p>
    <w:tbl>
      <w:tblPr>
        <w:tblStyle w:val="TableGrid"/>
        <w:tblW w:w="10800" w:type="dxa"/>
        <w:tblInd w:w="-5" w:type="dxa"/>
        <w:tblLook w:val="04A0" w:firstRow="1" w:lastRow="0" w:firstColumn="1" w:lastColumn="0" w:noHBand="0" w:noVBand="1"/>
        <w:tblCaption w:val="Version history table"/>
        <w:tblDescription w:val="contains version number, posted date, implementation date and revision summary"/>
      </w:tblPr>
      <w:tblGrid>
        <w:gridCol w:w="2622"/>
        <w:gridCol w:w="1367"/>
        <w:gridCol w:w="1696"/>
        <w:gridCol w:w="5115"/>
      </w:tblGrid>
      <w:tr w:rsidR="00C754A0" w14:paraId="672225E0" w14:textId="77777777" w:rsidTr="00320536">
        <w:trPr>
          <w:trHeight w:val="233"/>
        </w:trPr>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hideMark/>
          </w:tcPr>
          <w:p w14:paraId="4BCC2458" w14:textId="77777777" w:rsidR="00C754A0" w:rsidRDefault="00C754A0" w:rsidP="0083035A">
            <w:pPr>
              <w:pStyle w:val="NoSpacing"/>
              <w:widowControl w:val="0"/>
              <w:jc w:val="center"/>
              <w:rPr>
                <w:b/>
                <w:bCs/>
                <w:color w:val="FFFFFF" w:themeColor="background1"/>
              </w:rPr>
            </w:pPr>
            <w:r>
              <w:rPr>
                <w:b/>
                <w:bCs/>
                <w:color w:val="FFFFFF" w:themeColor="background1"/>
              </w:rPr>
              <w:t>Version Number</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hideMark/>
          </w:tcPr>
          <w:p w14:paraId="719B346F" w14:textId="77777777" w:rsidR="00C754A0" w:rsidRDefault="00C754A0" w:rsidP="0083035A">
            <w:pPr>
              <w:pStyle w:val="NoSpacing"/>
              <w:widowControl w:val="0"/>
              <w:jc w:val="center"/>
              <w:rPr>
                <w:b/>
                <w:bCs/>
                <w:color w:val="FFFFFF" w:themeColor="background1"/>
              </w:rPr>
            </w:pPr>
            <w:r>
              <w:rPr>
                <w:b/>
                <w:bCs/>
                <w:color w:val="FFFFFF" w:themeColor="background1"/>
              </w:rPr>
              <w:t>Posted Date</w:t>
            </w: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hideMark/>
          </w:tcPr>
          <w:p w14:paraId="6A3778D0" w14:textId="77777777" w:rsidR="00C754A0" w:rsidRDefault="00C754A0" w:rsidP="0083035A">
            <w:pPr>
              <w:pStyle w:val="NoSpacing"/>
              <w:widowControl w:val="0"/>
              <w:jc w:val="center"/>
              <w:rPr>
                <w:b/>
                <w:bCs/>
                <w:color w:val="FFFFFF" w:themeColor="background1"/>
              </w:rPr>
            </w:pPr>
            <w:r>
              <w:rPr>
                <w:b/>
                <w:bCs/>
                <w:color w:val="FFFFFF" w:themeColor="background1"/>
              </w:rPr>
              <w:t>Implementation Date</w:t>
            </w:r>
          </w:p>
        </w:tc>
        <w:tc>
          <w:tcPr>
            <w:tcW w:w="51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hideMark/>
          </w:tcPr>
          <w:p w14:paraId="6D22B261" w14:textId="77777777" w:rsidR="00C754A0" w:rsidRDefault="00C754A0" w:rsidP="0083035A">
            <w:pPr>
              <w:pStyle w:val="NoSpacing"/>
              <w:widowControl w:val="0"/>
              <w:jc w:val="center"/>
              <w:rPr>
                <w:b/>
                <w:bCs/>
                <w:color w:val="FFFFFF" w:themeColor="background1"/>
              </w:rPr>
            </w:pPr>
            <w:r>
              <w:rPr>
                <w:b/>
                <w:bCs/>
                <w:color w:val="FFFFFF" w:themeColor="background1"/>
              </w:rPr>
              <w:t>Summary of Changes</w:t>
            </w:r>
          </w:p>
        </w:tc>
      </w:tr>
      <w:tr w:rsidR="00EF0169" w14:paraId="387888E2" w14:textId="77777777" w:rsidTr="00320536">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DE8529" w14:textId="7017FCAC" w:rsidR="00EF0169" w:rsidRDefault="00EF0169" w:rsidP="0083035A">
            <w:pPr>
              <w:pStyle w:val="NoSpacing"/>
              <w:widowControl w:val="0"/>
              <w:jc w:val="center"/>
              <w:rPr>
                <w:rFonts w:ascii="Calibri" w:eastAsiaTheme="majorEastAsia" w:hAnsi="Calibri" w:cstheme="majorBidi"/>
                <w:szCs w:val="26"/>
              </w:rPr>
            </w:pPr>
            <w:r>
              <w:rPr>
                <w:rFonts w:ascii="Calibri" w:eastAsiaTheme="majorEastAsia" w:hAnsi="Calibri" w:cstheme="majorBidi"/>
                <w:szCs w:val="26"/>
              </w:rPr>
              <w:t>1.2</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A76337" w14:textId="10FE6A1C" w:rsidR="00EF0169" w:rsidRDefault="00BF4426" w:rsidP="0083035A">
            <w:pPr>
              <w:pStyle w:val="NoSpacing"/>
              <w:widowControl w:val="0"/>
              <w:jc w:val="center"/>
              <w:rPr>
                <w:rFonts w:ascii="Calibri" w:eastAsiaTheme="majorEastAsia" w:hAnsi="Calibri" w:cstheme="majorBidi"/>
              </w:rPr>
            </w:pPr>
            <w:r>
              <w:rPr>
                <w:rFonts w:ascii="Calibri" w:eastAsiaTheme="majorEastAsia" w:hAnsi="Calibri" w:cstheme="majorBidi"/>
              </w:rPr>
              <w:t>02/26</w:t>
            </w:r>
            <w:r w:rsidR="00EF0169">
              <w:rPr>
                <w:rFonts w:ascii="Calibri" w:eastAsiaTheme="majorEastAsia" w:hAnsi="Calibri" w:cstheme="majorBidi"/>
              </w:rPr>
              <w:t>/2026</w:t>
            </w: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1960F6B" w14:textId="0602DA3C" w:rsidR="00EF0169" w:rsidRDefault="00BF4426" w:rsidP="0083035A">
            <w:pPr>
              <w:pStyle w:val="NoSpacing"/>
              <w:widowControl w:val="0"/>
              <w:jc w:val="center"/>
              <w:rPr>
                <w:rFonts w:ascii="Calibri" w:eastAsiaTheme="majorEastAsia" w:hAnsi="Calibri" w:cstheme="majorBidi"/>
                <w:szCs w:val="26"/>
              </w:rPr>
            </w:pPr>
            <w:r>
              <w:rPr>
                <w:rFonts w:ascii="Calibri" w:eastAsiaTheme="majorEastAsia" w:hAnsi="Calibri" w:cstheme="majorBidi"/>
                <w:szCs w:val="26"/>
              </w:rPr>
              <w:t>02/26</w:t>
            </w:r>
            <w:r w:rsidR="00EF0169">
              <w:rPr>
                <w:rFonts w:ascii="Calibri" w:eastAsiaTheme="majorEastAsia" w:hAnsi="Calibri" w:cstheme="majorBidi"/>
                <w:szCs w:val="26"/>
              </w:rPr>
              <w:t>/2026</w:t>
            </w:r>
          </w:p>
        </w:tc>
        <w:tc>
          <w:tcPr>
            <w:tcW w:w="51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DA5EED" w14:textId="51523B6A" w:rsidR="00EF0169" w:rsidRDefault="00EF0169" w:rsidP="0083035A">
            <w:pPr>
              <w:pStyle w:val="NoSpacing"/>
              <w:widowControl w:val="0"/>
              <w:rPr>
                <w:rFonts w:ascii="Calibri" w:eastAsiaTheme="majorEastAsia" w:hAnsi="Calibri" w:cstheme="majorBidi"/>
                <w:szCs w:val="26"/>
              </w:rPr>
            </w:pPr>
            <w:r>
              <w:rPr>
                <w:rFonts w:ascii="Calibri" w:eastAsiaTheme="majorEastAsia" w:hAnsi="Calibri" w:cstheme="majorBidi"/>
                <w:szCs w:val="26"/>
              </w:rPr>
              <w:t>Updates for accessibility</w:t>
            </w:r>
          </w:p>
        </w:tc>
      </w:tr>
      <w:tr w:rsidR="00B31BBB" w14:paraId="61C5DD8D" w14:textId="77777777" w:rsidTr="00320536">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6B5D42" w14:textId="43B6B05A" w:rsidR="00B31BBB" w:rsidRDefault="00B31BBB" w:rsidP="0083035A">
            <w:pPr>
              <w:pStyle w:val="NoSpacing"/>
              <w:widowControl w:val="0"/>
              <w:jc w:val="center"/>
              <w:rPr>
                <w:rFonts w:ascii="Calibri" w:eastAsiaTheme="majorEastAsia" w:hAnsi="Calibri" w:cstheme="majorBidi"/>
                <w:szCs w:val="26"/>
              </w:rPr>
            </w:pPr>
            <w:r>
              <w:rPr>
                <w:rFonts w:ascii="Calibri" w:eastAsiaTheme="majorEastAsia" w:hAnsi="Calibri" w:cstheme="majorBidi"/>
                <w:szCs w:val="26"/>
              </w:rPr>
              <w:t>1.1</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E57DE6" w14:textId="1AAB8E44" w:rsidR="00B31BBB" w:rsidRPr="00A80F9E" w:rsidRDefault="00A80F9E" w:rsidP="0083035A">
            <w:pPr>
              <w:pStyle w:val="NoSpacing"/>
              <w:widowControl w:val="0"/>
              <w:jc w:val="center"/>
              <w:rPr>
                <w:rFonts w:ascii="Calibri" w:eastAsiaTheme="majorEastAsia" w:hAnsi="Calibri" w:cstheme="majorBidi"/>
              </w:rPr>
            </w:pPr>
            <w:r>
              <w:rPr>
                <w:rFonts w:ascii="Calibri" w:eastAsiaTheme="majorEastAsia" w:hAnsi="Calibri" w:cstheme="majorBidi"/>
              </w:rPr>
              <w:t>12/09</w:t>
            </w:r>
            <w:r w:rsidR="00B31BBB" w:rsidRPr="00A80F9E">
              <w:rPr>
                <w:rFonts w:ascii="Calibri" w:eastAsiaTheme="majorEastAsia" w:hAnsi="Calibri" w:cstheme="majorBidi"/>
              </w:rPr>
              <w:t>/2020</w:t>
            </w: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1BC0FD" w14:textId="24291A64" w:rsidR="00B31BBB" w:rsidRPr="00A80F9E" w:rsidRDefault="00A80F9E" w:rsidP="0083035A">
            <w:pPr>
              <w:pStyle w:val="NoSpacing"/>
              <w:widowControl w:val="0"/>
              <w:jc w:val="center"/>
              <w:rPr>
                <w:rFonts w:ascii="Calibri" w:eastAsiaTheme="majorEastAsia" w:hAnsi="Calibri" w:cstheme="majorBidi"/>
                <w:szCs w:val="26"/>
              </w:rPr>
            </w:pPr>
            <w:r>
              <w:rPr>
                <w:rFonts w:ascii="Calibri" w:eastAsiaTheme="majorEastAsia" w:hAnsi="Calibri" w:cstheme="majorBidi"/>
                <w:szCs w:val="26"/>
              </w:rPr>
              <w:t>12/09</w:t>
            </w:r>
            <w:r w:rsidR="00B31BBB" w:rsidRPr="00A80F9E">
              <w:rPr>
                <w:rFonts w:ascii="Calibri" w:eastAsiaTheme="majorEastAsia" w:hAnsi="Calibri" w:cstheme="majorBidi"/>
                <w:szCs w:val="26"/>
              </w:rPr>
              <w:t>/2020</w:t>
            </w:r>
          </w:p>
        </w:tc>
        <w:tc>
          <w:tcPr>
            <w:tcW w:w="51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C77AFB" w14:textId="26ADABD9" w:rsidR="00B31BBB" w:rsidRDefault="00B31BBB" w:rsidP="0083035A">
            <w:pPr>
              <w:pStyle w:val="NoSpacing"/>
              <w:widowControl w:val="0"/>
              <w:rPr>
                <w:rFonts w:ascii="Calibri" w:eastAsiaTheme="majorEastAsia" w:hAnsi="Calibri" w:cstheme="majorBidi"/>
                <w:szCs w:val="26"/>
              </w:rPr>
            </w:pPr>
            <w:r>
              <w:rPr>
                <w:rFonts w:ascii="Calibri" w:eastAsiaTheme="majorEastAsia" w:hAnsi="Calibri" w:cstheme="majorBidi"/>
                <w:szCs w:val="26"/>
              </w:rPr>
              <w:t>Minor word</w:t>
            </w:r>
            <w:r w:rsidR="00A80F9E">
              <w:rPr>
                <w:rFonts w:ascii="Calibri" w:eastAsiaTheme="majorEastAsia" w:hAnsi="Calibri" w:cstheme="majorBidi"/>
                <w:szCs w:val="26"/>
              </w:rPr>
              <w:t>i</w:t>
            </w:r>
            <w:r>
              <w:rPr>
                <w:rFonts w:ascii="Calibri" w:eastAsiaTheme="majorEastAsia" w:hAnsi="Calibri" w:cstheme="majorBidi"/>
                <w:szCs w:val="26"/>
              </w:rPr>
              <w:t>ng</w:t>
            </w:r>
            <w:r w:rsidR="00985025">
              <w:rPr>
                <w:rFonts w:ascii="Calibri" w:eastAsiaTheme="majorEastAsia" w:hAnsi="Calibri" w:cstheme="majorBidi"/>
                <w:szCs w:val="26"/>
              </w:rPr>
              <w:t xml:space="preserve"> </w:t>
            </w:r>
            <w:r w:rsidR="00202015">
              <w:rPr>
                <w:rFonts w:ascii="Calibri" w:eastAsiaTheme="majorEastAsia" w:hAnsi="Calibri" w:cstheme="majorBidi"/>
                <w:szCs w:val="26"/>
              </w:rPr>
              <w:t>revision</w:t>
            </w:r>
            <w:r w:rsidR="00E5450C">
              <w:rPr>
                <w:rFonts w:ascii="Calibri" w:eastAsiaTheme="majorEastAsia" w:hAnsi="Calibri" w:cstheme="majorBidi"/>
                <w:szCs w:val="26"/>
              </w:rPr>
              <w:t>s</w:t>
            </w:r>
          </w:p>
        </w:tc>
      </w:tr>
      <w:tr w:rsidR="00C754A0" w14:paraId="7A8EF149" w14:textId="77777777" w:rsidTr="00320536">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413FF48" w14:textId="34977E30" w:rsidR="00C754A0" w:rsidRDefault="00C754A0" w:rsidP="0083035A">
            <w:pPr>
              <w:pStyle w:val="NoSpacing"/>
              <w:widowControl w:val="0"/>
              <w:jc w:val="center"/>
              <w:rPr>
                <w:rFonts w:ascii="Calibri" w:eastAsiaTheme="majorEastAsia" w:hAnsi="Calibri" w:cstheme="majorBidi"/>
                <w:szCs w:val="26"/>
              </w:rPr>
            </w:pPr>
            <w:r>
              <w:rPr>
                <w:rFonts w:ascii="Calibri" w:eastAsiaTheme="majorEastAsia" w:hAnsi="Calibri" w:cstheme="majorBidi"/>
                <w:szCs w:val="26"/>
              </w:rPr>
              <w:t>1.0</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E353F21" w14:textId="77777777" w:rsidR="00C754A0" w:rsidRDefault="00C754A0" w:rsidP="0083035A">
            <w:pPr>
              <w:pStyle w:val="NoSpacing"/>
              <w:widowControl w:val="0"/>
              <w:jc w:val="center"/>
              <w:rPr>
                <w:rFonts w:ascii="Calibri" w:eastAsiaTheme="majorEastAsia" w:hAnsi="Calibri" w:cstheme="majorBidi"/>
              </w:rPr>
            </w:pPr>
            <w:r>
              <w:rPr>
                <w:rFonts w:ascii="Calibri" w:eastAsiaTheme="majorEastAsia" w:hAnsi="Calibri" w:cstheme="majorBidi"/>
              </w:rPr>
              <w:t>06/26/2020</w:t>
            </w: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BC3A3E3" w14:textId="77777777" w:rsidR="00C754A0" w:rsidRDefault="00C754A0" w:rsidP="0083035A">
            <w:pPr>
              <w:pStyle w:val="NoSpacing"/>
              <w:widowControl w:val="0"/>
              <w:jc w:val="center"/>
              <w:rPr>
                <w:rFonts w:ascii="Calibri" w:eastAsiaTheme="majorEastAsia" w:hAnsi="Calibri" w:cstheme="majorBidi"/>
                <w:szCs w:val="26"/>
              </w:rPr>
            </w:pPr>
            <w:r>
              <w:rPr>
                <w:rFonts w:ascii="Calibri" w:eastAsiaTheme="majorEastAsia" w:hAnsi="Calibri" w:cstheme="majorBidi"/>
                <w:szCs w:val="26"/>
              </w:rPr>
              <w:t>06/26/2020</w:t>
            </w:r>
          </w:p>
        </w:tc>
        <w:tc>
          <w:tcPr>
            <w:tcW w:w="51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B731F92" w14:textId="77777777" w:rsidR="00C754A0" w:rsidRDefault="00C754A0" w:rsidP="0083035A">
            <w:pPr>
              <w:pStyle w:val="NoSpacing"/>
              <w:widowControl w:val="0"/>
              <w:rPr>
                <w:rFonts w:ascii="Calibri" w:eastAsiaTheme="majorEastAsia" w:hAnsi="Calibri" w:cstheme="majorBidi"/>
                <w:szCs w:val="26"/>
              </w:rPr>
            </w:pPr>
            <w:r>
              <w:rPr>
                <w:rFonts w:ascii="Calibri" w:eastAsiaTheme="majorEastAsia" w:hAnsi="Calibri" w:cstheme="majorBidi"/>
                <w:szCs w:val="26"/>
              </w:rPr>
              <w:t xml:space="preserve">New document; content transferred from now retired, SOP IRB Actions </w:t>
            </w:r>
          </w:p>
        </w:tc>
      </w:tr>
    </w:tbl>
    <w:p w14:paraId="46DDF505" w14:textId="02596AE6" w:rsidR="008A3BB8" w:rsidRDefault="008A3BB8" w:rsidP="0083035A">
      <w:pPr>
        <w:widowControl w:val="0"/>
      </w:pPr>
    </w:p>
    <w:p w14:paraId="3B66B13A" w14:textId="3844022A" w:rsidR="00F27A6B" w:rsidRPr="00F27A6B" w:rsidRDefault="00F27A6B" w:rsidP="0083035A">
      <w:pPr>
        <w:widowControl w:val="0"/>
        <w:rPr>
          <w:sz w:val="18"/>
          <w:szCs w:val="18"/>
        </w:rPr>
      </w:pPr>
      <w:r>
        <w:rPr>
          <w:b/>
          <w:bCs/>
          <w:sz w:val="18"/>
          <w:szCs w:val="18"/>
        </w:rPr>
        <w:t xml:space="preserve">Key Words: </w:t>
      </w:r>
      <w:r w:rsidR="00327D1B">
        <w:rPr>
          <w:sz w:val="18"/>
          <w:szCs w:val="18"/>
        </w:rPr>
        <w:t>IRB review</w:t>
      </w:r>
    </w:p>
    <w:p w14:paraId="5CE5E234" w14:textId="7A23CCAA" w:rsidR="00642B41" w:rsidRPr="00642B41" w:rsidRDefault="00642B41" w:rsidP="00642B41"/>
    <w:p w14:paraId="4A6F858D" w14:textId="33634C5D" w:rsidR="00642B41" w:rsidRDefault="00642B41" w:rsidP="00642B41"/>
    <w:p w14:paraId="037552F9" w14:textId="46FCBD00" w:rsidR="00642B41" w:rsidRPr="00642B41" w:rsidRDefault="00642B41" w:rsidP="00642B41">
      <w:pPr>
        <w:tabs>
          <w:tab w:val="left" w:pos="8580"/>
        </w:tabs>
      </w:pPr>
      <w:r>
        <w:tab/>
      </w:r>
    </w:p>
    <w:sectPr w:rsidR="00642B41" w:rsidRPr="00642B41" w:rsidSect="00673A7A">
      <w:foot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7E81E" w14:textId="77777777" w:rsidR="00FF4011" w:rsidRDefault="00FF4011" w:rsidP="008212BD">
      <w:r>
        <w:separator/>
      </w:r>
    </w:p>
  </w:endnote>
  <w:endnote w:type="continuationSeparator" w:id="0">
    <w:p w14:paraId="7476F173" w14:textId="77777777" w:rsidR="00FF4011" w:rsidRDefault="00FF4011" w:rsidP="00821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F4C2B" w14:textId="7B7647DA" w:rsidR="00387ACF" w:rsidRDefault="00387ACF" w:rsidP="00387ACF">
    <w:pPr>
      <w:pStyle w:val="Footer"/>
      <w:tabs>
        <w:tab w:val="clear" w:pos="4680"/>
        <w:tab w:val="clear" w:pos="9360"/>
        <w:tab w:val="center" w:pos="5310"/>
        <w:tab w:val="right" w:pos="10800"/>
      </w:tabs>
    </w:pPr>
    <w:r w:rsidRPr="005031DB">
      <w:rPr>
        <w:rFonts w:cs="Calibri"/>
        <w:sz w:val="18"/>
        <w:szCs w:val="18"/>
      </w:rPr>
      <w:t xml:space="preserve">Date Posted </w:t>
    </w:r>
    <w:r w:rsidR="00BF4426">
      <w:rPr>
        <w:rFonts w:cs="Calibri"/>
        <w:sz w:val="18"/>
        <w:szCs w:val="18"/>
      </w:rPr>
      <w:t>02.26</w:t>
    </w:r>
    <w:r>
      <w:rPr>
        <w:rFonts w:cs="Calibri"/>
        <w:sz w:val="18"/>
        <w:szCs w:val="18"/>
      </w:rPr>
      <w:t>.2026</w:t>
    </w:r>
  </w:p>
  <w:p w14:paraId="0F59E2F8" w14:textId="3709722F" w:rsidR="00387ACF" w:rsidRDefault="00387ACF" w:rsidP="00387ACF">
    <w:pPr>
      <w:pStyle w:val="Footer"/>
      <w:tabs>
        <w:tab w:val="clear" w:pos="4680"/>
        <w:tab w:val="clear" w:pos="9360"/>
        <w:tab w:val="center" w:pos="5310"/>
        <w:tab w:val="right" w:pos="10800"/>
      </w:tabs>
      <w:rPr>
        <w:rFonts w:cs="Calibri"/>
        <w:sz w:val="18"/>
        <w:szCs w:val="18"/>
      </w:rPr>
    </w:pPr>
    <w:r>
      <w:rPr>
        <w:rFonts w:cs="Calibri"/>
        <w:sz w:val="18"/>
        <w:szCs w:val="18"/>
      </w:rPr>
      <w:t>WORKSHEET IRB Review Outcomes</w:t>
    </w:r>
  </w:p>
  <w:p w14:paraId="0664F34D" w14:textId="1D551E01" w:rsidR="00387ACF" w:rsidRDefault="00387ACF" w:rsidP="00387ACF">
    <w:pPr>
      <w:pStyle w:val="Footer"/>
      <w:tabs>
        <w:tab w:val="clear" w:pos="4680"/>
        <w:tab w:val="clear" w:pos="9360"/>
        <w:tab w:val="center" w:pos="5310"/>
        <w:tab w:val="right" w:pos="10800"/>
      </w:tabs>
      <w:rPr>
        <w:rFonts w:cs="Calibri"/>
        <w:sz w:val="18"/>
        <w:szCs w:val="18"/>
      </w:rPr>
    </w:pPr>
    <w:r w:rsidRPr="1331C5BB">
      <w:rPr>
        <w:rFonts w:cs="Calibri"/>
        <w:sz w:val="18"/>
        <w:szCs w:val="18"/>
      </w:rPr>
      <w:t xml:space="preserve">Version </w:t>
    </w:r>
    <w:r>
      <w:rPr>
        <w:rFonts w:cs="Calibri"/>
        <w:sz w:val="18"/>
        <w:szCs w:val="18"/>
      </w:rPr>
      <w:t>1.2</w:t>
    </w:r>
  </w:p>
  <w:p w14:paraId="4580C1FB" w14:textId="26E11911" w:rsidR="00E478B8" w:rsidRPr="00387ACF" w:rsidRDefault="00387ACF" w:rsidP="00387ACF">
    <w:pPr>
      <w:pStyle w:val="Footer"/>
      <w:tabs>
        <w:tab w:val="clear" w:pos="4680"/>
        <w:tab w:val="clear" w:pos="9360"/>
        <w:tab w:val="center" w:pos="5310"/>
        <w:tab w:val="right" w:pos="10800"/>
      </w:tabs>
      <w:rPr>
        <w:rFonts w:cs="Calibri"/>
        <w:bCs/>
        <w:sz w:val="18"/>
        <w:szCs w:val="18"/>
      </w:rPr>
    </w:pPr>
    <w:r w:rsidRPr="005031DB">
      <w:rPr>
        <w:rFonts w:cs="Calibri"/>
        <w:sz w:val="18"/>
        <w:szCs w:val="18"/>
      </w:rPr>
      <w:t xml:space="preserve">Page </w:t>
    </w:r>
    <w:r w:rsidRPr="005031DB">
      <w:rPr>
        <w:rFonts w:cs="Calibri"/>
        <w:bCs/>
        <w:sz w:val="18"/>
        <w:szCs w:val="18"/>
      </w:rPr>
      <w:fldChar w:fldCharType="begin"/>
    </w:r>
    <w:r w:rsidRPr="005031DB">
      <w:rPr>
        <w:rFonts w:cs="Calibri"/>
        <w:bCs/>
        <w:sz w:val="18"/>
        <w:szCs w:val="18"/>
      </w:rPr>
      <w:instrText xml:space="preserve"> PAGE  \* Arabic  \* MERGEFORMAT </w:instrText>
    </w:r>
    <w:r w:rsidRPr="005031DB">
      <w:rPr>
        <w:rFonts w:cs="Calibri"/>
        <w:bCs/>
        <w:sz w:val="18"/>
        <w:szCs w:val="18"/>
      </w:rPr>
      <w:fldChar w:fldCharType="separate"/>
    </w:r>
    <w:r>
      <w:rPr>
        <w:rFonts w:cs="Calibri"/>
        <w:bCs/>
        <w:sz w:val="18"/>
        <w:szCs w:val="18"/>
      </w:rPr>
      <w:t>1</w:t>
    </w:r>
    <w:r w:rsidRPr="005031DB">
      <w:rPr>
        <w:rFonts w:cs="Calibri"/>
        <w:bCs/>
        <w:sz w:val="18"/>
        <w:szCs w:val="18"/>
      </w:rPr>
      <w:fldChar w:fldCharType="end"/>
    </w:r>
    <w:r w:rsidRPr="005031DB">
      <w:rPr>
        <w:rFonts w:cs="Calibri"/>
        <w:sz w:val="18"/>
        <w:szCs w:val="18"/>
      </w:rPr>
      <w:t xml:space="preserve"> of </w:t>
    </w:r>
    <w:r w:rsidRPr="005031DB">
      <w:rPr>
        <w:rFonts w:cs="Calibri"/>
        <w:bCs/>
        <w:sz w:val="18"/>
        <w:szCs w:val="18"/>
      </w:rPr>
      <w:fldChar w:fldCharType="begin"/>
    </w:r>
    <w:r w:rsidRPr="005031DB">
      <w:rPr>
        <w:rFonts w:cs="Calibri"/>
        <w:bCs/>
        <w:sz w:val="18"/>
        <w:szCs w:val="18"/>
      </w:rPr>
      <w:instrText xml:space="preserve"> NUMPAGES  \* Arabic  \* MERGEFORMAT </w:instrText>
    </w:r>
    <w:r w:rsidRPr="005031DB">
      <w:rPr>
        <w:rFonts w:cs="Calibri"/>
        <w:bCs/>
        <w:sz w:val="18"/>
        <w:szCs w:val="18"/>
      </w:rPr>
      <w:fldChar w:fldCharType="separate"/>
    </w:r>
    <w:r>
      <w:rPr>
        <w:rFonts w:cs="Calibri"/>
        <w:bCs/>
        <w:sz w:val="18"/>
        <w:szCs w:val="18"/>
      </w:rPr>
      <w:t>2</w:t>
    </w:r>
    <w:r w:rsidRPr="005031DB">
      <w:rPr>
        <w:rFonts w:cs="Calibri"/>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3DD79" w14:textId="77777777" w:rsidR="00FF4011" w:rsidRDefault="00FF4011" w:rsidP="008212BD">
      <w:r>
        <w:separator/>
      </w:r>
    </w:p>
  </w:footnote>
  <w:footnote w:type="continuationSeparator" w:id="0">
    <w:p w14:paraId="3F8C9C53" w14:textId="77777777" w:rsidR="00FF4011" w:rsidRDefault="00FF4011" w:rsidP="008212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069D"/>
    <w:multiLevelType w:val="hybridMultilevel"/>
    <w:tmpl w:val="5B229D4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58453A"/>
    <w:multiLevelType w:val="hybridMultilevel"/>
    <w:tmpl w:val="FF40D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F6CF6"/>
    <w:multiLevelType w:val="hybridMultilevel"/>
    <w:tmpl w:val="C728F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C71C84"/>
    <w:multiLevelType w:val="hybridMultilevel"/>
    <w:tmpl w:val="618CCA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3EE78A4"/>
    <w:multiLevelType w:val="hybridMultilevel"/>
    <w:tmpl w:val="0E344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677B0B"/>
    <w:multiLevelType w:val="hybridMultilevel"/>
    <w:tmpl w:val="4844B536"/>
    <w:lvl w:ilvl="0" w:tplc="04090001">
      <w:start w:val="1"/>
      <w:numFmt w:val="bullet"/>
      <w:lvlText w:val=""/>
      <w:lvlJc w:val="left"/>
      <w:pPr>
        <w:ind w:left="1440" w:hanging="360"/>
      </w:pPr>
      <w:rPr>
        <w:rFonts w:ascii="Symbol" w:hAnsi="Symbol"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33B60BA"/>
    <w:multiLevelType w:val="hybridMultilevel"/>
    <w:tmpl w:val="0E344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123224"/>
    <w:multiLevelType w:val="hybridMultilevel"/>
    <w:tmpl w:val="ACF836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BF3337"/>
    <w:multiLevelType w:val="hybridMultilevel"/>
    <w:tmpl w:val="1B98DA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202A7C"/>
    <w:multiLevelType w:val="hybridMultilevel"/>
    <w:tmpl w:val="2F4867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C0A6BBB"/>
    <w:multiLevelType w:val="hybridMultilevel"/>
    <w:tmpl w:val="632C0E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F83109E"/>
    <w:multiLevelType w:val="hybridMultilevel"/>
    <w:tmpl w:val="569630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FE13E4D"/>
    <w:multiLevelType w:val="hybridMultilevel"/>
    <w:tmpl w:val="A546123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1792966">
    <w:abstractNumId w:val="6"/>
  </w:num>
  <w:num w:numId="2" w16cid:durableId="1362777925">
    <w:abstractNumId w:val="4"/>
  </w:num>
  <w:num w:numId="3" w16cid:durableId="1860777243">
    <w:abstractNumId w:val="8"/>
  </w:num>
  <w:num w:numId="4" w16cid:durableId="1877503558">
    <w:abstractNumId w:val="11"/>
  </w:num>
  <w:num w:numId="5" w16cid:durableId="531696251">
    <w:abstractNumId w:val="0"/>
  </w:num>
  <w:num w:numId="6" w16cid:durableId="657852122">
    <w:abstractNumId w:val="7"/>
  </w:num>
  <w:num w:numId="7" w16cid:durableId="1232617925">
    <w:abstractNumId w:val="1"/>
  </w:num>
  <w:num w:numId="8" w16cid:durableId="153037462">
    <w:abstractNumId w:val="3"/>
  </w:num>
  <w:num w:numId="9" w16cid:durableId="665717099">
    <w:abstractNumId w:val="2"/>
  </w:num>
  <w:num w:numId="10" w16cid:durableId="1446730088">
    <w:abstractNumId w:val="10"/>
  </w:num>
  <w:num w:numId="11" w16cid:durableId="1624726738">
    <w:abstractNumId w:val="9"/>
  </w:num>
  <w:num w:numId="12" w16cid:durableId="1763523192">
    <w:abstractNumId w:val="5"/>
  </w:num>
  <w:num w:numId="13" w16cid:durableId="1101319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A7A"/>
    <w:rsid w:val="0000567B"/>
    <w:rsid w:val="0000662D"/>
    <w:rsid w:val="000511FD"/>
    <w:rsid w:val="00072281"/>
    <w:rsid w:val="000B0C16"/>
    <w:rsid w:val="000B675C"/>
    <w:rsid w:val="000E3C70"/>
    <w:rsid w:val="00131392"/>
    <w:rsid w:val="001A253A"/>
    <w:rsid w:val="001B2FD6"/>
    <w:rsid w:val="001B415E"/>
    <w:rsid w:val="001C1DED"/>
    <w:rsid w:val="001E7380"/>
    <w:rsid w:val="00202015"/>
    <w:rsid w:val="0022752A"/>
    <w:rsid w:val="00254EEF"/>
    <w:rsid w:val="002634AB"/>
    <w:rsid w:val="002A4FC6"/>
    <w:rsid w:val="002B6922"/>
    <w:rsid w:val="002E26E6"/>
    <w:rsid w:val="00320536"/>
    <w:rsid w:val="00327D1B"/>
    <w:rsid w:val="00387ACF"/>
    <w:rsid w:val="003A628D"/>
    <w:rsid w:val="003C4D36"/>
    <w:rsid w:val="003E2577"/>
    <w:rsid w:val="003E3F96"/>
    <w:rsid w:val="00402968"/>
    <w:rsid w:val="0040301C"/>
    <w:rsid w:val="00411299"/>
    <w:rsid w:val="00444348"/>
    <w:rsid w:val="004513AB"/>
    <w:rsid w:val="004C0295"/>
    <w:rsid w:val="004D34FD"/>
    <w:rsid w:val="004D360F"/>
    <w:rsid w:val="004D629D"/>
    <w:rsid w:val="004F7585"/>
    <w:rsid w:val="005050B1"/>
    <w:rsid w:val="00561CEA"/>
    <w:rsid w:val="00562FFE"/>
    <w:rsid w:val="005809E9"/>
    <w:rsid w:val="005C5DDA"/>
    <w:rsid w:val="005C6DC9"/>
    <w:rsid w:val="00627DEF"/>
    <w:rsid w:val="00642B41"/>
    <w:rsid w:val="00645D51"/>
    <w:rsid w:val="00656A4C"/>
    <w:rsid w:val="00666A7E"/>
    <w:rsid w:val="006677F0"/>
    <w:rsid w:val="00673A7A"/>
    <w:rsid w:val="0068470C"/>
    <w:rsid w:val="006863FA"/>
    <w:rsid w:val="006B06A5"/>
    <w:rsid w:val="00710429"/>
    <w:rsid w:val="00735BFD"/>
    <w:rsid w:val="007A5C23"/>
    <w:rsid w:val="007C4328"/>
    <w:rsid w:val="007E100C"/>
    <w:rsid w:val="007E784E"/>
    <w:rsid w:val="007F107C"/>
    <w:rsid w:val="00820B6D"/>
    <w:rsid w:val="008212BD"/>
    <w:rsid w:val="0083035A"/>
    <w:rsid w:val="00871EB9"/>
    <w:rsid w:val="008822E0"/>
    <w:rsid w:val="00885832"/>
    <w:rsid w:val="008A0F42"/>
    <w:rsid w:val="008A3BB8"/>
    <w:rsid w:val="008C27E8"/>
    <w:rsid w:val="008D6EBD"/>
    <w:rsid w:val="008E7698"/>
    <w:rsid w:val="00961369"/>
    <w:rsid w:val="00976D3C"/>
    <w:rsid w:val="00977B9D"/>
    <w:rsid w:val="00985025"/>
    <w:rsid w:val="00987105"/>
    <w:rsid w:val="009A39CB"/>
    <w:rsid w:val="009A3D9B"/>
    <w:rsid w:val="009F1F46"/>
    <w:rsid w:val="00A01E6E"/>
    <w:rsid w:val="00A11EF2"/>
    <w:rsid w:val="00A80F9E"/>
    <w:rsid w:val="00A84C66"/>
    <w:rsid w:val="00A8576B"/>
    <w:rsid w:val="00AA312F"/>
    <w:rsid w:val="00AC1393"/>
    <w:rsid w:val="00AE3E7F"/>
    <w:rsid w:val="00AF17D2"/>
    <w:rsid w:val="00B0460E"/>
    <w:rsid w:val="00B31BBB"/>
    <w:rsid w:val="00B5405A"/>
    <w:rsid w:val="00B5515A"/>
    <w:rsid w:val="00B5572A"/>
    <w:rsid w:val="00B6227A"/>
    <w:rsid w:val="00B67ABC"/>
    <w:rsid w:val="00B67C92"/>
    <w:rsid w:val="00B76CE9"/>
    <w:rsid w:val="00B90455"/>
    <w:rsid w:val="00BD17E3"/>
    <w:rsid w:val="00BF4426"/>
    <w:rsid w:val="00BF4486"/>
    <w:rsid w:val="00C104BC"/>
    <w:rsid w:val="00C44AC6"/>
    <w:rsid w:val="00C751CB"/>
    <w:rsid w:val="00C754A0"/>
    <w:rsid w:val="00C76A99"/>
    <w:rsid w:val="00C909FF"/>
    <w:rsid w:val="00CB368C"/>
    <w:rsid w:val="00CF6C51"/>
    <w:rsid w:val="00D13697"/>
    <w:rsid w:val="00D7423E"/>
    <w:rsid w:val="00D870E2"/>
    <w:rsid w:val="00D94492"/>
    <w:rsid w:val="00DB63BA"/>
    <w:rsid w:val="00DF7A2E"/>
    <w:rsid w:val="00E01F0E"/>
    <w:rsid w:val="00E22C6A"/>
    <w:rsid w:val="00E478B8"/>
    <w:rsid w:val="00E5450C"/>
    <w:rsid w:val="00E55DA4"/>
    <w:rsid w:val="00E56C6D"/>
    <w:rsid w:val="00E75748"/>
    <w:rsid w:val="00EA53BE"/>
    <w:rsid w:val="00EB32CB"/>
    <w:rsid w:val="00EF0169"/>
    <w:rsid w:val="00EF314F"/>
    <w:rsid w:val="00F275CE"/>
    <w:rsid w:val="00F27A6B"/>
    <w:rsid w:val="00F51D7A"/>
    <w:rsid w:val="00F57845"/>
    <w:rsid w:val="00F9163A"/>
    <w:rsid w:val="00FD5F36"/>
    <w:rsid w:val="00FF28C9"/>
    <w:rsid w:val="00FF4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3929F"/>
  <w15:chartTrackingRefBased/>
  <w15:docId w15:val="{D589FBF8-56E8-4A44-B227-153EBFCCB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392"/>
    <w:pPr>
      <w:spacing w:after="0" w:line="240" w:lineRule="auto"/>
    </w:pPr>
    <w:rPr>
      <w:rFonts w:ascii="Calibri" w:eastAsia="Calibri" w:hAnsi="Calibri" w:cs="Times New Roman"/>
    </w:rPr>
  </w:style>
  <w:style w:type="paragraph" w:styleId="Heading2">
    <w:name w:val="heading 2"/>
    <w:basedOn w:val="Normal"/>
    <w:next w:val="Normal"/>
    <w:link w:val="Heading2Char"/>
    <w:uiPriority w:val="9"/>
    <w:unhideWhenUsed/>
    <w:qFormat/>
    <w:rsid w:val="00402968"/>
    <w:pPr>
      <w:widowControl w:val="0"/>
      <w:shd w:val="clear" w:color="auto" w:fill="33006F"/>
      <w:ind w:firstLine="180"/>
      <w:outlineLvl w:val="1"/>
    </w:pPr>
    <w:rPr>
      <w:b/>
      <w:bCs/>
      <w:sz w:val="24"/>
      <w:szCs w:val="24"/>
    </w:rPr>
  </w:style>
  <w:style w:type="paragraph" w:styleId="Heading3">
    <w:name w:val="heading 3"/>
    <w:basedOn w:val="Normal"/>
    <w:next w:val="Normal"/>
    <w:link w:val="Heading3Char"/>
    <w:uiPriority w:val="9"/>
    <w:unhideWhenUsed/>
    <w:qFormat/>
    <w:rsid w:val="003E2577"/>
    <w:pPr>
      <w:widowControl w:val="0"/>
      <w:ind w:left="180"/>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3A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3A7A"/>
    <w:rPr>
      <w:rFonts w:ascii="Segoe UI" w:hAnsi="Segoe UI" w:cs="Segoe UI"/>
      <w:sz w:val="18"/>
      <w:szCs w:val="18"/>
    </w:rPr>
  </w:style>
  <w:style w:type="table" w:styleId="TableGrid">
    <w:name w:val="Table Grid"/>
    <w:basedOn w:val="TableNormal"/>
    <w:uiPriority w:val="59"/>
    <w:rsid w:val="005C5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C5DDA"/>
    <w:pPr>
      <w:spacing w:after="0" w:line="240" w:lineRule="auto"/>
    </w:pPr>
  </w:style>
  <w:style w:type="paragraph" w:styleId="Header">
    <w:name w:val="header"/>
    <w:basedOn w:val="Normal"/>
    <w:link w:val="HeaderChar"/>
    <w:uiPriority w:val="99"/>
    <w:unhideWhenUsed/>
    <w:rsid w:val="002E26E6"/>
    <w:pPr>
      <w:tabs>
        <w:tab w:val="center" w:pos="4680"/>
        <w:tab w:val="right" w:pos="9360"/>
      </w:tabs>
    </w:pPr>
  </w:style>
  <w:style w:type="character" w:customStyle="1" w:styleId="HeaderChar">
    <w:name w:val="Header Char"/>
    <w:basedOn w:val="DefaultParagraphFont"/>
    <w:link w:val="Header"/>
    <w:uiPriority w:val="99"/>
    <w:rsid w:val="002E26E6"/>
    <w:rPr>
      <w:rFonts w:ascii="Calibri" w:eastAsia="Calibri" w:hAnsi="Calibri" w:cs="Times New Roman"/>
    </w:rPr>
  </w:style>
  <w:style w:type="paragraph" w:styleId="ListParagraph">
    <w:name w:val="List Paragraph"/>
    <w:basedOn w:val="Normal"/>
    <w:uiPriority w:val="34"/>
    <w:qFormat/>
    <w:rsid w:val="002E26E6"/>
    <w:pPr>
      <w:ind w:left="720"/>
      <w:contextualSpacing/>
    </w:pPr>
  </w:style>
  <w:style w:type="character" w:styleId="Hyperlink">
    <w:name w:val="Hyperlink"/>
    <w:basedOn w:val="DefaultParagraphFont"/>
    <w:uiPriority w:val="99"/>
    <w:unhideWhenUsed/>
    <w:rsid w:val="002E26E6"/>
    <w:rPr>
      <w:color w:val="0563C1" w:themeColor="hyperlink"/>
      <w:u w:val="single"/>
    </w:rPr>
  </w:style>
  <w:style w:type="paragraph" w:styleId="Footer">
    <w:name w:val="footer"/>
    <w:basedOn w:val="Normal"/>
    <w:link w:val="FooterChar"/>
    <w:uiPriority w:val="99"/>
    <w:unhideWhenUsed/>
    <w:qFormat/>
    <w:rsid w:val="008212BD"/>
    <w:pPr>
      <w:tabs>
        <w:tab w:val="center" w:pos="4680"/>
        <w:tab w:val="right" w:pos="9360"/>
      </w:tabs>
    </w:pPr>
  </w:style>
  <w:style w:type="character" w:customStyle="1" w:styleId="FooterChar">
    <w:name w:val="Footer Char"/>
    <w:basedOn w:val="DefaultParagraphFont"/>
    <w:link w:val="Footer"/>
    <w:uiPriority w:val="99"/>
    <w:rsid w:val="008212BD"/>
    <w:rPr>
      <w:rFonts w:ascii="Calibri" w:eastAsia="Calibri" w:hAnsi="Calibri" w:cs="Times New Roman"/>
    </w:rPr>
  </w:style>
  <w:style w:type="character" w:styleId="UnresolvedMention">
    <w:name w:val="Unresolved Mention"/>
    <w:basedOn w:val="DefaultParagraphFont"/>
    <w:uiPriority w:val="99"/>
    <w:semiHidden/>
    <w:unhideWhenUsed/>
    <w:rsid w:val="00C909FF"/>
    <w:rPr>
      <w:color w:val="605E5C"/>
      <w:shd w:val="clear" w:color="auto" w:fill="E1DFDD"/>
    </w:rPr>
  </w:style>
  <w:style w:type="character" w:styleId="FollowedHyperlink">
    <w:name w:val="FollowedHyperlink"/>
    <w:basedOn w:val="DefaultParagraphFont"/>
    <w:uiPriority w:val="99"/>
    <w:semiHidden/>
    <w:unhideWhenUsed/>
    <w:rsid w:val="008822E0"/>
    <w:rPr>
      <w:color w:val="954F72" w:themeColor="followedHyperlink"/>
      <w:u w:val="single"/>
    </w:rPr>
  </w:style>
  <w:style w:type="character" w:styleId="CommentReference">
    <w:name w:val="annotation reference"/>
    <w:basedOn w:val="DefaultParagraphFont"/>
    <w:uiPriority w:val="99"/>
    <w:semiHidden/>
    <w:unhideWhenUsed/>
    <w:rsid w:val="00444348"/>
    <w:rPr>
      <w:sz w:val="16"/>
      <w:szCs w:val="16"/>
    </w:rPr>
  </w:style>
  <w:style w:type="paragraph" w:styleId="CommentText">
    <w:name w:val="annotation text"/>
    <w:basedOn w:val="Normal"/>
    <w:link w:val="CommentTextChar"/>
    <w:uiPriority w:val="99"/>
    <w:semiHidden/>
    <w:unhideWhenUsed/>
    <w:rsid w:val="00444348"/>
    <w:rPr>
      <w:sz w:val="20"/>
      <w:szCs w:val="20"/>
    </w:rPr>
  </w:style>
  <w:style w:type="character" w:customStyle="1" w:styleId="CommentTextChar">
    <w:name w:val="Comment Text Char"/>
    <w:basedOn w:val="DefaultParagraphFont"/>
    <w:link w:val="CommentText"/>
    <w:uiPriority w:val="99"/>
    <w:semiHidden/>
    <w:rsid w:val="0044434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44348"/>
    <w:rPr>
      <w:b/>
      <w:bCs/>
    </w:rPr>
  </w:style>
  <w:style w:type="character" w:customStyle="1" w:styleId="CommentSubjectChar">
    <w:name w:val="Comment Subject Char"/>
    <w:basedOn w:val="CommentTextChar"/>
    <w:link w:val="CommentSubject"/>
    <w:uiPriority w:val="99"/>
    <w:semiHidden/>
    <w:rsid w:val="00444348"/>
    <w:rPr>
      <w:rFonts w:ascii="Calibri" w:eastAsia="Calibri" w:hAnsi="Calibri" w:cs="Times New Roman"/>
      <w:b/>
      <w:bCs/>
      <w:sz w:val="20"/>
      <w:szCs w:val="20"/>
    </w:rPr>
  </w:style>
  <w:style w:type="paragraph" w:styleId="Revision">
    <w:name w:val="Revision"/>
    <w:hidden/>
    <w:uiPriority w:val="99"/>
    <w:semiHidden/>
    <w:rsid w:val="007A5C23"/>
    <w:pPr>
      <w:spacing w:after="0" w:line="240" w:lineRule="auto"/>
    </w:pPr>
    <w:rPr>
      <w:rFonts w:ascii="Calibri" w:eastAsia="Calibri" w:hAnsi="Calibri" w:cs="Times New Roman"/>
    </w:rPr>
  </w:style>
  <w:style w:type="character" w:customStyle="1" w:styleId="Heading2Char">
    <w:name w:val="Heading 2 Char"/>
    <w:basedOn w:val="DefaultParagraphFont"/>
    <w:link w:val="Heading2"/>
    <w:uiPriority w:val="9"/>
    <w:rsid w:val="00402968"/>
    <w:rPr>
      <w:rFonts w:ascii="Calibri" w:eastAsia="Calibri" w:hAnsi="Calibri" w:cs="Times New Roman"/>
      <w:b/>
      <w:bCs/>
      <w:sz w:val="24"/>
      <w:szCs w:val="24"/>
      <w:shd w:val="clear" w:color="auto" w:fill="33006F"/>
    </w:rPr>
  </w:style>
  <w:style w:type="character" w:customStyle="1" w:styleId="Heading3Char">
    <w:name w:val="Heading 3 Char"/>
    <w:basedOn w:val="DefaultParagraphFont"/>
    <w:link w:val="Heading3"/>
    <w:uiPriority w:val="9"/>
    <w:rsid w:val="003E2577"/>
    <w:rPr>
      <w:rFonts w:ascii="Calibri" w:eastAsia="Calibri"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washington.edu/research/policies/sop-convened-irb-meeting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washington.edu/research/glossary/minor-chang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washington.edu/research/forms-and-templates/worksheet-options-for-irb-action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hs.gov/ohrp/regulations-and-policy/guidance/guidance-on-irb-approval-of-research-with-conditions-2010/index.html" TargetMode="External"/><Relationship Id="rId5" Type="http://schemas.openxmlformats.org/officeDocument/2006/relationships/styles" Target="styles.xml"/><Relationship Id="rId15" Type="http://schemas.openxmlformats.org/officeDocument/2006/relationships/hyperlink" Target="https://www.washington.edu/research/forms-and-templates/worksheet-expedited-review/"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washington.edu/research/policies/sop-irb-review-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e_x0020_Implemented xmlns="7c9d0ed2-8163-4b50-bae4-466292e5dd21">2021-12-28T08:00:00+00:00</Date_x0020_Implemented>
    <Change_x0020_Notes xmlns="7c9d0ed2-8163-4b50-bae4-466292e5dd21">Minor updates to comply with AAHRPP checklist</Change_x0020_Notes>
    <Posted_x0020_Date xmlns="7c9d0ed2-8163-4b50-bae4-466292e5dd21">2020-12-09T08:00:00+00:00</Posted_x0020_Date>
    <Taxonomy0 xmlns="7c9d0ed2-8163-4b50-bae4-466292e5dd21">
      <Value>Worksheet</Value>
    </Taxonomy0>
    <Version_x0020_Number xmlns="7c9d0ed2-8163-4b50-bae4-466292e5dd21">1.11</Version_x0020_Number>
    <Internal_x003f__x0020__x0028_HSD_x0020_F_x0020_Drive_x0029_ xmlns="7c9d0ed2-8163-4b50-bae4-466292e5dd21">false</Internal_x003f__x0020__x0028_HSD_x0020_F_x0020_Drive_x0029_>
    <Web_x0020_Page_x0020_URL xmlns="7c9d0ed2-8163-4b50-bae4-466292e5dd21">
      <Url>https://www.washington.edu/research/forms-and-templates/worksheet-irb-review-outcomes/</Url>
      <Description>https://www.washington.edu/research/forms-and-templates/worksheet-irb-review-outcomes/</Description>
    </Web_x0020_Page_x0020_URL>
    <Archive_x003f__x0028_checkifyes_x0029_ xmlns="7c9d0ed2-8163-4b50-bae4-466292e5dd21">true</Archive_x003f__x0028_checkifyes_x0029_>
    <SharePointOwner xmlns="7c9d0ed2-8163-4b50-bae4-466292e5dd21">
      <UserInfo>
        <DisplayName>Megan Tedell-Hlady</DisplayName>
        <AccountId>73</AccountId>
        <AccountType/>
      </UserInfo>
    </SharePointOwner>
    <ContentOwner xmlns="7c9d0ed2-8163-4b50-bae4-466292e5dd21">
      <UserInfo>
        <DisplayName>Megan Tedell-Hlady</DisplayName>
        <AccountId>73</AccountId>
        <AccountType/>
      </UserInfo>
    </Content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76F1B460A357498EF72598D9D0FE2A" ma:contentTypeVersion="31" ma:contentTypeDescription="Create a new document." ma:contentTypeScope="" ma:versionID="b6874dbec72a04aa352c94760a83fef2">
  <xsd:schema xmlns:xsd="http://www.w3.org/2001/XMLSchema" xmlns:xs="http://www.w3.org/2001/XMLSchema" xmlns:p="http://schemas.microsoft.com/office/2006/metadata/properties" xmlns:ns2="7c9d0ed2-8163-4b50-bae4-466292e5dd21" xmlns:ns3="89e88497-f78b-4448-9b45-c2fc7002cecb" targetNamespace="http://schemas.microsoft.com/office/2006/metadata/properties" ma:root="true" ma:fieldsID="62f82029db74a8fb2880af60b8721c72" ns2:_="" ns3:_="">
    <xsd:import namespace="7c9d0ed2-8163-4b50-bae4-466292e5dd21"/>
    <xsd:import namespace="89e88497-f78b-4448-9b45-c2fc7002cecb"/>
    <xsd:element name="properties">
      <xsd:complexType>
        <xsd:sequence>
          <xsd:element name="documentManagement">
            <xsd:complexType>
              <xsd:all>
                <xsd:element ref="ns2:Version_x0020_Number" minOccurs="0"/>
                <xsd:element ref="ns2:Taxonomy0" minOccurs="0"/>
                <xsd:element ref="ns2:Posted_x0020_Date" minOccurs="0"/>
                <xsd:element ref="ns2:Date_x0020_Implemented" minOccurs="0"/>
                <xsd:element ref="ns2:Change_x0020_Notes" minOccurs="0"/>
                <xsd:element ref="ns2:Internal_x003f__x0020__x0028_HSD_x0020_F_x0020_Drive_x0029_" minOccurs="0"/>
                <xsd:element ref="ns2:Web_x0020_Page_x0020_URL" minOccurs="0"/>
                <xsd:element ref="ns2:MediaServiceAutoKeyPoints" minOccurs="0"/>
                <xsd:element ref="ns2:MediaServiceKeyPoints" minOccurs="0"/>
                <xsd:element ref="ns2:MediaServiceMetadata" minOccurs="0"/>
                <xsd:element ref="ns2:MediaServiceGenerationTime" minOccurs="0"/>
                <xsd:element ref="ns2:MediaServiceFastMetadata" minOccurs="0"/>
                <xsd:element ref="ns2:MediaServiceEventHashCode" minOccurs="0"/>
                <xsd:element ref="ns2:MediaServiceSearchProperties" minOccurs="0"/>
                <xsd:element ref="ns3:SharedWithUsers" minOccurs="0"/>
                <xsd:element ref="ns3:SharedWithDetails" minOccurs="0"/>
                <xsd:element ref="ns2:MediaServiceObjectDetectorVersions" minOccurs="0"/>
                <xsd:element ref="ns2:Archive_x003f__x0028_checkifyes_x0029_" minOccurs="0"/>
                <xsd:element ref="ns2:ContentOwner" minOccurs="0"/>
                <xsd:element ref="ns2:SharePoint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d0ed2-8163-4b50-bae4-466292e5dd21" elementFormDefault="qualified">
    <xsd:import namespace="http://schemas.microsoft.com/office/2006/documentManagement/types"/>
    <xsd:import namespace="http://schemas.microsoft.com/office/infopath/2007/PartnerControls"/>
    <xsd:element name="Version_x0020_Number" ma:index="2" nillable="true" ma:displayName="Version Number" ma:decimals="2" ma:description="The current version that is implemented. Do not use the automatically generated SharePoint version number" ma:internalName="Version_x0020_Number" ma:percentage="FALSE">
      <xsd:simpleType>
        <xsd:restriction base="dms:Number"/>
      </xsd:simpleType>
    </xsd:element>
    <xsd:element name="Taxonomy0" ma:index="3" nillable="true" ma:displayName="Taxonomy" ma:format="Dropdown" ma:internalName="Taxonomy0">
      <xsd:complexType>
        <xsd:complexContent>
          <xsd:extension base="dms:MultiChoice">
            <xsd:sequence>
              <xsd:element name="Value" maxOccurs="unbounded" minOccurs="0" nillable="true">
                <xsd:simpleType>
                  <xsd:restriction base="dms:Choice">
                    <xsd:enumeration value="Checklist"/>
                    <xsd:enumeration value="Definition/Glossary Term"/>
                    <xsd:enumeration value="Examples"/>
                    <xsd:enumeration value="Form"/>
                    <xsd:enumeration value="Guidance"/>
                    <xsd:enumeration value="HSD Office"/>
                    <xsd:enumeration value="Information Sheet"/>
                    <xsd:enumeration value="Instruction"/>
                    <xsd:enumeration value="Miscellaneous"/>
                    <xsd:enumeration value="Notification"/>
                    <xsd:enumeration value="Policy"/>
                    <xsd:enumeration value="Report"/>
                    <xsd:enumeration value="SOP (Standard Operating Procedure)"/>
                    <xsd:enumeration value="Supplement"/>
                    <xsd:enumeration value="Template"/>
                    <xsd:enumeration value="Tipsheet"/>
                    <xsd:enumeration value="Training (Campus)"/>
                    <xsd:enumeration value="Training (HSD)"/>
                    <xsd:enumeration value="Training (IRB)"/>
                    <xsd:enumeration value="Webpage"/>
                    <xsd:enumeration value="Worksheet"/>
                  </xsd:restriction>
                </xsd:simpleType>
              </xsd:element>
            </xsd:sequence>
          </xsd:extension>
        </xsd:complexContent>
      </xsd:complexType>
    </xsd:element>
    <xsd:element name="Posted_x0020_Date" ma:index="4" nillable="true" ma:displayName="Posted Date" ma:format="DateOnly" ma:internalName="Posted_x0020_Date" ma:readOnly="false">
      <xsd:simpleType>
        <xsd:restriction base="dms:DateTime"/>
      </xsd:simpleType>
    </xsd:element>
    <xsd:element name="Date_x0020_Implemented" ma:index="5" nillable="true" ma:displayName="Date Implemented (if different from post date)" ma:format="DateOnly" ma:internalName="Date_x0020_Implemented">
      <xsd:simpleType>
        <xsd:restriction base="dms:DateTime"/>
      </xsd:simpleType>
    </xsd:element>
    <xsd:element name="Change_x0020_Notes" ma:index="6" nillable="true" ma:displayName="Change Notes" ma:internalName="Change_x0020_Notes" ma:readOnly="false">
      <xsd:simpleType>
        <xsd:restriction base="dms:Note"/>
      </xsd:simpleType>
    </xsd:element>
    <xsd:element name="Internal_x003f__x0020__x0028_HSD_x0020_F_x0020_Drive_x0029_" ma:index="7" nillable="true" ma:displayName="Internal? (ie Not Posted to Web)" ma:default="0" ma:description="Check this box if the document/item is for HSD internal use only" ma:internalName="Internal_x003f__x0020__x0028_HSD_x0020_F_x0020_Drive_x0029_" ma:readOnly="false">
      <xsd:simpleType>
        <xsd:restriction base="dms:Boolean"/>
      </xsd:simpleType>
    </xsd:element>
    <xsd:element name="Web_x0020_Page_x0020_URL" ma:index="8" nillable="true" ma:displayName="Web Page URL" ma:format="Hyperlink" ma:internalName="Web_x0020_Pag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Metadata" ma:index="18" nillable="true" ma:displayName="MediaServiceMetadata" ma:hidden="true" ma:internalName="MediaServiceMetadata"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Archive_x003f__x0028_checkifyes_x0029_" ma:index="26" nillable="true" ma:displayName="Archive? (check if 'yes')" ma:default="1" ma:description="A selection of 'yes' means that previous versions of the content must be moved to the Archive Document Library." ma:format="Dropdown" ma:internalName="Archive_x003f__x0028_checkifyes_x0029_">
      <xsd:simpleType>
        <xsd:restriction base="dms:Boolean"/>
      </xsd:simpleType>
    </xsd:element>
    <xsd:element name="ContentOwner" ma:index="27" nillable="true" ma:displayName="Content Owner" ma:description="The person primarily responsible for writing/editing the content. This person is generally consulted before changes are made." ma:format="Dropdown" ma:list="UserInfo" ma:SharePointGroup="0" ma:internalName="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PointOwner" ma:index="28" nillable="true" ma:displayName="SharePoint Owner" ma:description="Person responsible for updating the content in SharePoint and, if applicable, on the website." ma:format="Dropdown" ma:list="UserInfo" ma:SharePointGroup="0" ma:internalName="SharePoi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e88497-f78b-4448-9b45-c2fc7002cecb"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D0B93B-9482-47EB-AB49-CEA94A64BFAC}">
  <ds:schemaRefs>
    <ds:schemaRef ds:uri="http://schemas.microsoft.com/office/2006/metadata/properties"/>
    <ds:schemaRef ds:uri="http://schemas.microsoft.com/office/infopath/2007/PartnerControls"/>
    <ds:schemaRef ds:uri="7c9d0ed2-8163-4b50-bae4-466292e5dd21"/>
  </ds:schemaRefs>
</ds:datastoreItem>
</file>

<file path=customXml/itemProps2.xml><?xml version="1.0" encoding="utf-8"?>
<ds:datastoreItem xmlns:ds="http://schemas.openxmlformats.org/officeDocument/2006/customXml" ds:itemID="{A29A3873-2BBD-4981-A98D-A3F8AD9538F5}">
  <ds:schemaRefs>
    <ds:schemaRef ds:uri="http://schemas.microsoft.com/sharepoint/v3/contenttype/forms"/>
  </ds:schemaRefs>
</ds:datastoreItem>
</file>

<file path=customXml/itemProps3.xml><?xml version="1.0" encoding="utf-8"?>
<ds:datastoreItem xmlns:ds="http://schemas.openxmlformats.org/officeDocument/2006/customXml" ds:itemID="{3CC0581A-D224-4939-8EBF-65B4F9D967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d0ed2-8163-4b50-bae4-466292e5dd21"/>
    <ds:schemaRef ds:uri="89e88497-f78b-4448-9b45-c2fc7002c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2773</Words>
  <Characters>15340</Characters>
  <Application>Microsoft Office Word</Application>
  <DocSecurity>0</DocSecurity>
  <Lines>273</Lines>
  <Paragraphs>124</Paragraphs>
  <ScaleCrop>false</ScaleCrop>
  <HeadingPairs>
    <vt:vector size="2" baseType="variant">
      <vt:variant>
        <vt:lpstr>Title</vt:lpstr>
      </vt:variant>
      <vt:variant>
        <vt:i4>1</vt:i4>
      </vt:variant>
    </vt:vector>
  </HeadingPairs>
  <TitlesOfParts>
    <vt:vector size="1" baseType="lpstr">
      <vt:lpstr>WORKSHEET_IRB_Review_Outcomes_v1.11_2021.12.28</vt:lpstr>
    </vt:vector>
  </TitlesOfParts>
  <Company/>
  <LinksUpToDate>false</LinksUpToDate>
  <CharactersWithSpaces>17989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WORKSHEET_IRB_Review_Outcomes_v1.11_2021.12.28</dc:title>
  <dc:subject/>
  <dc:creator>Sherry Edwards</dc:creator>
  <cp:keywords>;#IRB review;#</cp:keywords>
  <dc:description/>
  <cp:lastModifiedBy>Jenny Maki</cp:lastModifiedBy>
  <cp:revision>2</cp:revision>
  <dcterms:created xsi:type="dcterms:W3CDTF">2026-02-17T20:25:00Z</dcterms:created>
  <dcterms:modified xsi:type="dcterms:W3CDTF">2026-02-17T20:25:00Z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0x010100E676F1B460A357498EF72598D9D0FE2A</vt:lpwstr>
  </property>
</Properties>
</file>