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3D7C66D" w:rsidR="00BA68ED" w:rsidRPr="00ED134C" w:rsidRDefault="00A86E36" w:rsidP="004B1320">
            <w:r>
              <w:t xml:space="preserve"> </w:t>
            </w:r>
            <w:r w:rsidR="00BA68ED"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19D6CF98" w14:textId="77777777" w:rsidR="00BA68ED" w:rsidRDefault="00EF57B9" w:rsidP="006C6C13">
            <w:pPr>
              <w:jc w:val="right"/>
              <w:rPr>
                <w:b/>
                <w:color w:val="404040" w:themeColor="text1" w:themeTint="BF"/>
                <w:sz w:val="28"/>
                <w:szCs w:val="28"/>
              </w:rPr>
            </w:pPr>
            <w:r>
              <w:rPr>
                <w:b/>
                <w:color w:val="404040" w:themeColor="text1" w:themeTint="BF"/>
                <w:sz w:val="28"/>
                <w:szCs w:val="28"/>
              </w:rPr>
              <w:t xml:space="preserve">WORKSHEET </w:t>
            </w:r>
            <w:r w:rsidR="00770E45">
              <w:rPr>
                <w:b/>
                <w:color w:val="404040" w:themeColor="text1" w:themeTint="BF"/>
                <w:sz w:val="28"/>
                <w:szCs w:val="28"/>
              </w:rPr>
              <w:t>Human Subjects</w:t>
            </w:r>
          </w:p>
          <w:p w14:paraId="21000C15" w14:textId="5C7C4315" w:rsidR="00770E45" w:rsidRPr="00EF57B9" w:rsidRDefault="00770E45" w:rsidP="006C6C13">
            <w:pPr>
              <w:jc w:val="right"/>
              <w:rPr>
                <w:b/>
                <w:color w:val="404040" w:themeColor="text1" w:themeTint="BF"/>
                <w:sz w:val="28"/>
                <w:szCs w:val="28"/>
              </w:rPr>
            </w:pPr>
            <w:r>
              <w:rPr>
                <w:b/>
                <w:color w:val="404040" w:themeColor="text1" w:themeTint="BF"/>
                <w:sz w:val="28"/>
                <w:szCs w:val="28"/>
              </w:rPr>
              <w:t>Research Determination</w:t>
            </w:r>
          </w:p>
        </w:tc>
      </w:tr>
    </w:tbl>
    <w:p w14:paraId="3488A975" w14:textId="77777777" w:rsidR="00BA68ED" w:rsidRDefault="00BA68ED" w:rsidP="007E1BEF">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pPr>
              <w:rPr>
                <w:color w:val="6600CC"/>
              </w:rPr>
            </w:pPr>
          </w:p>
        </w:tc>
        <w:tc>
          <w:tcPr>
            <w:tcW w:w="5066" w:type="dxa"/>
            <w:shd w:val="clear" w:color="auto" w:fill="5200A4"/>
          </w:tcPr>
          <w:p w14:paraId="0DD46492" w14:textId="77777777" w:rsidR="00C72040" w:rsidRPr="00215B3F" w:rsidRDefault="00C72040">
            <w:pPr>
              <w:rPr>
                <w:color w:val="6600CC"/>
              </w:rPr>
            </w:pPr>
          </w:p>
        </w:tc>
      </w:tr>
    </w:tbl>
    <w:p w14:paraId="0D158DF7" w14:textId="77777777" w:rsidR="00215B3F" w:rsidRDefault="00215B3F"/>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F151C35" w:rsidR="00215B3F" w:rsidRPr="00215B3F" w:rsidRDefault="00215B3F" w:rsidP="006C7EA6">
            <w:pPr>
              <w:spacing w:before="40" w:after="40"/>
              <w:ind w:left="-27" w:firstLine="3"/>
              <w:rPr>
                <w:b/>
                <w:bCs/>
              </w:rPr>
            </w:pPr>
            <w:r>
              <w:rPr>
                <w:b/>
                <w:bCs/>
              </w:rPr>
              <w:t>PURPOSE AND APPLICABILITY</w:t>
            </w:r>
          </w:p>
        </w:tc>
      </w:tr>
    </w:tbl>
    <w:p w14:paraId="529E0C30" w14:textId="77777777" w:rsidR="00215B3F" w:rsidRDefault="00215B3F"/>
    <w:p w14:paraId="1B763B68" w14:textId="052A66A8" w:rsidR="002D78E4" w:rsidRDefault="0032012D" w:rsidP="002D78E4">
      <w:pPr>
        <w:spacing w:after="120"/>
        <w:ind w:left="90"/>
      </w:pPr>
      <w:r>
        <w:t xml:space="preserve">This worksheet </w:t>
      </w:r>
      <w:proofErr w:type="gramStart"/>
      <w:r>
        <w:t>provides assistance for</w:t>
      </w:r>
      <w:proofErr w:type="gramEnd"/>
      <w:r>
        <w:t xml:space="preserve"> </w:t>
      </w:r>
      <w:r w:rsidR="00657933">
        <w:t xml:space="preserve">researchers and HSD staff </w:t>
      </w:r>
      <w:r>
        <w:t>who wish to determine whether an activity is human subjects research</w:t>
      </w:r>
      <w:r w:rsidR="002D78E4">
        <w:t xml:space="preserve"> by Common Rule and/or FDA definitions</w:t>
      </w:r>
      <w:r>
        <w:t>. If it is not human subjects research</w:t>
      </w:r>
      <w:r w:rsidR="002D78E4">
        <w:t xml:space="preserve"> by either</w:t>
      </w:r>
      <w:r>
        <w:t xml:space="preserve">, IRB review </w:t>
      </w:r>
      <w:proofErr w:type="gramStart"/>
      <w:r>
        <w:t>and</w:t>
      </w:r>
      <w:proofErr w:type="gramEnd"/>
      <w:r>
        <w:t xml:space="preserve"> approval are not required. </w:t>
      </w:r>
    </w:p>
    <w:p w14:paraId="79FD4CF1" w14:textId="2AB1B4AC" w:rsidR="009400E5" w:rsidRPr="0032012D" w:rsidRDefault="002D78E4" w:rsidP="006C7EA6">
      <w:pPr>
        <w:ind w:left="90"/>
      </w:pPr>
      <w:r w:rsidRPr="004F681D">
        <w:rPr>
          <w:b/>
          <w:bCs/>
        </w:rPr>
        <w:t>HSD</w:t>
      </w:r>
      <w:r w:rsidR="0032012D" w:rsidRPr="004F681D">
        <w:rPr>
          <w:b/>
          <w:bCs/>
        </w:rPr>
        <w:t xml:space="preserve"> policy</w:t>
      </w:r>
      <w:r w:rsidR="0032012D">
        <w:t xml:space="preserve"> allows researchers to make this determination themselves</w:t>
      </w:r>
      <w:r w:rsidR="009043D4">
        <w:t xml:space="preserve"> (</w:t>
      </w:r>
      <w:hyperlink w:anchor="exception" w:history="1">
        <w:r w:rsidR="009043D4" w:rsidRPr="003D2A44">
          <w:rPr>
            <w:rStyle w:val="Hyperlink"/>
          </w:rPr>
          <w:t xml:space="preserve">exception in </w:t>
        </w:r>
        <w:r w:rsidR="00D946F9">
          <w:rPr>
            <w:rStyle w:val="Hyperlink"/>
          </w:rPr>
          <w:t>B</w:t>
        </w:r>
        <w:r w:rsidR="009043D4" w:rsidRPr="003D2A44">
          <w:rPr>
            <w:rStyle w:val="Hyperlink"/>
          </w:rPr>
          <w:t>1.2</w:t>
        </w:r>
      </w:hyperlink>
      <w:r w:rsidR="009043D4">
        <w:t>)</w:t>
      </w:r>
      <w:r w:rsidR="0032012D">
        <w:t xml:space="preserve">, using this </w:t>
      </w:r>
      <w:r w:rsidR="00657933">
        <w:t>w</w:t>
      </w:r>
      <w:r w:rsidR="0032012D">
        <w:t>orksheet as a guide. To ask HSD to make the determination</w:t>
      </w:r>
      <w:r w:rsidR="00770E45">
        <w:t>,</w:t>
      </w:r>
      <w:r w:rsidR="0032012D">
        <w:t xml:space="preserve"> </w:t>
      </w:r>
      <w:r w:rsidR="009043D4">
        <w:t xml:space="preserve">follow the instructions </w:t>
      </w:r>
      <w:r w:rsidR="00F73950">
        <w:t xml:space="preserve">to “Request a determination” </w:t>
      </w:r>
      <w:r w:rsidR="00C43165">
        <w:t>o</w:t>
      </w:r>
      <w:r w:rsidR="009043D4">
        <w:t xml:space="preserve">n </w:t>
      </w:r>
      <w:hyperlink r:id="rId12" w:history="1">
        <w:r w:rsidR="00C43165" w:rsidRPr="00C43165">
          <w:rPr>
            <w:rStyle w:val="Hyperlink"/>
          </w:rPr>
          <w:t>Step 1 (Is it Research)</w:t>
        </w:r>
      </w:hyperlink>
      <w:r w:rsidR="00C43165">
        <w:t xml:space="preserve"> or </w:t>
      </w:r>
      <w:hyperlink r:id="rId13" w:history="1">
        <w:r w:rsidR="00235191" w:rsidRPr="00163065">
          <w:rPr>
            <w:rStyle w:val="Hyperlink"/>
          </w:rPr>
          <w:t>Step 2 (Is it Human Subjects Research</w:t>
        </w:r>
        <w:r w:rsidR="00C43165" w:rsidRPr="00235191">
          <w:rPr>
            <w:rStyle w:val="Hyperlink"/>
          </w:rPr>
          <w:t>)</w:t>
        </w:r>
      </w:hyperlink>
      <w:r w:rsidR="00C43165">
        <w:t xml:space="preserve"> on the HSD website.</w:t>
      </w:r>
    </w:p>
    <w:p w14:paraId="64D49F04" w14:textId="77777777" w:rsidR="009400E5" w:rsidRDefault="009400E5"/>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7B63C34A" w:rsidR="00215B3F" w:rsidRPr="00130298" w:rsidRDefault="00215B3F" w:rsidP="006C7EA6">
            <w:pPr>
              <w:pStyle w:val="ListParagraph"/>
              <w:ind w:left="-27"/>
              <w:rPr>
                <w:b/>
                <w:bCs/>
              </w:rPr>
            </w:pPr>
            <w:r w:rsidRPr="00130298">
              <w:rPr>
                <w:b/>
                <w:bCs/>
              </w:rPr>
              <w:t>INSTRUCTIONS</w:t>
            </w:r>
          </w:p>
        </w:tc>
      </w:tr>
    </w:tbl>
    <w:p w14:paraId="5F6F75E5" w14:textId="63E2000A" w:rsidR="00215B3F" w:rsidRDefault="00215B3F">
      <w:pPr>
        <w:rPr>
          <w:b/>
          <w:bCs/>
        </w:rPr>
      </w:pPr>
    </w:p>
    <w:p w14:paraId="23C80E9D" w14:textId="569BA655" w:rsidR="00B50AD6" w:rsidRDefault="0032012D" w:rsidP="00E70345">
      <w:pPr>
        <w:spacing w:after="120"/>
        <w:ind w:left="90"/>
        <w:rPr>
          <w:b/>
          <w:bCs/>
        </w:rPr>
      </w:pPr>
      <w:r>
        <w:t>T</w:t>
      </w:r>
      <w:r w:rsidR="004F681D">
        <w:t xml:space="preserve">he Common Rule and FDA </w:t>
      </w:r>
      <w:r>
        <w:t xml:space="preserve">regulations </w:t>
      </w:r>
      <w:r w:rsidR="004F681D">
        <w:t>each have their own</w:t>
      </w:r>
      <w:r>
        <w:t xml:space="preserve"> definitions of </w:t>
      </w:r>
      <w:r w:rsidRPr="00E70345">
        <w:rPr>
          <w:i/>
          <w:iCs/>
        </w:rPr>
        <w:t>research</w:t>
      </w:r>
      <w:r>
        <w:t xml:space="preserve"> and</w:t>
      </w:r>
      <w:r w:rsidR="00E70345">
        <w:t xml:space="preserve"> </w:t>
      </w:r>
      <w:r w:rsidRPr="00E70345">
        <w:rPr>
          <w:i/>
          <w:iCs/>
        </w:rPr>
        <w:t xml:space="preserve">human </w:t>
      </w:r>
      <w:proofErr w:type="gramStart"/>
      <w:r w:rsidRPr="00E70345">
        <w:rPr>
          <w:i/>
          <w:iCs/>
        </w:rPr>
        <w:t>subject</w:t>
      </w:r>
      <w:proofErr w:type="gramEnd"/>
      <w:r>
        <w:t xml:space="preserve">. </w:t>
      </w:r>
      <w:r w:rsidR="004F681D">
        <w:t>HSD applies the</w:t>
      </w:r>
      <w:r w:rsidR="00B50AD6">
        <w:t xml:space="preserve"> FDA definitions only to </w:t>
      </w:r>
      <w:r w:rsidR="00B50AD6">
        <w:rPr>
          <w:b/>
          <w:bCs/>
        </w:rPr>
        <w:t>activities regulated by the FDA</w:t>
      </w:r>
      <w:r w:rsidR="004F681D">
        <w:t xml:space="preserve"> </w:t>
      </w:r>
      <w:r w:rsidR="00B50AD6">
        <w:t xml:space="preserve">and the </w:t>
      </w:r>
      <w:r w:rsidR="004F681D">
        <w:t xml:space="preserve">Common Rule definitions to </w:t>
      </w:r>
      <w:r w:rsidR="004F681D">
        <w:rPr>
          <w:b/>
          <w:bCs/>
        </w:rPr>
        <w:t xml:space="preserve">all </w:t>
      </w:r>
      <w:r w:rsidR="00B50AD6">
        <w:rPr>
          <w:b/>
          <w:bCs/>
        </w:rPr>
        <w:t xml:space="preserve">other </w:t>
      </w:r>
      <w:r w:rsidR="004F681D">
        <w:rPr>
          <w:b/>
          <w:bCs/>
        </w:rPr>
        <w:t>activities</w:t>
      </w:r>
      <w:r w:rsidR="004F681D">
        <w:t>.</w:t>
      </w:r>
      <w:r w:rsidR="004F681D">
        <w:rPr>
          <w:b/>
          <w:bCs/>
        </w:rPr>
        <w:t xml:space="preserve"> </w:t>
      </w:r>
    </w:p>
    <w:p w14:paraId="15E57378" w14:textId="34289322" w:rsidR="00B754ED" w:rsidRDefault="0032012D" w:rsidP="00E70345">
      <w:pPr>
        <w:spacing w:after="120"/>
        <w:ind w:left="90"/>
      </w:pPr>
      <w:r>
        <w:t xml:space="preserve">To determine whether an activity is human subjects research, assess the activity against each of the definitions </w:t>
      </w:r>
      <w:r w:rsidR="00E70345">
        <w:t xml:space="preserve">in the tables </w:t>
      </w:r>
      <w:r>
        <w:t xml:space="preserve">below. </w:t>
      </w:r>
      <w:r w:rsidRPr="002814E0">
        <w:rPr>
          <w:b/>
          <w:bCs/>
        </w:rPr>
        <w:t>The items should be considered in the order presented</w:t>
      </w:r>
      <w:r w:rsidR="00B754ED">
        <w:t xml:space="preserve"> in order to reach the correct conclusion</w:t>
      </w:r>
      <w:r>
        <w:t xml:space="preserve">. </w:t>
      </w:r>
    </w:p>
    <w:p w14:paraId="70286B87" w14:textId="2FC78691" w:rsidR="007E1BEF" w:rsidRDefault="0032012D" w:rsidP="00E70345">
      <w:pPr>
        <w:spacing w:after="120"/>
        <w:ind w:left="90"/>
      </w:pPr>
      <w:r>
        <w:t xml:space="preserve">Researchers who are using this </w:t>
      </w:r>
      <w:r w:rsidR="00657933">
        <w:t>w</w:t>
      </w:r>
      <w:r>
        <w:t xml:space="preserve">orksheet to perform </w:t>
      </w:r>
      <w:proofErr w:type="gramStart"/>
      <w:r>
        <w:t>a self</w:t>
      </w:r>
      <w:proofErr w:type="gramEnd"/>
      <w:r>
        <w:t xml:space="preserve">-determination are advised to </w:t>
      </w:r>
      <w:r w:rsidR="00E70345">
        <w:t xml:space="preserve">check </w:t>
      </w:r>
      <w:r>
        <w:t xml:space="preserve">the boxes and then to save or print the completed </w:t>
      </w:r>
      <w:r w:rsidR="00657933">
        <w:t>w</w:t>
      </w:r>
      <w:r>
        <w:t>orksheet for their records and for communication with journal editors and conference organizers.</w:t>
      </w:r>
    </w:p>
    <w:p w14:paraId="5C9A2446" w14:textId="39E01E8F" w:rsidR="00B754ED" w:rsidRPr="00B754ED" w:rsidRDefault="00B754ED" w:rsidP="006C7EA6">
      <w:pPr>
        <w:ind w:left="90"/>
      </w:pPr>
      <w:r>
        <w:rPr>
          <w:b/>
          <w:bCs/>
        </w:rPr>
        <w:t>Note</w:t>
      </w:r>
      <w:r w:rsidRPr="00770E45">
        <w:t>,</w:t>
      </w:r>
      <w:r>
        <w:rPr>
          <w:b/>
          <w:bCs/>
        </w:rPr>
        <w:t xml:space="preserve"> </w:t>
      </w:r>
      <w:r w:rsidR="00951A56">
        <w:t xml:space="preserve">if the activities involve interaction (in-person or remotely) with individuals under the age of 18 you must comply with </w:t>
      </w:r>
      <w:hyperlink r:id="rId14" w:history="1">
        <w:r w:rsidR="00951A56" w:rsidRPr="00770E45">
          <w:rPr>
            <w:rStyle w:val="Hyperlink"/>
          </w:rPr>
          <w:t>UW Administrative Policy 10.13</w:t>
        </w:r>
      </w:hyperlink>
      <w:r w:rsidR="00951A56">
        <w:t xml:space="preserve"> regardless of whether the activities constitute human subjects research.</w:t>
      </w:r>
    </w:p>
    <w:p w14:paraId="0D3773C7" w14:textId="77777777" w:rsidR="009F2D8D" w:rsidRDefault="009F2D8D" w:rsidP="009F2D8D"/>
    <w:tbl>
      <w:tblPr>
        <w:tblStyle w:val="TableGrid"/>
        <w:tblW w:w="0" w:type="auto"/>
        <w:tblLook w:val="04A0" w:firstRow="1" w:lastRow="0" w:firstColumn="1" w:lastColumn="0" w:noHBand="0" w:noVBand="1"/>
      </w:tblPr>
      <w:tblGrid>
        <w:gridCol w:w="10070"/>
      </w:tblGrid>
      <w:tr w:rsidR="009F2D8D" w14:paraId="668BB615" w14:textId="77777777" w:rsidTr="0057332D">
        <w:tc>
          <w:tcPr>
            <w:tcW w:w="10070" w:type="dxa"/>
            <w:shd w:val="clear" w:color="auto" w:fill="33006F"/>
          </w:tcPr>
          <w:p w14:paraId="23614B1F" w14:textId="1C7BC2E9" w:rsidR="009F2D8D" w:rsidRPr="00130298" w:rsidRDefault="009F2D8D" w:rsidP="0057332D">
            <w:pPr>
              <w:pStyle w:val="ListParagraph"/>
              <w:ind w:left="-27"/>
              <w:rPr>
                <w:b/>
                <w:bCs/>
              </w:rPr>
            </w:pPr>
            <w:r>
              <w:rPr>
                <w:b/>
                <w:bCs/>
              </w:rPr>
              <w:t>C</w:t>
            </w:r>
            <w:bookmarkStart w:id="0" w:name="Top"/>
            <w:bookmarkEnd w:id="0"/>
            <w:r>
              <w:rPr>
                <w:b/>
                <w:bCs/>
              </w:rPr>
              <w:t>ONTENTS</w:t>
            </w:r>
          </w:p>
        </w:tc>
      </w:tr>
    </w:tbl>
    <w:p w14:paraId="715F7E25" w14:textId="1DE3A843" w:rsidR="009F2D8D" w:rsidRDefault="009F2D8D">
      <w:pPr>
        <w:rPr>
          <w:b/>
          <w:bCs/>
        </w:rPr>
      </w:pPr>
    </w:p>
    <w:p w14:paraId="12051685" w14:textId="77777777" w:rsidR="00D946F9" w:rsidRPr="00CF52AE" w:rsidRDefault="00D946F9" w:rsidP="00D946F9">
      <w:pPr>
        <w:pStyle w:val="ListParagraph"/>
        <w:numPr>
          <w:ilvl w:val="0"/>
          <w:numId w:val="34"/>
        </w:numPr>
        <w:tabs>
          <w:tab w:val="left" w:pos="630"/>
        </w:tabs>
        <w:ind w:left="360"/>
        <w:rPr>
          <w:rStyle w:val="Hyperlink"/>
          <w:color w:val="auto"/>
          <w:u w:val="none"/>
        </w:rPr>
      </w:pPr>
      <w:hyperlink w:anchor="FDA" w:history="1">
        <w:r w:rsidRPr="0052755B">
          <w:rPr>
            <w:rStyle w:val="Hyperlink"/>
          </w:rPr>
          <w:t>The Food and Drug Administration</w:t>
        </w:r>
      </w:hyperlink>
    </w:p>
    <w:p w14:paraId="25571293" w14:textId="2B76D62D" w:rsidR="00E13D92" w:rsidRDefault="00E13D92" w:rsidP="00D946F9">
      <w:pPr>
        <w:pStyle w:val="ListParagraph"/>
        <w:numPr>
          <w:ilvl w:val="1"/>
          <w:numId w:val="34"/>
        </w:numPr>
        <w:tabs>
          <w:tab w:val="left" w:pos="630"/>
        </w:tabs>
        <w:ind w:left="720"/>
      </w:pPr>
      <w:hyperlink w:anchor="notFDA" w:history="1">
        <w:r w:rsidRPr="00235191">
          <w:rPr>
            <w:rStyle w:val="Hyperlink"/>
          </w:rPr>
          <w:t>Activities not Subject to FDA Regulations</w:t>
        </w:r>
      </w:hyperlink>
    </w:p>
    <w:p w14:paraId="683DB00D" w14:textId="41C45E01" w:rsidR="00D946F9" w:rsidRPr="00CF52AE" w:rsidRDefault="00D946F9" w:rsidP="00D946F9">
      <w:pPr>
        <w:pStyle w:val="ListParagraph"/>
        <w:numPr>
          <w:ilvl w:val="1"/>
          <w:numId w:val="34"/>
        </w:numPr>
        <w:tabs>
          <w:tab w:val="left" w:pos="630"/>
        </w:tabs>
        <w:ind w:left="720"/>
        <w:rPr>
          <w:rStyle w:val="Hyperlink"/>
          <w:color w:val="auto"/>
          <w:u w:val="none"/>
        </w:rPr>
      </w:pPr>
      <w:hyperlink w:anchor="ResearchFDA" w:history="1">
        <w:r w:rsidRPr="00CF52AE">
          <w:rPr>
            <w:rStyle w:val="Hyperlink"/>
          </w:rPr>
          <w:t>Definition of Research</w:t>
        </w:r>
      </w:hyperlink>
    </w:p>
    <w:p w14:paraId="2197C45B" w14:textId="77777777" w:rsidR="00D946F9" w:rsidRPr="009F2D8D" w:rsidRDefault="00D946F9" w:rsidP="00D946F9">
      <w:pPr>
        <w:pStyle w:val="ListParagraph"/>
        <w:numPr>
          <w:ilvl w:val="1"/>
          <w:numId w:val="34"/>
        </w:numPr>
        <w:tabs>
          <w:tab w:val="left" w:pos="630"/>
        </w:tabs>
        <w:ind w:left="720"/>
      </w:pPr>
      <w:hyperlink w:anchor="HSRFDA" w:history="1">
        <w:r w:rsidRPr="00CF52AE">
          <w:rPr>
            <w:rStyle w:val="Hyperlink"/>
          </w:rPr>
          <w:t>Definition of Human Subject</w:t>
        </w:r>
      </w:hyperlink>
    </w:p>
    <w:p w14:paraId="2EE73593" w14:textId="7F401A91" w:rsidR="009F2D8D" w:rsidRDefault="009F2D8D" w:rsidP="009F2D8D">
      <w:pPr>
        <w:pStyle w:val="ListParagraph"/>
        <w:numPr>
          <w:ilvl w:val="0"/>
          <w:numId w:val="34"/>
        </w:numPr>
        <w:tabs>
          <w:tab w:val="left" w:pos="630"/>
        </w:tabs>
        <w:ind w:left="360"/>
      </w:pPr>
      <w:hyperlink w:anchor="CommonRule" w:history="1">
        <w:r w:rsidRPr="009F2D8D">
          <w:rPr>
            <w:rStyle w:val="Hyperlink"/>
          </w:rPr>
          <w:t>The Common Rule</w:t>
        </w:r>
      </w:hyperlink>
    </w:p>
    <w:p w14:paraId="6756979A" w14:textId="613CE94F" w:rsidR="009F2D8D" w:rsidRDefault="009F2D8D" w:rsidP="009F2D8D">
      <w:pPr>
        <w:pStyle w:val="ListParagraph"/>
        <w:numPr>
          <w:ilvl w:val="1"/>
          <w:numId w:val="34"/>
        </w:numPr>
        <w:ind w:left="720"/>
      </w:pPr>
      <w:hyperlink w:anchor="Exclusions" w:history="1">
        <w:r w:rsidRPr="009F2D8D">
          <w:rPr>
            <w:rStyle w:val="Hyperlink"/>
          </w:rPr>
          <w:t>Exclusions from Research</w:t>
        </w:r>
      </w:hyperlink>
    </w:p>
    <w:p w14:paraId="7AD8F04E" w14:textId="24F6FAF4" w:rsidR="009F2D8D" w:rsidRDefault="009F2D8D" w:rsidP="009F2D8D">
      <w:pPr>
        <w:pStyle w:val="ListParagraph"/>
        <w:numPr>
          <w:ilvl w:val="1"/>
          <w:numId w:val="34"/>
        </w:numPr>
        <w:ind w:left="720"/>
      </w:pPr>
      <w:hyperlink w:anchor="Research" w:history="1">
        <w:r w:rsidRPr="009F2D8D">
          <w:rPr>
            <w:rStyle w:val="Hyperlink"/>
          </w:rPr>
          <w:t>Definition of Research</w:t>
        </w:r>
      </w:hyperlink>
    </w:p>
    <w:p w14:paraId="43FE4A0D" w14:textId="0A1F83E3" w:rsidR="009F2D8D" w:rsidRDefault="009F2D8D" w:rsidP="009F2D8D">
      <w:pPr>
        <w:pStyle w:val="ListParagraph"/>
        <w:numPr>
          <w:ilvl w:val="1"/>
          <w:numId w:val="34"/>
        </w:numPr>
        <w:ind w:left="720"/>
      </w:pPr>
      <w:hyperlink w:anchor="HSR" w:history="1">
        <w:r w:rsidRPr="009F2D8D">
          <w:rPr>
            <w:rStyle w:val="Hyperlink"/>
          </w:rPr>
          <w:t>Definition of Human Subject</w:t>
        </w:r>
      </w:hyperlink>
    </w:p>
    <w:p w14:paraId="29613E5B" w14:textId="5913DEE5" w:rsidR="009F2D8D" w:rsidRDefault="009F2D8D">
      <w:pPr>
        <w:rPr>
          <w:b/>
          <w:bCs/>
        </w:rPr>
      </w:pPr>
    </w:p>
    <w:tbl>
      <w:tblPr>
        <w:tblStyle w:val="TableGrid"/>
        <w:tblW w:w="0" w:type="auto"/>
        <w:tblLook w:val="04A0" w:firstRow="1" w:lastRow="0" w:firstColumn="1" w:lastColumn="0" w:noHBand="0" w:noVBand="1"/>
      </w:tblPr>
      <w:tblGrid>
        <w:gridCol w:w="10070"/>
      </w:tblGrid>
      <w:tr w:rsidR="00D946F9" w14:paraId="4723C1C9" w14:textId="77777777" w:rsidTr="00F6070E">
        <w:tc>
          <w:tcPr>
            <w:tcW w:w="10070" w:type="dxa"/>
            <w:shd w:val="clear" w:color="auto" w:fill="33006F"/>
          </w:tcPr>
          <w:p w14:paraId="336F1274" w14:textId="77777777" w:rsidR="00D946F9" w:rsidRPr="00BC2B7A" w:rsidRDefault="00D946F9" w:rsidP="00F6070E">
            <w:pPr>
              <w:pStyle w:val="ListParagraph"/>
              <w:numPr>
                <w:ilvl w:val="0"/>
                <w:numId w:val="33"/>
              </w:numPr>
              <w:ind w:left="333"/>
            </w:pPr>
            <w:r w:rsidRPr="00934304">
              <w:rPr>
                <w:b/>
                <w:bCs/>
              </w:rPr>
              <w:t>T</w:t>
            </w:r>
            <w:bookmarkStart w:id="1" w:name="FDA"/>
            <w:bookmarkEnd w:id="1"/>
            <w:r w:rsidRPr="00934304">
              <w:rPr>
                <w:b/>
                <w:bCs/>
              </w:rPr>
              <w:t xml:space="preserve">HE </w:t>
            </w:r>
            <w:r>
              <w:rPr>
                <w:b/>
                <w:bCs/>
              </w:rPr>
              <w:t>FOOD AND DRUG ADMINISTRATION</w:t>
            </w:r>
            <w:r w:rsidRPr="00934304">
              <w:rPr>
                <w:b/>
                <w:bCs/>
              </w:rPr>
              <w:t xml:space="preserve"> </w:t>
            </w:r>
            <w:r>
              <w:t>(21 CFR 50 AND 56)</w:t>
            </w:r>
          </w:p>
        </w:tc>
      </w:tr>
    </w:tbl>
    <w:p w14:paraId="41CE0719" w14:textId="77777777" w:rsidR="00D946F9" w:rsidRDefault="00D946F9" w:rsidP="00D946F9">
      <w:pPr>
        <w:rPr>
          <w:b/>
          <w:bCs/>
        </w:rPr>
      </w:pPr>
    </w:p>
    <w:p w14:paraId="17F32413" w14:textId="77777777" w:rsidR="00D946F9" w:rsidRPr="00032399" w:rsidRDefault="00D946F9" w:rsidP="00D946F9">
      <w:pPr>
        <w:spacing w:after="120"/>
        <w:ind w:left="270"/>
      </w:pPr>
      <w:r>
        <w:t xml:space="preserve">If the activity meets the FDA definitions of </w:t>
      </w:r>
      <w:r>
        <w:rPr>
          <w:i/>
          <w:iCs/>
        </w:rPr>
        <w:t xml:space="preserve">research </w:t>
      </w:r>
      <w:r>
        <w:t xml:space="preserve">and </w:t>
      </w:r>
      <w:r>
        <w:rPr>
          <w:i/>
          <w:iCs/>
        </w:rPr>
        <w:t>human subject</w:t>
      </w:r>
      <w:r>
        <w:t xml:space="preserve">, then the activity must comply with the FDA regulations about informed consent (21 CFR 50) and IRB review (21 CFR 56). The FDA has overriding </w:t>
      </w:r>
      <w:r>
        <w:lastRenderedPageBreak/>
        <w:t xml:space="preserve">authority on making that determination. In the absence of an FDA opinion about a specific activity, it is </w:t>
      </w:r>
      <w:r>
        <w:rPr>
          <w:b/>
          <w:bCs/>
        </w:rPr>
        <w:t xml:space="preserve">HSD policy </w:t>
      </w:r>
      <w:r>
        <w:t>that HSD staff make the final determination about applicability of specific FDA regulations.</w:t>
      </w:r>
    </w:p>
    <w:p w14:paraId="65BBA625" w14:textId="72F276F3" w:rsidR="00D946F9" w:rsidRDefault="00D946F9" w:rsidP="00235191">
      <w:pPr>
        <w:ind w:left="270"/>
      </w:pPr>
      <w:r>
        <w:t xml:space="preserve">If the FDA regulations apply, it does not necessarily mean that an Investigational New Drug (IND) approval or Investigational Device Exemption (IDE) is required </w:t>
      </w:r>
      <w:proofErr w:type="gramStart"/>
      <w:r>
        <w:t>from</w:t>
      </w:r>
      <w:proofErr w:type="gramEnd"/>
      <w:r>
        <w:t xml:space="preserve"> the FDA. To make those determinations, review the </w:t>
      </w:r>
      <w:hyperlink r:id="rId15" w:history="1">
        <w:r w:rsidRPr="00032399">
          <w:rPr>
            <w:rStyle w:val="Hyperlink"/>
            <w:b/>
            <w:bCs/>
          </w:rPr>
          <w:t>WORKSHEET FDA Drugs and the IND Requirement</w:t>
        </w:r>
      </w:hyperlink>
      <w:r>
        <w:rPr>
          <w:b/>
          <w:bCs/>
        </w:rPr>
        <w:t xml:space="preserve"> </w:t>
      </w:r>
      <w:r>
        <w:t xml:space="preserve">and/or the </w:t>
      </w:r>
      <w:hyperlink r:id="rId16" w:history="1">
        <w:r w:rsidRPr="00032399">
          <w:rPr>
            <w:rStyle w:val="Hyperlink"/>
            <w:b/>
            <w:bCs/>
          </w:rPr>
          <w:t>WORKSHEET FDA Devices and the IDE Requirement</w:t>
        </w:r>
      </w:hyperlink>
      <w:r>
        <w:t>.</w:t>
      </w:r>
    </w:p>
    <w:p w14:paraId="5ACA323A" w14:textId="77777777" w:rsidR="00235191" w:rsidRPr="00D612DE" w:rsidRDefault="00235191" w:rsidP="00235191">
      <w:pPr>
        <w:ind w:left="270"/>
      </w:pPr>
    </w:p>
    <w:p w14:paraId="6458653A" w14:textId="62A58F47" w:rsidR="00E13D92" w:rsidRPr="00E13D92" w:rsidRDefault="00E13D92" w:rsidP="00D946F9">
      <w:pPr>
        <w:pStyle w:val="ListParagraph"/>
        <w:numPr>
          <w:ilvl w:val="0"/>
          <w:numId w:val="40"/>
        </w:numPr>
        <w:spacing w:after="120"/>
        <w:ind w:left="360"/>
        <w:contextualSpacing w:val="0"/>
        <w:rPr>
          <w:b/>
          <w:bCs/>
        </w:rPr>
      </w:pPr>
      <w:r w:rsidRPr="00844917">
        <w:rPr>
          <w:b/>
          <w:bCs/>
        </w:rPr>
        <w:t>A</w:t>
      </w:r>
      <w:bookmarkStart w:id="2" w:name="notFDA"/>
      <w:bookmarkEnd w:id="2"/>
      <w:r w:rsidRPr="00844917">
        <w:rPr>
          <w:b/>
          <w:bCs/>
        </w:rPr>
        <w:t>ctivities Not Subject to FDA Regulations</w:t>
      </w:r>
      <w:r>
        <w:rPr>
          <w:b/>
          <w:bCs/>
        </w:rPr>
        <w:t xml:space="preserve">. </w:t>
      </w:r>
      <w:r>
        <w:t>HSD believes the activities listed in the table below are not subject to FDA regulations.</w:t>
      </w:r>
      <w:r w:rsidR="00BD4430" w:rsidRPr="00E13D92">
        <w:rPr>
          <w:b/>
          <w:bCs/>
        </w:rPr>
        <w:t xml:space="preserve"> </w:t>
      </w:r>
    </w:p>
    <w:tbl>
      <w:tblPr>
        <w:tblStyle w:val="TableGrid"/>
        <w:tblW w:w="9360" w:type="dxa"/>
        <w:tblInd w:w="355" w:type="dxa"/>
        <w:tblLook w:val="04A0" w:firstRow="1" w:lastRow="0" w:firstColumn="1" w:lastColumn="0" w:noHBand="0" w:noVBand="1"/>
      </w:tblPr>
      <w:tblGrid>
        <w:gridCol w:w="8370"/>
        <w:gridCol w:w="990"/>
      </w:tblGrid>
      <w:tr w:rsidR="00E13D92" w14:paraId="656CE3CC" w14:textId="77777777" w:rsidTr="00F6070E">
        <w:tc>
          <w:tcPr>
            <w:tcW w:w="8370" w:type="dxa"/>
            <w:shd w:val="clear" w:color="auto" w:fill="5200A4"/>
          </w:tcPr>
          <w:p w14:paraId="562814F0" w14:textId="77777777" w:rsidR="00E13D92" w:rsidRPr="00DC057E" w:rsidRDefault="00E13D92" w:rsidP="00F6070E">
            <w:pPr>
              <w:rPr>
                <w:b/>
                <w:bCs/>
              </w:rPr>
            </w:pPr>
            <w:r>
              <w:rPr>
                <w:b/>
                <w:bCs/>
              </w:rPr>
              <w:t xml:space="preserve">CHECK ALL BOXES THAT APPLY. </w:t>
            </w:r>
            <w:r>
              <w:t xml:space="preserve"> </w:t>
            </w:r>
          </w:p>
        </w:tc>
        <w:tc>
          <w:tcPr>
            <w:tcW w:w="990" w:type="dxa"/>
            <w:shd w:val="clear" w:color="auto" w:fill="5200A4"/>
            <w:vAlign w:val="center"/>
          </w:tcPr>
          <w:p w14:paraId="5AB824E9" w14:textId="77777777" w:rsidR="00E13D92" w:rsidRPr="009B666D" w:rsidRDefault="00E13D92" w:rsidP="00F6070E">
            <w:pPr>
              <w:jc w:val="center"/>
              <w:rPr>
                <w:b/>
                <w:bCs/>
              </w:rPr>
            </w:pPr>
            <w:r>
              <w:rPr>
                <w:b/>
                <w:bCs/>
              </w:rPr>
              <w:t>Met</w:t>
            </w:r>
          </w:p>
        </w:tc>
      </w:tr>
      <w:tr w:rsidR="00E13D92" w14:paraId="0AA5A4A5" w14:textId="77777777" w:rsidTr="00F6070E">
        <w:tc>
          <w:tcPr>
            <w:tcW w:w="8370" w:type="dxa"/>
            <w:tcBorders>
              <w:bottom w:val="single" w:sz="4" w:space="0" w:color="auto"/>
            </w:tcBorders>
          </w:tcPr>
          <w:p w14:paraId="1D6BEB31" w14:textId="1B13A79D" w:rsidR="00E13D92" w:rsidRPr="0086494A" w:rsidRDefault="00E13D92" w:rsidP="00F6070E">
            <w:pPr>
              <w:pStyle w:val="ListParagraph"/>
              <w:spacing w:before="60" w:after="60"/>
              <w:ind w:left="347" w:hanging="360"/>
            </w:pPr>
            <w:r>
              <w:t>1.1 The activity includes review of medical records (prospective or retrospective).</w:t>
            </w:r>
          </w:p>
        </w:tc>
        <w:tc>
          <w:tcPr>
            <w:tcW w:w="990" w:type="dxa"/>
            <w:vAlign w:val="center"/>
          </w:tcPr>
          <w:p w14:paraId="502A87B9" w14:textId="77777777" w:rsidR="00E13D92" w:rsidRDefault="00000000" w:rsidP="00F6070E">
            <w:pPr>
              <w:jc w:val="center"/>
            </w:pPr>
            <w:sdt>
              <w:sdtPr>
                <w:id w:val="1149553245"/>
                <w14:checkbox>
                  <w14:checked w14:val="0"/>
                  <w14:checkedState w14:val="2612" w14:font="MS Gothic"/>
                  <w14:uncheckedState w14:val="2610" w14:font="MS Gothic"/>
                </w14:checkbox>
              </w:sdtPr>
              <w:sdtContent>
                <w:r w:rsidR="00E13D92">
                  <w:rPr>
                    <w:rFonts w:ascii="MS Gothic" w:eastAsia="MS Gothic" w:hAnsi="MS Gothic" w:hint="eastAsia"/>
                  </w:rPr>
                  <w:t>☐</w:t>
                </w:r>
              </w:sdtContent>
            </w:sdt>
          </w:p>
        </w:tc>
      </w:tr>
      <w:tr w:rsidR="00E13D92" w14:paraId="23A8482F" w14:textId="77777777" w:rsidTr="00F6070E">
        <w:tc>
          <w:tcPr>
            <w:tcW w:w="8370" w:type="dxa"/>
          </w:tcPr>
          <w:p w14:paraId="41C74503" w14:textId="019CE0F2" w:rsidR="00E13D92" w:rsidRPr="00844917" w:rsidRDefault="00E13D92" w:rsidP="00F6070E">
            <w:pPr>
              <w:spacing w:before="60" w:after="60"/>
              <w:ind w:left="339" w:hanging="352"/>
              <w:rPr>
                <w:i/>
                <w:iCs/>
              </w:rPr>
            </w:pPr>
            <w:r>
              <w:t>1.2 The activity involves use of a medical device when the purpose is to obtain basic physiological information.</w:t>
            </w:r>
          </w:p>
        </w:tc>
        <w:tc>
          <w:tcPr>
            <w:tcW w:w="990" w:type="dxa"/>
            <w:tcBorders>
              <w:bottom w:val="single" w:sz="4" w:space="0" w:color="auto"/>
            </w:tcBorders>
            <w:vAlign w:val="center"/>
          </w:tcPr>
          <w:p w14:paraId="14AF49A0" w14:textId="77777777" w:rsidR="00E13D92" w:rsidRDefault="00000000" w:rsidP="00F6070E">
            <w:pPr>
              <w:jc w:val="center"/>
            </w:pPr>
            <w:sdt>
              <w:sdtPr>
                <w:id w:val="-1031639736"/>
                <w14:checkbox>
                  <w14:checked w14:val="0"/>
                  <w14:checkedState w14:val="2612" w14:font="MS Gothic"/>
                  <w14:uncheckedState w14:val="2610" w14:font="MS Gothic"/>
                </w14:checkbox>
              </w:sdtPr>
              <w:sdtContent>
                <w:r w:rsidR="00E13D92">
                  <w:rPr>
                    <w:rFonts w:ascii="MS Gothic" w:eastAsia="MS Gothic" w:hAnsi="MS Gothic" w:hint="eastAsia"/>
                  </w:rPr>
                  <w:t>☐</w:t>
                </w:r>
              </w:sdtContent>
            </w:sdt>
          </w:p>
        </w:tc>
      </w:tr>
      <w:tr w:rsidR="00E13D92" w14:paraId="34A9ED52" w14:textId="77777777" w:rsidTr="00844917">
        <w:tc>
          <w:tcPr>
            <w:tcW w:w="8370" w:type="dxa"/>
          </w:tcPr>
          <w:p w14:paraId="1B3B869F" w14:textId="077ACF0B" w:rsidR="00E13D92" w:rsidRDefault="00E13D92" w:rsidP="00E13D92">
            <w:pPr>
              <w:spacing w:before="60" w:after="60"/>
              <w:ind w:left="339" w:hanging="352"/>
            </w:pPr>
            <w:r>
              <w:t>1.3 The activity involves study of surgical techniques that are evaluating only a new technique and not the safety or efficacy of an FDA-regulated item.</w:t>
            </w:r>
          </w:p>
        </w:tc>
        <w:tc>
          <w:tcPr>
            <w:tcW w:w="990" w:type="dxa"/>
            <w:tcBorders>
              <w:bottom w:val="single" w:sz="4" w:space="0" w:color="auto"/>
            </w:tcBorders>
          </w:tcPr>
          <w:p w14:paraId="55A84D4A" w14:textId="0F894D08" w:rsidR="00E13D92" w:rsidRDefault="00000000" w:rsidP="00E13D92">
            <w:pPr>
              <w:jc w:val="center"/>
            </w:pPr>
            <w:sdt>
              <w:sdtPr>
                <w:id w:val="1661504889"/>
                <w14:checkbox>
                  <w14:checked w14:val="0"/>
                  <w14:checkedState w14:val="2612" w14:font="MS Gothic"/>
                  <w14:uncheckedState w14:val="2610" w14:font="MS Gothic"/>
                </w14:checkbox>
              </w:sdtPr>
              <w:sdtContent>
                <w:r w:rsidR="00E13D92" w:rsidRPr="003065FF">
                  <w:rPr>
                    <w:rFonts w:ascii="MS Gothic" w:eastAsia="MS Gothic" w:hAnsi="MS Gothic" w:hint="eastAsia"/>
                  </w:rPr>
                  <w:t>☐</w:t>
                </w:r>
              </w:sdtContent>
            </w:sdt>
          </w:p>
        </w:tc>
      </w:tr>
      <w:tr w:rsidR="00E13D92" w14:paraId="09E15E06" w14:textId="77777777" w:rsidTr="00844917">
        <w:tc>
          <w:tcPr>
            <w:tcW w:w="8370" w:type="dxa"/>
          </w:tcPr>
          <w:p w14:paraId="760229AB" w14:textId="4BB865B8" w:rsidR="00E13D92" w:rsidRDefault="00E13D92" w:rsidP="00E13D92">
            <w:pPr>
              <w:spacing w:before="60" w:after="60"/>
              <w:ind w:left="339" w:hanging="352"/>
            </w:pPr>
            <w:r>
              <w:t>1.4 The activity involves use of a custom device, if it is not being used to gather safety or efficacy data that will be submitted to the FDA.</w:t>
            </w:r>
          </w:p>
        </w:tc>
        <w:tc>
          <w:tcPr>
            <w:tcW w:w="990" w:type="dxa"/>
            <w:tcBorders>
              <w:bottom w:val="single" w:sz="4" w:space="0" w:color="auto"/>
            </w:tcBorders>
          </w:tcPr>
          <w:p w14:paraId="4C057EE1" w14:textId="53CC04F3" w:rsidR="00E13D92" w:rsidRDefault="00000000" w:rsidP="00E13D92">
            <w:pPr>
              <w:jc w:val="center"/>
            </w:pPr>
            <w:sdt>
              <w:sdtPr>
                <w:id w:val="1119423074"/>
                <w14:checkbox>
                  <w14:checked w14:val="0"/>
                  <w14:checkedState w14:val="2612" w14:font="MS Gothic"/>
                  <w14:uncheckedState w14:val="2610" w14:font="MS Gothic"/>
                </w14:checkbox>
              </w:sdtPr>
              <w:sdtContent>
                <w:r w:rsidR="00E13D92" w:rsidRPr="003065FF">
                  <w:rPr>
                    <w:rFonts w:ascii="MS Gothic" w:eastAsia="MS Gothic" w:hAnsi="MS Gothic" w:hint="eastAsia"/>
                  </w:rPr>
                  <w:t>☐</w:t>
                </w:r>
              </w:sdtContent>
            </w:sdt>
          </w:p>
        </w:tc>
      </w:tr>
      <w:tr w:rsidR="00E13D92" w14:paraId="59B644A0" w14:textId="77777777" w:rsidTr="00844917">
        <w:tc>
          <w:tcPr>
            <w:tcW w:w="8370" w:type="dxa"/>
          </w:tcPr>
          <w:p w14:paraId="17C512A1" w14:textId="0626FEFD" w:rsidR="00E13D92" w:rsidRDefault="00E13D92" w:rsidP="00E13D92">
            <w:pPr>
              <w:spacing w:before="60" w:after="60"/>
              <w:ind w:left="339" w:hanging="352"/>
            </w:pPr>
            <w:r>
              <w:t xml:space="preserve">1.5 </w:t>
            </w:r>
            <w:r w:rsidR="00BF257A">
              <w:t>The FDA-regulated study is being conducted by a non-UW PI and UW employee/agent activities are limited to:</w:t>
            </w:r>
          </w:p>
          <w:p w14:paraId="0628632E" w14:textId="77777777" w:rsidR="00BF257A" w:rsidRDefault="00BF257A" w:rsidP="00BF257A">
            <w:pPr>
              <w:pStyle w:val="ListParagraph"/>
              <w:numPr>
                <w:ilvl w:val="0"/>
                <w:numId w:val="46"/>
              </w:numPr>
              <w:spacing w:before="60" w:after="60"/>
              <w:ind w:hanging="274"/>
            </w:pPr>
            <w:r>
              <w:t>Data analysis (whether or not the data are identifiable)</w:t>
            </w:r>
          </w:p>
          <w:p w14:paraId="181262C6" w14:textId="77777777" w:rsidR="00BF257A" w:rsidRDefault="00BF257A" w:rsidP="00BF257A">
            <w:pPr>
              <w:pStyle w:val="ListParagraph"/>
              <w:numPr>
                <w:ilvl w:val="0"/>
                <w:numId w:val="46"/>
              </w:numPr>
              <w:spacing w:before="60" w:after="60"/>
              <w:ind w:hanging="274"/>
            </w:pPr>
            <w:r>
              <w:t>Accessing and providing medical records or participants</w:t>
            </w:r>
          </w:p>
          <w:p w14:paraId="4EB4D9D6" w14:textId="77777777" w:rsidR="00BF257A" w:rsidRDefault="00BF257A" w:rsidP="00BF257A">
            <w:pPr>
              <w:pStyle w:val="ListParagraph"/>
              <w:numPr>
                <w:ilvl w:val="0"/>
                <w:numId w:val="46"/>
              </w:numPr>
              <w:spacing w:before="60" w:after="60"/>
              <w:ind w:hanging="274"/>
            </w:pPr>
            <w:r>
              <w:t>Recruiting activities prior to obtaining consent</w:t>
            </w:r>
          </w:p>
          <w:p w14:paraId="63C731C4" w14:textId="77777777" w:rsidR="00BF257A" w:rsidRDefault="00BF257A" w:rsidP="00BF257A">
            <w:pPr>
              <w:pStyle w:val="ListParagraph"/>
              <w:numPr>
                <w:ilvl w:val="0"/>
                <w:numId w:val="46"/>
              </w:numPr>
              <w:spacing w:before="60" w:after="60"/>
              <w:ind w:hanging="274"/>
            </w:pPr>
            <w:r>
              <w:t>Pre-screening of records for eligibility determination</w:t>
            </w:r>
          </w:p>
          <w:p w14:paraId="0E3E7740" w14:textId="0F9B6E19" w:rsidR="00BF257A" w:rsidRDefault="00BF257A" w:rsidP="00844917">
            <w:pPr>
              <w:pStyle w:val="ListParagraph"/>
              <w:numPr>
                <w:ilvl w:val="0"/>
                <w:numId w:val="46"/>
              </w:numPr>
              <w:spacing w:before="60" w:after="60"/>
              <w:ind w:hanging="274"/>
            </w:pPr>
            <w:r>
              <w:t>Procedures that are to be performed as part of clinical practice and which would be performed exactly the same way regardless of whether study entry was contemplated, such as diagnosis or treatment of a disease or medical condition</w:t>
            </w:r>
          </w:p>
        </w:tc>
        <w:tc>
          <w:tcPr>
            <w:tcW w:w="990" w:type="dxa"/>
            <w:tcBorders>
              <w:bottom w:val="single" w:sz="4" w:space="0" w:color="auto"/>
            </w:tcBorders>
          </w:tcPr>
          <w:p w14:paraId="0D7196E3" w14:textId="3AE30005" w:rsidR="00E13D92" w:rsidRDefault="00000000" w:rsidP="00E13D92">
            <w:pPr>
              <w:jc w:val="center"/>
            </w:pPr>
            <w:sdt>
              <w:sdtPr>
                <w:id w:val="-1446220834"/>
                <w14:checkbox>
                  <w14:checked w14:val="0"/>
                  <w14:checkedState w14:val="2612" w14:font="MS Gothic"/>
                  <w14:uncheckedState w14:val="2610" w14:font="MS Gothic"/>
                </w14:checkbox>
              </w:sdtPr>
              <w:sdtContent>
                <w:r w:rsidR="00E13D92" w:rsidRPr="003065FF">
                  <w:rPr>
                    <w:rFonts w:ascii="MS Gothic" w:eastAsia="MS Gothic" w:hAnsi="MS Gothic" w:hint="eastAsia"/>
                  </w:rPr>
                  <w:t>☐</w:t>
                </w:r>
              </w:sdtContent>
            </w:sdt>
          </w:p>
        </w:tc>
      </w:tr>
      <w:tr w:rsidR="00E13D92" w14:paraId="6D1E0A81" w14:textId="77777777" w:rsidTr="00F6070E">
        <w:tc>
          <w:tcPr>
            <w:tcW w:w="8370" w:type="dxa"/>
            <w:tcBorders>
              <w:right w:val="nil"/>
            </w:tcBorders>
          </w:tcPr>
          <w:p w14:paraId="332C263E" w14:textId="4FBA26B5" w:rsidR="00E13D92" w:rsidRDefault="00E13D92" w:rsidP="00F6070E">
            <w:pPr>
              <w:spacing w:before="60" w:after="60"/>
              <w:rPr>
                <w:b/>
                <w:bCs/>
              </w:rPr>
            </w:pPr>
            <w:r>
              <w:rPr>
                <w:b/>
                <w:bCs/>
              </w:rPr>
              <w:t xml:space="preserve">If none of the boxes are checked, proceed to </w:t>
            </w:r>
            <w:hyperlink w:anchor="ResearchFDA" w:history="1">
              <w:r w:rsidRPr="00E13D92">
                <w:rPr>
                  <w:rStyle w:val="Hyperlink"/>
                  <w:b/>
                  <w:bCs/>
                </w:rPr>
                <w:t>Section A2</w:t>
              </w:r>
            </w:hyperlink>
            <w:r>
              <w:rPr>
                <w:b/>
                <w:bCs/>
              </w:rPr>
              <w:t>.</w:t>
            </w:r>
          </w:p>
          <w:p w14:paraId="481DE0D5" w14:textId="0DA958AA" w:rsidR="00E13D92" w:rsidRDefault="00E13D92" w:rsidP="00F6070E">
            <w:pPr>
              <w:spacing w:before="60" w:after="60"/>
              <w:rPr>
                <w:b/>
                <w:bCs/>
              </w:rPr>
            </w:pPr>
            <w:r>
              <w:rPr>
                <w:b/>
                <w:bCs/>
              </w:rPr>
              <w:t xml:space="preserve">If the project is limited to one or more of the activities listed </w:t>
            </w:r>
            <w:r w:rsidR="0081783E">
              <w:rPr>
                <w:b/>
                <w:bCs/>
              </w:rPr>
              <w:t>in this table</w:t>
            </w:r>
            <w:r>
              <w:rPr>
                <w:b/>
                <w:bCs/>
              </w:rPr>
              <w:t>, it is not subject to FDA regulations</w:t>
            </w:r>
            <w:r w:rsidR="008250F0">
              <w:rPr>
                <w:b/>
                <w:bCs/>
              </w:rPr>
              <w:t xml:space="preserve"> -</w:t>
            </w:r>
            <w:r>
              <w:rPr>
                <w:b/>
                <w:bCs/>
              </w:rPr>
              <w:t xml:space="preserve"> </w:t>
            </w:r>
            <w:r w:rsidR="008250F0">
              <w:rPr>
                <w:b/>
                <w:bCs/>
              </w:rPr>
              <w:t>p</w:t>
            </w:r>
            <w:r>
              <w:rPr>
                <w:b/>
                <w:bCs/>
              </w:rPr>
              <w:t xml:space="preserve">roceed to </w:t>
            </w:r>
            <w:hyperlink w:anchor="CommonRule" w:history="1">
              <w:r>
                <w:rPr>
                  <w:rStyle w:val="Hyperlink"/>
                </w:rPr>
                <w:t>S</w:t>
              </w:r>
              <w:r w:rsidRPr="00E13D92">
                <w:rPr>
                  <w:rStyle w:val="Hyperlink"/>
                  <w:b/>
                  <w:bCs/>
                </w:rPr>
                <w:t>ection B</w:t>
              </w:r>
            </w:hyperlink>
            <w:r>
              <w:rPr>
                <w:b/>
                <w:bCs/>
              </w:rPr>
              <w:t xml:space="preserve"> to assess the activity against the Common Rule.</w:t>
            </w:r>
          </w:p>
        </w:tc>
        <w:tc>
          <w:tcPr>
            <w:tcW w:w="990" w:type="dxa"/>
            <w:tcBorders>
              <w:left w:val="nil"/>
            </w:tcBorders>
            <w:vAlign w:val="center"/>
          </w:tcPr>
          <w:p w14:paraId="3D472332" w14:textId="77777777" w:rsidR="00E13D92" w:rsidRDefault="00E13D92" w:rsidP="00F6070E">
            <w:pPr>
              <w:jc w:val="center"/>
            </w:pPr>
          </w:p>
        </w:tc>
      </w:tr>
    </w:tbl>
    <w:p w14:paraId="58B98B57" w14:textId="53093202" w:rsidR="00E13D92" w:rsidRDefault="00BD4430" w:rsidP="00BD4430">
      <w:pPr>
        <w:spacing w:after="120"/>
        <w:ind w:right="360"/>
        <w:jc w:val="right"/>
        <w:rPr>
          <w:b/>
          <w:bCs/>
        </w:rPr>
      </w:pPr>
      <w:hyperlink w:anchor="Top" w:history="1">
        <w:r w:rsidRPr="00BD4430">
          <w:rPr>
            <w:rStyle w:val="Hyperlink"/>
            <w:b/>
            <w:bCs/>
          </w:rPr>
          <w:t>[top]</w:t>
        </w:r>
      </w:hyperlink>
    </w:p>
    <w:p w14:paraId="22D0604D" w14:textId="77777777" w:rsidR="00BD4430" w:rsidRPr="00BD4430" w:rsidRDefault="00BD4430" w:rsidP="00BD4430">
      <w:pPr>
        <w:ind w:right="360"/>
        <w:jc w:val="right"/>
        <w:rPr>
          <w:b/>
          <w:bCs/>
        </w:rPr>
      </w:pPr>
    </w:p>
    <w:p w14:paraId="7143E9CD" w14:textId="0014646B" w:rsidR="00D946F9" w:rsidRPr="00032399" w:rsidRDefault="00D946F9" w:rsidP="00D946F9">
      <w:pPr>
        <w:pStyle w:val="ListParagraph"/>
        <w:numPr>
          <w:ilvl w:val="0"/>
          <w:numId w:val="40"/>
        </w:numPr>
        <w:spacing w:after="120"/>
        <w:ind w:left="360"/>
        <w:contextualSpacing w:val="0"/>
      </w:pPr>
      <w:r w:rsidRPr="00032399">
        <w:rPr>
          <w:b/>
          <w:bCs/>
        </w:rPr>
        <w:t>D</w:t>
      </w:r>
      <w:bookmarkStart w:id="3" w:name="ResearchFDA"/>
      <w:bookmarkEnd w:id="3"/>
      <w:r w:rsidRPr="00032399">
        <w:rPr>
          <w:b/>
          <w:bCs/>
        </w:rPr>
        <w:t xml:space="preserve">efinition of Research. </w:t>
      </w:r>
      <w:r>
        <w:rPr>
          <w:i/>
          <w:iCs/>
        </w:rPr>
        <w:t>Note that the FDA uses the following terms synonymously: clinical investigation, clinical study, clinical research, research, study, and experiment.</w:t>
      </w:r>
      <w:r w:rsidR="00BD4430">
        <w:rPr>
          <w:i/>
          <w:iCs/>
        </w:rPr>
        <w:t xml:space="preserve"> </w:t>
      </w:r>
    </w:p>
    <w:p w14:paraId="556D5715" w14:textId="77777777" w:rsidR="00D946F9" w:rsidRPr="00E666AE" w:rsidRDefault="00D946F9" w:rsidP="00D946F9">
      <w:pPr>
        <w:spacing w:after="120"/>
        <w:ind w:left="360"/>
      </w:pPr>
      <w:r>
        <w:rPr>
          <w:b/>
          <w:bCs/>
        </w:rPr>
        <w:t xml:space="preserve">Clinical investigation </w:t>
      </w:r>
      <w:r>
        <w:t>means any experiment that involves a test article and one or more human subjects, and that either must meet the requirements for prior submission to the Food and Drug Administration under section 505(i) or 529(g)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w:t>
      </w:r>
    </w:p>
    <w:p w14:paraId="5EB292F9" w14:textId="77777777" w:rsidR="00D946F9" w:rsidRDefault="00D946F9" w:rsidP="00D946F9">
      <w:pPr>
        <w:pStyle w:val="ListParagraph"/>
        <w:ind w:left="360"/>
      </w:pPr>
      <w:r>
        <w:t>HSD has established the criteria in the table below to decide whether an activity meets the FDA definition of a clinical investigation.</w:t>
      </w:r>
    </w:p>
    <w:p w14:paraId="03BD4C34" w14:textId="10612276" w:rsidR="00D946F9" w:rsidRDefault="00D946F9" w:rsidP="00D946F9"/>
    <w:p w14:paraId="7973D464" w14:textId="77777777" w:rsidR="0081783E" w:rsidRDefault="0081783E" w:rsidP="00D946F9"/>
    <w:tbl>
      <w:tblPr>
        <w:tblStyle w:val="TableGrid"/>
        <w:tblW w:w="9360" w:type="dxa"/>
        <w:tblInd w:w="355" w:type="dxa"/>
        <w:tblLook w:val="04A0" w:firstRow="1" w:lastRow="0" w:firstColumn="1" w:lastColumn="0" w:noHBand="0" w:noVBand="1"/>
      </w:tblPr>
      <w:tblGrid>
        <w:gridCol w:w="8370"/>
        <w:gridCol w:w="990"/>
      </w:tblGrid>
      <w:tr w:rsidR="00D946F9" w14:paraId="007691C5" w14:textId="77777777" w:rsidTr="00F6070E">
        <w:tc>
          <w:tcPr>
            <w:tcW w:w="8370" w:type="dxa"/>
            <w:shd w:val="clear" w:color="auto" w:fill="5200A4"/>
          </w:tcPr>
          <w:p w14:paraId="10211008" w14:textId="77777777" w:rsidR="00D946F9" w:rsidRPr="00DC057E" w:rsidRDefault="00D946F9" w:rsidP="00F6070E">
            <w:pPr>
              <w:rPr>
                <w:b/>
                <w:bCs/>
              </w:rPr>
            </w:pPr>
            <w:r>
              <w:rPr>
                <w:b/>
                <w:bCs/>
              </w:rPr>
              <w:lastRenderedPageBreak/>
              <w:t xml:space="preserve">CHECK ALL BOXES THAT APPLY. </w:t>
            </w:r>
            <w:r>
              <w:t xml:space="preserve"> </w:t>
            </w:r>
          </w:p>
        </w:tc>
        <w:tc>
          <w:tcPr>
            <w:tcW w:w="990" w:type="dxa"/>
            <w:shd w:val="clear" w:color="auto" w:fill="5200A4"/>
            <w:vAlign w:val="center"/>
          </w:tcPr>
          <w:p w14:paraId="5F70ABAA" w14:textId="77777777" w:rsidR="00D946F9" w:rsidRPr="009B666D" w:rsidRDefault="00D946F9" w:rsidP="00F6070E">
            <w:pPr>
              <w:jc w:val="center"/>
              <w:rPr>
                <w:b/>
                <w:bCs/>
              </w:rPr>
            </w:pPr>
            <w:r>
              <w:rPr>
                <w:b/>
                <w:bCs/>
              </w:rPr>
              <w:t>Met</w:t>
            </w:r>
          </w:p>
        </w:tc>
      </w:tr>
      <w:tr w:rsidR="00D946F9" w14:paraId="5E226067" w14:textId="77777777" w:rsidTr="00F6070E">
        <w:tc>
          <w:tcPr>
            <w:tcW w:w="8370" w:type="dxa"/>
            <w:tcBorders>
              <w:bottom w:val="single" w:sz="4" w:space="0" w:color="auto"/>
            </w:tcBorders>
          </w:tcPr>
          <w:p w14:paraId="5FC2F374" w14:textId="451B6EA0" w:rsidR="00D946F9" w:rsidRPr="0086494A" w:rsidRDefault="00ED68AF" w:rsidP="00F6070E">
            <w:pPr>
              <w:pStyle w:val="ListParagraph"/>
              <w:spacing w:before="60" w:after="60"/>
              <w:ind w:left="347" w:hanging="360"/>
            </w:pPr>
            <w:r>
              <w:t>2</w:t>
            </w:r>
            <w:r w:rsidR="00D946F9">
              <w:t xml:space="preserve">.1 The </w:t>
            </w:r>
            <w:r w:rsidR="00D946F9" w:rsidRPr="00E666AE">
              <w:rPr>
                <w:i/>
                <w:iCs/>
              </w:rPr>
              <w:t xml:space="preserve">intent </w:t>
            </w:r>
            <w:r w:rsidR="00D946F9">
              <w:t xml:space="preserve">of the activity is to develop information about </w:t>
            </w:r>
            <w:r w:rsidR="0081783E">
              <w:t>a</w:t>
            </w:r>
            <w:r w:rsidR="00D946F9">
              <w:t xml:space="preserve"> test article for submission to, or inspection by, the FDA in connection with any type of </w:t>
            </w:r>
            <w:r w:rsidR="00D946F9" w:rsidRPr="00E666AE">
              <w:rPr>
                <w:i/>
                <w:iCs/>
              </w:rPr>
              <w:t>premarket review</w:t>
            </w:r>
            <w:r w:rsidR="00D946F9">
              <w:t xml:space="preserve"> by the FDA.</w:t>
            </w:r>
          </w:p>
        </w:tc>
        <w:tc>
          <w:tcPr>
            <w:tcW w:w="990" w:type="dxa"/>
            <w:vAlign w:val="center"/>
          </w:tcPr>
          <w:p w14:paraId="55028E85" w14:textId="77777777" w:rsidR="00D946F9" w:rsidRDefault="00000000" w:rsidP="00F6070E">
            <w:pPr>
              <w:jc w:val="center"/>
            </w:pPr>
            <w:sdt>
              <w:sdtPr>
                <w:id w:val="488752538"/>
                <w14:checkbox>
                  <w14:checked w14:val="0"/>
                  <w14:checkedState w14:val="2612" w14:font="MS Gothic"/>
                  <w14:uncheckedState w14:val="2610" w14:font="MS Gothic"/>
                </w14:checkbox>
              </w:sdtPr>
              <w:sdtContent>
                <w:r w:rsidR="00D946F9">
                  <w:rPr>
                    <w:rFonts w:ascii="MS Gothic" w:eastAsia="MS Gothic" w:hAnsi="MS Gothic" w:hint="eastAsia"/>
                  </w:rPr>
                  <w:t>☐</w:t>
                </w:r>
              </w:sdtContent>
            </w:sdt>
          </w:p>
        </w:tc>
      </w:tr>
      <w:tr w:rsidR="00D946F9" w14:paraId="637E573A" w14:textId="77777777" w:rsidTr="00F6070E">
        <w:tc>
          <w:tcPr>
            <w:tcW w:w="8370" w:type="dxa"/>
            <w:tcBorders>
              <w:right w:val="nil"/>
            </w:tcBorders>
            <w:shd w:val="clear" w:color="auto" w:fill="EBEBFF"/>
          </w:tcPr>
          <w:p w14:paraId="67D93252" w14:textId="77777777" w:rsidR="00D946F9" w:rsidRDefault="00D946F9" w:rsidP="00F6070E">
            <w:pPr>
              <w:spacing w:before="60" w:after="60"/>
              <w:ind w:left="345"/>
              <w:rPr>
                <w:b/>
                <w:bCs/>
              </w:rPr>
            </w:pPr>
            <w:r>
              <w:rPr>
                <w:b/>
                <w:bCs/>
              </w:rPr>
              <w:t>+ Guidance</w:t>
            </w:r>
          </w:p>
          <w:p w14:paraId="126C6B01" w14:textId="77777777" w:rsidR="00D946F9" w:rsidRDefault="00D946F9" w:rsidP="00F6070E">
            <w:pPr>
              <w:pStyle w:val="ListParagraph"/>
              <w:numPr>
                <w:ilvl w:val="0"/>
                <w:numId w:val="43"/>
              </w:numPr>
              <w:spacing w:before="60" w:after="60"/>
              <w:ind w:left="707" w:hanging="180"/>
            </w:pPr>
            <w:r>
              <w:rPr>
                <w:b/>
                <w:bCs/>
              </w:rPr>
              <w:t>Intent:</w:t>
            </w:r>
            <w:r>
              <w:t xml:space="preserve"> likely to; plan to</w:t>
            </w:r>
          </w:p>
          <w:p w14:paraId="3C38611D" w14:textId="77777777" w:rsidR="00D946F9" w:rsidRDefault="00D946F9" w:rsidP="00F6070E">
            <w:pPr>
              <w:pStyle w:val="ListParagraph"/>
              <w:numPr>
                <w:ilvl w:val="0"/>
                <w:numId w:val="43"/>
              </w:numPr>
              <w:spacing w:before="60" w:after="60"/>
              <w:ind w:left="707" w:hanging="180"/>
            </w:pPr>
            <w:r>
              <w:rPr>
                <w:b/>
                <w:bCs/>
              </w:rPr>
              <w:t>Premarket review (research or marketing permit):</w:t>
            </w:r>
            <w:r>
              <w:t xml:space="preserve"> Review of any of the following: investigational new drug (IND) application; investigational device exemption (IDE); humanitarian device exemption (HDE); new drug application (NDA); biologics license application; device premarket notification (510k notification); device reclassification petition; or premarket approval application (PMA)</w:t>
            </w:r>
          </w:p>
          <w:p w14:paraId="59F27C69" w14:textId="77777777" w:rsidR="0081783E" w:rsidRDefault="0081783E" w:rsidP="0081783E">
            <w:pPr>
              <w:pStyle w:val="ListParagraph"/>
              <w:numPr>
                <w:ilvl w:val="0"/>
                <w:numId w:val="43"/>
              </w:numPr>
              <w:spacing w:before="60" w:after="60"/>
              <w:ind w:left="707" w:hanging="180"/>
            </w:pPr>
            <w:r>
              <w:rPr>
                <w:b/>
                <w:bCs/>
              </w:rPr>
              <w:t>Test article:</w:t>
            </w:r>
            <w:r>
              <w:t xml:space="preserve"> Any product that is regulated by the FDA, including:</w:t>
            </w:r>
          </w:p>
          <w:p w14:paraId="469BB10B" w14:textId="77777777" w:rsidR="0081783E" w:rsidRDefault="0081783E" w:rsidP="0081783E">
            <w:pPr>
              <w:pStyle w:val="ListParagraph"/>
              <w:numPr>
                <w:ilvl w:val="1"/>
                <w:numId w:val="43"/>
              </w:numPr>
              <w:spacing w:before="60" w:after="60"/>
              <w:ind w:left="972" w:hanging="185"/>
            </w:pPr>
            <w:r>
              <w:t>Foods; dietary supplements; infant formulas; food and color additives; drugs for human use; biological products for human use; certain electronic products used for human health care</w:t>
            </w:r>
          </w:p>
          <w:p w14:paraId="6451B876" w14:textId="5DE3D839" w:rsidR="0081783E" w:rsidRDefault="0081783E" w:rsidP="0081783E">
            <w:pPr>
              <w:pStyle w:val="ListParagraph"/>
              <w:numPr>
                <w:ilvl w:val="1"/>
                <w:numId w:val="43"/>
              </w:numPr>
              <w:spacing w:before="60" w:after="60"/>
              <w:ind w:left="973"/>
            </w:pPr>
            <w:r>
              <w:t>Some software and mobile medical devices are regulated by the FDA</w:t>
            </w:r>
          </w:p>
        </w:tc>
        <w:tc>
          <w:tcPr>
            <w:tcW w:w="990" w:type="dxa"/>
            <w:tcBorders>
              <w:left w:val="nil"/>
            </w:tcBorders>
            <w:shd w:val="clear" w:color="auto" w:fill="EBEBFF"/>
            <w:vAlign w:val="center"/>
          </w:tcPr>
          <w:p w14:paraId="2E1E826D" w14:textId="77777777" w:rsidR="00D946F9" w:rsidRDefault="00D946F9" w:rsidP="00F6070E">
            <w:pPr>
              <w:jc w:val="center"/>
            </w:pPr>
          </w:p>
        </w:tc>
      </w:tr>
      <w:tr w:rsidR="00D946F9" w14:paraId="0FE4A985" w14:textId="77777777" w:rsidTr="00F6070E">
        <w:tc>
          <w:tcPr>
            <w:tcW w:w="8370" w:type="dxa"/>
          </w:tcPr>
          <w:p w14:paraId="00E53ECA" w14:textId="486FD8E0" w:rsidR="00D946F9" w:rsidRPr="00951AC8" w:rsidRDefault="00ED68AF" w:rsidP="00F6070E">
            <w:pPr>
              <w:spacing w:before="60" w:after="60"/>
              <w:ind w:left="339" w:hanging="352"/>
            </w:pPr>
            <w:r>
              <w:t>2</w:t>
            </w:r>
            <w:r w:rsidR="00D946F9">
              <w:t xml:space="preserve">.2 The activity </w:t>
            </w:r>
            <w:r w:rsidR="00D946F9" w:rsidRPr="00E666AE">
              <w:rPr>
                <w:i/>
                <w:iCs/>
              </w:rPr>
              <w:t xml:space="preserve">involves </w:t>
            </w:r>
            <w:r w:rsidR="00D946F9">
              <w:t xml:space="preserve">the prospective physical use of a </w:t>
            </w:r>
            <w:r w:rsidR="00D946F9" w:rsidRPr="00E666AE">
              <w:rPr>
                <w:i/>
                <w:iCs/>
              </w:rPr>
              <w:t xml:space="preserve">test </w:t>
            </w:r>
            <w:r w:rsidR="00D946F9">
              <w:t>article regulated by the FDA in a way this is not completely up to the discretion of a clinical practitioner.</w:t>
            </w:r>
          </w:p>
        </w:tc>
        <w:tc>
          <w:tcPr>
            <w:tcW w:w="990" w:type="dxa"/>
            <w:tcBorders>
              <w:bottom w:val="single" w:sz="4" w:space="0" w:color="auto"/>
            </w:tcBorders>
            <w:vAlign w:val="center"/>
          </w:tcPr>
          <w:p w14:paraId="75A68261" w14:textId="77777777" w:rsidR="00D946F9" w:rsidRDefault="00000000" w:rsidP="00F6070E">
            <w:pPr>
              <w:jc w:val="center"/>
            </w:pPr>
            <w:sdt>
              <w:sdtPr>
                <w:id w:val="192889053"/>
                <w14:checkbox>
                  <w14:checked w14:val="0"/>
                  <w14:checkedState w14:val="2612" w14:font="MS Gothic"/>
                  <w14:uncheckedState w14:val="2610" w14:font="MS Gothic"/>
                </w14:checkbox>
              </w:sdtPr>
              <w:sdtContent>
                <w:r w:rsidR="00D946F9">
                  <w:rPr>
                    <w:rFonts w:ascii="MS Gothic" w:eastAsia="MS Gothic" w:hAnsi="MS Gothic" w:hint="eastAsia"/>
                  </w:rPr>
                  <w:t>☐</w:t>
                </w:r>
              </w:sdtContent>
            </w:sdt>
          </w:p>
        </w:tc>
      </w:tr>
      <w:tr w:rsidR="00D946F9" w14:paraId="23E79518" w14:textId="77777777" w:rsidTr="00F6070E">
        <w:tc>
          <w:tcPr>
            <w:tcW w:w="8370" w:type="dxa"/>
            <w:tcBorders>
              <w:right w:val="nil"/>
            </w:tcBorders>
            <w:shd w:val="clear" w:color="auto" w:fill="EBEBFF"/>
          </w:tcPr>
          <w:p w14:paraId="52481015" w14:textId="77777777" w:rsidR="00D946F9" w:rsidRDefault="00D946F9" w:rsidP="00F6070E">
            <w:pPr>
              <w:spacing w:before="60" w:after="60"/>
              <w:ind w:left="345"/>
              <w:rPr>
                <w:b/>
                <w:bCs/>
              </w:rPr>
            </w:pPr>
            <w:r>
              <w:rPr>
                <w:b/>
                <w:bCs/>
              </w:rPr>
              <w:t>+ Guidance</w:t>
            </w:r>
          </w:p>
          <w:p w14:paraId="44A5D92F" w14:textId="3DFA59C9" w:rsidR="00D946F9" w:rsidRPr="0081783E" w:rsidRDefault="00D946F9" w:rsidP="0081783E">
            <w:pPr>
              <w:pStyle w:val="ListParagraph"/>
              <w:numPr>
                <w:ilvl w:val="0"/>
                <w:numId w:val="43"/>
              </w:numPr>
              <w:spacing w:before="60" w:after="60"/>
              <w:ind w:left="707" w:hanging="180"/>
            </w:pPr>
            <w:r>
              <w:rPr>
                <w:b/>
                <w:bCs/>
              </w:rPr>
              <w:t xml:space="preserve">Involves: </w:t>
            </w:r>
            <w:r>
              <w:t>The prospective physical use of a test article in a way that is not completely up to the discretion of a clinical practitioner</w:t>
            </w:r>
          </w:p>
        </w:tc>
        <w:tc>
          <w:tcPr>
            <w:tcW w:w="990" w:type="dxa"/>
            <w:tcBorders>
              <w:left w:val="nil"/>
            </w:tcBorders>
            <w:shd w:val="clear" w:color="auto" w:fill="EBEBFF"/>
            <w:vAlign w:val="center"/>
          </w:tcPr>
          <w:p w14:paraId="2989BB6A" w14:textId="77777777" w:rsidR="00D946F9" w:rsidRDefault="00D946F9" w:rsidP="00F6070E">
            <w:pPr>
              <w:jc w:val="center"/>
            </w:pPr>
          </w:p>
        </w:tc>
      </w:tr>
      <w:tr w:rsidR="00D946F9" w14:paraId="1A63101F" w14:textId="77777777" w:rsidTr="00F6070E">
        <w:tc>
          <w:tcPr>
            <w:tcW w:w="8370" w:type="dxa"/>
            <w:tcBorders>
              <w:right w:val="nil"/>
            </w:tcBorders>
          </w:tcPr>
          <w:p w14:paraId="494C8319" w14:textId="77777777" w:rsidR="00D946F9" w:rsidRDefault="00D946F9" w:rsidP="00F6070E">
            <w:pPr>
              <w:spacing w:before="60" w:after="60"/>
              <w:rPr>
                <w:b/>
                <w:bCs/>
              </w:rPr>
            </w:pPr>
            <w:r>
              <w:rPr>
                <w:b/>
                <w:bCs/>
              </w:rPr>
              <w:t>If both boxes are checked, the activity is research according to the FDA definition</w:t>
            </w:r>
            <w:r w:rsidR="008250F0">
              <w:rPr>
                <w:b/>
                <w:bCs/>
              </w:rPr>
              <w:t xml:space="preserve"> - p</w:t>
            </w:r>
            <w:r>
              <w:rPr>
                <w:b/>
                <w:bCs/>
              </w:rPr>
              <w:t xml:space="preserve">roceed to section </w:t>
            </w:r>
            <w:hyperlink w:anchor="HSRFDA" w:history="1">
              <w:r w:rsidR="008250F0">
                <w:rPr>
                  <w:rStyle w:val="Hyperlink"/>
                  <w:b/>
                  <w:bCs/>
                </w:rPr>
                <w:t>A</w:t>
              </w:r>
              <w:r w:rsidR="006D60EF">
                <w:rPr>
                  <w:rStyle w:val="Hyperlink"/>
                  <w:b/>
                  <w:bCs/>
                </w:rPr>
                <w:t>3</w:t>
              </w:r>
            </w:hyperlink>
            <w:r>
              <w:rPr>
                <w:b/>
                <w:bCs/>
              </w:rPr>
              <w:t>.</w:t>
            </w:r>
          </w:p>
          <w:p w14:paraId="064F8D6B" w14:textId="6E2D57B0" w:rsidR="00B64D31" w:rsidRDefault="00B64D31" w:rsidP="00F6070E">
            <w:pPr>
              <w:spacing w:before="60" w:after="60"/>
              <w:rPr>
                <w:b/>
                <w:bCs/>
              </w:rPr>
            </w:pPr>
            <w:r>
              <w:rPr>
                <w:b/>
                <w:bCs/>
              </w:rPr>
              <w:t xml:space="preserve">For all other scenarios, the activity is not research according to the FDA definition - proceed to </w:t>
            </w:r>
            <w:hyperlink w:anchor="CommonRule" w:history="1">
              <w:r>
                <w:rPr>
                  <w:rStyle w:val="Hyperlink"/>
                </w:rPr>
                <w:t>S</w:t>
              </w:r>
              <w:r w:rsidRPr="00E13D92">
                <w:rPr>
                  <w:rStyle w:val="Hyperlink"/>
                  <w:b/>
                  <w:bCs/>
                </w:rPr>
                <w:t>ection B</w:t>
              </w:r>
            </w:hyperlink>
            <w:r>
              <w:rPr>
                <w:b/>
                <w:bCs/>
              </w:rPr>
              <w:t xml:space="preserve"> to assess the activity against the Common Rule.</w:t>
            </w:r>
          </w:p>
        </w:tc>
        <w:tc>
          <w:tcPr>
            <w:tcW w:w="990" w:type="dxa"/>
            <w:tcBorders>
              <w:left w:val="nil"/>
            </w:tcBorders>
            <w:vAlign w:val="center"/>
          </w:tcPr>
          <w:p w14:paraId="34F0F13A" w14:textId="77777777" w:rsidR="00D946F9" w:rsidRDefault="00D946F9" w:rsidP="00F6070E">
            <w:pPr>
              <w:jc w:val="center"/>
            </w:pPr>
          </w:p>
        </w:tc>
      </w:tr>
    </w:tbl>
    <w:p w14:paraId="656E24C4" w14:textId="2F8216A6" w:rsidR="00D946F9" w:rsidRDefault="00BD4430" w:rsidP="00BD4430">
      <w:pPr>
        <w:ind w:right="360"/>
        <w:jc w:val="right"/>
        <w:rPr>
          <w:b/>
          <w:bCs/>
        </w:rPr>
      </w:pPr>
      <w:hyperlink w:anchor="Top" w:history="1">
        <w:r w:rsidRPr="00BD4430">
          <w:rPr>
            <w:rStyle w:val="Hyperlink"/>
            <w:b/>
            <w:bCs/>
          </w:rPr>
          <w:t>[top]</w:t>
        </w:r>
      </w:hyperlink>
    </w:p>
    <w:p w14:paraId="2CABB9F2" w14:textId="77777777" w:rsidR="00BD4430" w:rsidRPr="00BD4430" w:rsidRDefault="00BD4430" w:rsidP="00BD4430">
      <w:pPr>
        <w:ind w:right="360"/>
        <w:jc w:val="right"/>
      </w:pPr>
    </w:p>
    <w:p w14:paraId="4D855330" w14:textId="77777777" w:rsidR="00D946F9" w:rsidRPr="00D344E2" w:rsidRDefault="00D946F9" w:rsidP="00D946F9">
      <w:pPr>
        <w:pStyle w:val="ListParagraph"/>
        <w:numPr>
          <w:ilvl w:val="0"/>
          <w:numId w:val="40"/>
        </w:numPr>
        <w:ind w:left="360"/>
      </w:pPr>
      <w:r w:rsidRPr="00D344E2">
        <w:rPr>
          <w:b/>
          <w:bCs/>
        </w:rPr>
        <w:t>D</w:t>
      </w:r>
      <w:bookmarkStart w:id="4" w:name="HSRFDA"/>
      <w:bookmarkEnd w:id="4"/>
      <w:r w:rsidRPr="00D344E2">
        <w:rPr>
          <w:b/>
          <w:bCs/>
        </w:rPr>
        <w:t xml:space="preserve">efinition of Human Subject. </w:t>
      </w:r>
      <w:r>
        <w:t>Human subject means an individual who is or becomes a participant in research, either as a recipient of the test article or as a control. A subject may be either a healthy individual or a patient.</w:t>
      </w:r>
    </w:p>
    <w:p w14:paraId="0ED52611" w14:textId="77777777" w:rsidR="00D946F9" w:rsidRDefault="00D946F9" w:rsidP="00D946F9">
      <w:pPr>
        <w:pStyle w:val="ListParagraph"/>
        <w:ind w:left="360"/>
        <w:rPr>
          <w:b/>
          <w:bCs/>
        </w:rPr>
      </w:pPr>
    </w:p>
    <w:tbl>
      <w:tblPr>
        <w:tblStyle w:val="TableGrid"/>
        <w:tblW w:w="9360" w:type="dxa"/>
        <w:tblInd w:w="355" w:type="dxa"/>
        <w:tblLook w:val="04A0" w:firstRow="1" w:lastRow="0" w:firstColumn="1" w:lastColumn="0" w:noHBand="0" w:noVBand="1"/>
      </w:tblPr>
      <w:tblGrid>
        <w:gridCol w:w="8370"/>
        <w:gridCol w:w="990"/>
      </w:tblGrid>
      <w:tr w:rsidR="00D946F9" w14:paraId="5A8C9DEF" w14:textId="77777777" w:rsidTr="00F6070E">
        <w:tc>
          <w:tcPr>
            <w:tcW w:w="8370" w:type="dxa"/>
            <w:shd w:val="clear" w:color="auto" w:fill="5200A4"/>
          </w:tcPr>
          <w:p w14:paraId="2222148C" w14:textId="77777777" w:rsidR="00D946F9" w:rsidRPr="00DC057E" w:rsidRDefault="00D946F9" w:rsidP="00F6070E">
            <w:pPr>
              <w:rPr>
                <w:b/>
                <w:bCs/>
              </w:rPr>
            </w:pPr>
            <w:r>
              <w:rPr>
                <w:b/>
                <w:bCs/>
              </w:rPr>
              <w:t xml:space="preserve">CHECK ALL BOXES THAT APPLY. </w:t>
            </w:r>
            <w:r>
              <w:t xml:space="preserve"> </w:t>
            </w:r>
          </w:p>
        </w:tc>
        <w:tc>
          <w:tcPr>
            <w:tcW w:w="990" w:type="dxa"/>
            <w:shd w:val="clear" w:color="auto" w:fill="5200A4"/>
            <w:vAlign w:val="center"/>
          </w:tcPr>
          <w:p w14:paraId="107B0572" w14:textId="77777777" w:rsidR="00D946F9" w:rsidRPr="009B666D" w:rsidRDefault="00D946F9" w:rsidP="00F6070E">
            <w:pPr>
              <w:jc w:val="center"/>
              <w:rPr>
                <w:b/>
                <w:bCs/>
              </w:rPr>
            </w:pPr>
            <w:r>
              <w:rPr>
                <w:b/>
                <w:bCs/>
              </w:rPr>
              <w:t>Met</w:t>
            </w:r>
          </w:p>
        </w:tc>
      </w:tr>
      <w:tr w:rsidR="00D946F9" w14:paraId="2C2B4801" w14:textId="77777777" w:rsidTr="00F6070E">
        <w:tc>
          <w:tcPr>
            <w:tcW w:w="8370" w:type="dxa"/>
            <w:tcBorders>
              <w:bottom w:val="single" w:sz="4" w:space="0" w:color="auto"/>
            </w:tcBorders>
          </w:tcPr>
          <w:p w14:paraId="5F93CA84" w14:textId="316AB392" w:rsidR="00D946F9" w:rsidRPr="0086494A" w:rsidRDefault="00ED68AF" w:rsidP="00F6070E">
            <w:pPr>
              <w:pStyle w:val="ListParagraph"/>
              <w:spacing w:before="60" w:after="60"/>
              <w:ind w:left="347" w:hanging="360"/>
            </w:pPr>
            <w:r>
              <w:t>3</w:t>
            </w:r>
            <w:r w:rsidR="00D946F9">
              <w:t>.1  The research involves a living individual who is or becomes a participant in research, either as a recipient of a test drug, device, in vitro diagnostic</w:t>
            </w:r>
            <w:r w:rsidR="008250F0">
              <w:t>,</w:t>
            </w:r>
            <w:r w:rsidR="00D946F9">
              <w:t xml:space="preserve"> or biologic or as a control.</w:t>
            </w:r>
          </w:p>
        </w:tc>
        <w:tc>
          <w:tcPr>
            <w:tcW w:w="990" w:type="dxa"/>
            <w:vAlign w:val="center"/>
          </w:tcPr>
          <w:p w14:paraId="43CD0AFC" w14:textId="77777777" w:rsidR="00D946F9" w:rsidRDefault="00000000" w:rsidP="00F6070E">
            <w:pPr>
              <w:jc w:val="center"/>
            </w:pPr>
            <w:sdt>
              <w:sdtPr>
                <w:id w:val="300898869"/>
                <w14:checkbox>
                  <w14:checked w14:val="0"/>
                  <w14:checkedState w14:val="2612" w14:font="MS Gothic"/>
                  <w14:uncheckedState w14:val="2610" w14:font="MS Gothic"/>
                </w14:checkbox>
              </w:sdtPr>
              <w:sdtContent>
                <w:r w:rsidR="00D946F9">
                  <w:rPr>
                    <w:rFonts w:ascii="MS Gothic" w:eastAsia="MS Gothic" w:hAnsi="MS Gothic" w:hint="eastAsia"/>
                  </w:rPr>
                  <w:t>☐</w:t>
                </w:r>
              </w:sdtContent>
            </w:sdt>
          </w:p>
        </w:tc>
      </w:tr>
      <w:tr w:rsidR="00D946F9" w14:paraId="5A6BD7DA" w14:textId="77777777" w:rsidTr="00F6070E">
        <w:tc>
          <w:tcPr>
            <w:tcW w:w="8370" w:type="dxa"/>
          </w:tcPr>
          <w:p w14:paraId="13761BC4" w14:textId="0E0095CC" w:rsidR="00D946F9" w:rsidRPr="00951AC8" w:rsidRDefault="00ED68AF" w:rsidP="00F6070E">
            <w:pPr>
              <w:spacing w:before="60" w:after="60"/>
              <w:ind w:left="339" w:hanging="352"/>
            </w:pPr>
            <w:r>
              <w:t>3</w:t>
            </w:r>
            <w:r w:rsidR="00D946F9">
              <w:t xml:space="preserve">.2 </w:t>
            </w:r>
            <w:r w:rsidR="00160E30">
              <w:t xml:space="preserve"> </w:t>
            </w:r>
            <w:r w:rsidR="00D946F9">
              <w:t>An individual on whose specimen an investigational device or control is used in the research, even if the specimen is anonymous.</w:t>
            </w:r>
          </w:p>
        </w:tc>
        <w:tc>
          <w:tcPr>
            <w:tcW w:w="990" w:type="dxa"/>
            <w:tcBorders>
              <w:bottom w:val="single" w:sz="4" w:space="0" w:color="auto"/>
            </w:tcBorders>
            <w:vAlign w:val="center"/>
          </w:tcPr>
          <w:p w14:paraId="3513FA08" w14:textId="77777777" w:rsidR="00D946F9" w:rsidRDefault="00000000" w:rsidP="00F6070E">
            <w:pPr>
              <w:jc w:val="center"/>
            </w:pPr>
            <w:sdt>
              <w:sdtPr>
                <w:id w:val="13587973"/>
                <w14:checkbox>
                  <w14:checked w14:val="0"/>
                  <w14:checkedState w14:val="2612" w14:font="MS Gothic"/>
                  <w14:uncheckedState w14:val="2610" w14:font="MS Gothic"/>
                </w14:checkbox>
              </w:sdtPr>
              <w:sdtContent>
                <w:r w:rsidR="00D946F9">
                  <w:rPr>
                    <w:rFonts w:ascii="MS Gothic" w:eastAsia="MS Gothic" w:hAnsi="MS Gothic" w:hint="eastAsia"/>
                  </w:rPr>
                  <w:t>☐</w:t>
                </w:r>
              </w:sdtContent>
            </w:sdt>
          </w:p>
        </w:tc>
      </w:tr>
      <w:tr w:rsidR="00D946F9" w14:paraId="3C4DFAC0" w14:textId="77777777" w:rsidTr="00F6070E">
        <w:tc>
          <w:tcPr>
            <w:tcW w:w="8370" w:type="dxa"/>
            <w:tcBorders>
              <w:right w:val="nil"/>
            </w:tcBorders>
          </w:tcPr>
          <w:p w14:paraId="75A9F46B" w14:textId="77777777" w:rsidR="00D946F9" w:rsidRDefault="00D946F9" w:rsidP="00F6070E">
            <w:pPr>
              <w:spacing w:before="60" w:after="60"/>
              <w:rPr>
                <w:b/>
                <w:bCs/>
              </w:rPr>
            </w:pPr>
            <w:r>
              <w:rPr>
                <w:b/>
                <w:bCs/>
              </w:rPr>
              <w:t xml:space="preserve">If either box is checked, the activity involves human subjects according to the FDA definition </w:t>
            </w:r>
            <w:r w:rsidR="008250F0">
              <w:rPr>
                <w:b/>
                <w:bCs/>
              </w:rPr>
              <w:t>-</w:t>
            </w:r>
            <w:r>
              <w:rPr>
                <w:b/>
                <w:bCs/>
              </w:rPr>
              <w:t xml:space="preserve"> </w:t>
            </w:r>
            <w:hyperlink r:id="rId17" w:history="1">
              <w:r w:rsidRPr="008250F0">
                <w:rPr>
                  <w:rStyle w:val="Hyperlink"/>
                  <w:b/>
                  <w:bCs/>
                </w:rPr>
                <w:t>IRB review is required</w:t>
              </w:r>
            </w:hyperlink>
            <w:r>
              <w:rPr>
                <w:b/>
                <w:bCs/>
              </w:rPr>
              <w:t>.</w:t>
            </w:r>
          </w:p>
          <w:p w14:paraId="7644A2F4" w14:textId="620667C5" w:rsidR="008250F0" w:rsidRDefault="008250F0" w:rsidP="00F6070E">
            <w:pPr>
              <w:spacing w:before="60" w:after="60"/>
              <w:rPr>
                <w:b/>
                <w:bCs/>
              </w:rPr>
            </w:pPr>
            <w:r>
              <w:rPr>
                <w:b/>
                <w:bCs/>
              </w:rPr>
              <w:t xml:space="preserve">If neither box is checked, the activity </w:t>
            </w:r>
            <w:r w:rsidR="00160E30">
              <w:rPr>
                <w:b/>
                <w:bCs/>
              </w:rPr>
              <w:t>does</w:t>
            </w:r>
            <w:r>
              <w:rPr>
                <w:b/>
                <w:bCs/>
              </w:rPr>
              <w:t xml:space="preserve"> not </w:t>
            </w:r>
            <w:r w:rsidR="00160E30">
              <w:rPr>
                <w:b/>
                <w:bCs/>
              </w:rPr>
              <w:t xml:space="preserve">involve </w:t>
            </w:r>
            <w:r>
              <w:rPr>
                <w:b/>
                <w:bCs/>
              </w:rPr>
              <w:t xml:space="preserve">human subjects according to the FDA definition – proceed to </w:t>
            </w:r>
            <w:hyperlink w:anchor="CommonRule" w:history="1">
              <w:r w:rsidRPr="008250F0">
                <w:rPr>
                  <w:rStyle w:val="Hyperlink"/>
                  <w:b/>
                  <w:bCs/>
                </w:rPr>
                <w:t>Section B</w:t>
              </w:r>
            </w:hyperlink>
            <w:r>
              <w:rPr>
                <w:b/>
                <w:bCs/>
              </w:rPr>
              <w:t xml:space="preserve"> to consider the Common Rule.</w:t>
            </w:r>
          </w:p>
        </w:tc>
        <w:tc>
          <w:tcPr>
            <w:tcW w:w="990" w:type="dxa"/>
            <w:tcBorders>
              <w:left w:val="nil"/>
            </w:tcBorders>
            <w:vAlign w:val="center"/>
          </w:tcPr>
          <w:p w14:paraId="422C65E6" w14:textId="77777777" w:rsidR="00D946F9" w:rsidRDefault="00D946F9" w:rsidP="00F6070E">
            <w:pPr>
              <w:jc w:val="center"/>
            </w:pPr>
          </w:p>
        </w:tc>
      </w:tr>
    </w:tbl>
    <w:p w14:paraId="118B98BC" w14:textId="750920ED" w:rsidR="00D946F9" w:rsidRDefault="00BD4430" w:rsidP="00BD4430">
      <w:pPr>
        <w:ind w:right="360"/>
        <w:jc w:val="right"/>
        <w:rPr>
          <w:b/>
          <w:bCs/>
        </w:rPr>
      </w:pPr>
      <w:hyperlink w:anchor="Top" w:history="1">
        <w:r w:rsidRPr="00BD4430">
          <w:rPr>
            <w:rStyle w:val="Hyperlink"/>
            <w:b/>
            <w:bCs/>
          </w:rPr>
          <w:t>[top]</w:t>
        </w:r>
      </w:hyperlink>
    </w:p>
    <w:p w14:paraId="5DD0B8C2" w14:textId="2B4CE104" w:rsidR="00BD4430" w:rsidRDefault="00BD4430" w:rsidP="00BD4430">
      <w:pPr>
        <w:ind w:right="360"/>
        <w:jc w:val="right"/>
        <w:rPr>
          <w:b/>
          <w:bCs/>
        </w:rPr>
      </w:pP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795F35F5" w:rsidR="00215B3F" w:rsidRPr="00BC2B7A" w:rsidRDefault="00BC2B7A" w:rsidP="00934304">
            <w:pPr>
              <w:pStyle w:val="ListParagraph"/>
              <w:numPr>
                <w:ilvl w:val="0"/>
                <w:numId w:val="33"/>
              </w:numPr>
              <w:ind w:left="333"/>
            </w:pPr>
            <w:bookmarkStart w:id="5" w:name="CommonRule"/>
            <w:bookmarkEnd w:id="5"/>
            <w:r w:rsidRPr="00934304">
              <w:rPr>
                <w:b/>
                <w:bCs/>
              </w:rPr>
              <w:lastRenderedPageBreak/>
              <w:t xml:space="preserve">THE COMMON RULE </w:t>
            </w:r>
            <w:r>
              <w:t>(45 CFR 46 Subpart A)</w:t>
            </w:r>
          </w:p>
        </w:tc>
      </w:tr>
    </w:tbl>
    <w:p w14:paraId="19624FE3" w14:textId="40E2105D" w:rsidR="00215B3F" w:rsidRDefault="00215B3F">
      <w:pPr>
        <w:rPr>
          <w:b/>
          <w:bCs/>
        </w:rPr>
      </w:pPr>
    </w:p>
    <w:p w14:paraId="185093F1" w14:textId="1889ABD3" w:rsidR="00B754ED" w:rsidRDefault="003404B4" w:rsidP="00B754ED">
      <w:pPr>
        <w:pStyle w:val="ListParagraph"/>
        <w:numPr>
          <w:ilvl w:val="0"/>
          <w:numId w:val="32"/>
        </w:numPr>
      </w:pPr>
      <w:r w:rsidRPr="00B754ED">
        <w:rPr>
          <w:b/>
          <w:bCs/>
        </w:rPr>
        <w:t>E</w:t>
      </w:r>
      <w:bookmarkStart w:id="6" w:name="Exclusions"/>
      <w:bookmarkEnd w:id="6"/>
      <w:r w:rsidRPr="00B754ED">
        <w:rPr>
          <w:b/>
          <w:bCs/>
        </w:rPr>
        <w:t xml:space="preserve">xclusion from research. </w:t>
      </w:r>
      <w:r>
        <w:t>The activities</w:t>
      </w:r>
      <w:r w:rsidR="00792736">
        <w:t xml:space="preserve"> described in the table below</w:t>
      </w:r>
      <w:r>
        <w:t xml:space="preserve"> are specifically excluded from being considered </w:t>
      </w:r>
      <w:r w:rsidRPr="0021086C">
        <w:rPr>
          <w:i/>
          <w:iCs/>
        </w:rPr>
        <w:t>research</w:t>
      </w:r>
      <w:r>
        <w:t>, per the Common Rule.</w:t>
      </w:r>
      <w:r w:rsidR="0086494A">
        <w:t xml:space="preserve"> </w:t>
      </w:r>
      <w:r w:rsidR="00792736">
        <w:t xml:space="preserve">Two additional, less common exceptions (criminal justice activities and national security activities) are described in the </w:t>
      </w:r>
      <w:hyperlink r:id="rId18" w:history="1">
        <w:r w:rsidR="00792736" w:rsidRPr="00792736">
          <w:rPr>
            <w:rStyle w:val="Hyperlink"/>
            <w:b/>
            <w:bCs/>
          </w:rPr>
          <w:t>GUIDANCE Is it Researc</w:t>
        </w:r>
        <w:r w:rsidR="00792736">
          <w:rPr>
            <w:rStyle w:val="Hyperlink"/>
            <w:b/>
            <w:bCs/>
          </w:rPr>
          <w:t>h</w:t>
        </w:r>
      </w:hyperlink>
      <w:r w:rsidR="0021086C" w:rsidRPr="0021086C">
        <w:t>.</w:t>
      </w:r>
    </w:p>
    <w:p w14:paraId="08498ECB" w14:textId="77777777" w:rsidR="003404B4" w:rsidRPr="003404B4" w:rsidRDefault="003404B4"/>
    <w:tbl>
      <w:tblPr>
        <w:tblStyle w:val="TableGrid"/>
        <w:tblW w:w="9270" w:type="dxa"/>
        <w:tblInd w:w="445" w:type="dxa"/>
        <w:tblLook w:val="04A0" w:firstRow="1" w:lastRow="0" w:firstColumn="1" w:lastColumn="0" w:noHBand="0" w:noVBand="1"/>
      </w:tblPr>
      <w:tblGrid>
        <w:gridCol w:w="8280"/>
        <w:gridCol w:w="990"/>
      </w:tblGrid>
      <w:tr w:rsidR="003404B4" w14:paraId="0014A690" w14:textId="77777777" w:rsidTr="00D946F9">
        <w:tc>
          <w:tcPr>
            <w:tcW w:w="8280" w:type="dxa"/>
            <w:shd w:val="clear" w:color="auto" w:fill="5200A4"/>
          </w:tcPr>
          <w:p w14:paraId="1CB11FA7" w14:textId="2481A011" w:rsidR="00FB1C3D" w:rsidRPr="00FB1C3D" w:rsidRDefault="008B73A6" w:rsidP="006A4907">
            <w:r>
              <w:rPr>
                <w:b/>
                <w:bCs/>
              </w:rPr>
              <w:t>CHECK ALL BOXES THAT APPLY.</w:t>
            </w:r>
            <w:r w:rsidR="00FB1C3D">
              <w:rPr>
                <w:b/>
                <w:bCs/>
              </w:rPr>
              <w:t xml:space="preserve"> </w:t>
            </w:r>
          </w:p>
        </w:tc>
        <w:tc>
          <w:tcPr>
            <w:tcW w:w="990" w:type="dxa"/>
            <w:shd w:val="clear" w:color="auto" w:fill="5200A4"/>
            <w:vAlign w:val="center"/>
          </w:tcPr>
          <w:p w14:paraId="52180F6D" w14:textId="77777777" w:rsidR="003404B4" w:rsidRPr="009B666D" w:rsidRDefault="003404B4" w:rsidP="006A4907">
            <w:pPr>
              <w:jc w:val="center"/>
              <w:rPr>
                <w:b/>
                <w:bCs/>
              </w:rPr>
            </w:pPr>
            <w:r>
              <w:rPr>
                <w:b/>
                <w:bCs/>
              </w:rPr>
              <w:t>Met</w:t>
            </w:r>
          </w:p>
        </w:tc>
      </w:tr>
      <w:tr w:rsidR="003404B4" w14:paraId="4D313094" w14:textId="77777777" w:rsidTr="00D946F9">
        <w:tc>
          <w:tcPr>
            <w:tcW w:w="8280" w:type="dxa"/>
          </w:tcPr>
          <w:p w14:paraId="69369664" w14:textId="65A97898" w:rsidR="003404B4" w:rsidRDefault="0086494A" w:rsidP="00156D84">
            <w:pPr>
              <w:pStyle w:val="ListParagraph"/>
              <w:numPr>
                <w:ilvl w:val="1"/>
                <w:numId w:val="29"/>
              </w:numPr>
              <w:spacing w:before="60" w:after="60"/>
            </w:pPr>
            <w:r w:rsidRPr="0086494A">
              <w:rPr>
                <w:b/>
                <w:bCs/>
              </w:rPr>
              <w:t xml:space="preserve">Scholarly and Journalistic Activities </w:t>
            </w:r>
            <w:r>
              <w:t>(e.g., oral history, journalism, biography, literary criticism, legal research, historical scholarship), including the collection and use of information, that focus directly on the specific individuals about whom the information is collected.</w:t>
            </w:r>
          </w:p>
          <w:p w14:paraId="3C43BF44" w14:textId="2A54EF36" w:rsidR="0086494A" w:rsidRDefault="0086494A" w:rsidP="00D946F9">
            <w:pPr>
              <w:spacing w:after="60"/>
              <w:ind w:left="339"/>
            </w:pPr>
            <w:r>
              <w:t xml:space="preserve">If the focus includes generalizing to other individuals, then the activity may be research and should be evaluated against the definition of research provided in </w:t>
            </w:r>
            <w:hyperlink w:anchor="Research" w:history="1">
              <w:r w:rsidRPr="009F2D8D">
                <w:rPr>
                  <w:rStyle w:val="Hyperlink"/>
                </w:rPr>
                <w:t xml:space="preserve">Section </w:t>
              </w:r>
              <w:r w:rsidR="008250F0">
                <w:rPr>
                  <w:rStyle w:val="Hyperlink"/>
                </w:rPr>
                <w:t>B</w:t>
              </w:r>
              <w:r w:rsidR="009F2D8D" w:rsidRPr="009F2D8D">
                <w:rPr>
                  <w:rStyle w:val="Hyperlink"/>
                </w:rPr>
                <w:t>2</w:t>
              </w:r>
            </w:hyperlink>
            <w:r w:rsidRPr="009F2D8D">
              <w:t>.</w:t>
            </w:r>
          </w:p>
          <w:p w14:paraId="33468D3F" w14:textId="09219E63" w:rsidR="0086494A" w:rsidRPr="0086494A" w:rsidRDefault="0086494A" w:rsidP="00156D84">
            <w:pPr>
              <w:spacing w:after="60"/>
              <w:ind w:left="339"/>
            </w:pPr>
            <w:r>
              <w:t xml:space="preserve">Note that it is </w:t>
            </w:r>
            <w:r w:rsidR="008250F0">
              <w:t xml:space="preserve">the activity’s focus on specific individuals </w:t>
            </w:r>
            <w:r>
              <w:t xml:space="preserve">that removes </w:t>
            </w:r>
            <w:r w:rsidR="008250F0">
              <w:t>it</w:t>
            </w:r>
            <w:r>
              <w:t xml:space="preserve"> from being considered research, </w:t>
            </w:r>
            <w:r w:rsidR="008250F0">
              <w:t>not the particular field (e.g., biography, oral history, legal research)</w:t>
            </w:r>
            <w:r>
              <w:t>.</w:t>
            </w:r>
          </w:p>
        </w:tc>
        <w:tc>
          <w:tcPr>
            <w:tcW w:w="990" w:type="dxa"/>
            <w:vAlign w:val="center"/>
          </w:tcPr>
          <w:p w14:paraId="34A586CD" w14:textId="77777777" w:rsidR="003404B4" w:rsidRDefault="00000000" w:rsidP="006A4907">
            <w:pPr>
              <w:jc w:val="center"/>
            </w:pPr>
            <w:sdt>
              <w:sdtPr>
                <w:id w:val="-607649062"/>
                <w14:checkbox>
                  <w14:checked w14:val="0"/>
                  <w14:checkedState w14:val="2612" w14:font="MS Gothic"/>
                  <w14:uncheckedState w14:val="2610" w14:font="MS Gothic"/>
                </w14:checkbox>
              </w:sdtPr>
              <w:sdtContent>
                <w:r w:rsidR="003404B4">
                  <w:rPr>
                    <w:rFonts w:ascii="MS Gothic" w:eastAsia="MS Gothic" w:hAnsi="MS Gothic" w:hint="eastAsia"/>
                  </w:rPr>
                  <w:t>☐</w:t>
                </w:r>
              </w:sdtContent>
            </w:sdt>
          </w:p>
        </w:tc>
      </w:tr>
      <w:tr w:rsidR="003404B4" w14:paraId="6FB9FFD2" w14:textId="77777777" w:rsidTr="00D946F9">
        <w:tc>
          <w:tcPr>
            <w:tcW w:w="8280" w:type="dxa"/>
            <w:tcBorders>
              <w:bottom w:val="single" w:sz="4" w:space="0" w:color="auto"/>
              <w:right w:val="nil"/>
            </w:tcBorders>
            <w:shd w:val="clear" w:color="auto" w:fill="EBEBFF"/>
          </w:tcPr>
          <w:p w14:paraId="68BE2392" w14:textId="77777777" w:rsidR="003404B4" w:rsidRDefault="003404B4" w:rsidP="00156D84">
            <w:pPr>
              <w:spacing w:before="60" w:after="60"/>
              <w:ind w:left="345"/>
              <w:rPr>
                <w:b/>
                <w:bCs/>
              </w:rPr>
            </w:pPr>
            <w:r>
              <w:rPr>
                <w:b/>
                <w:bCs/>
              </w:rPr>
              <w:t>+ Guidance</w:t>
            </w:r>
          </w:p>
          <w:p w14:paraId="387C3465" w14:textId="3B7D2465" w:rsidR="0086494A" w:rsidRPr="0086494A" w:rsidRDefault="0086494A" w:rsidP="00156D84">
            <w:pPr>
              <w:spacing w:after="60"/>
              <w:ind w:left="519"/>
            </w:pPr>
            <w:r>
              <w:t xml:space="preserve">These types of activities may sometimes be performed in the fields of anthropology or sociology, but not all activities characteristic of these fields are not research. Studies using methods such as participant observation and ethnographic studies, in which investigators gather information from individuals in order to understand their beliefs, customs, and practices, and </w:t>
            </w:r>
            <w:r w:rsidR="008250F0">
              <w:t xml:space="preserve">when </w:t>
            </w:r>
            <w:r>
              <w:t xml:space="preserve">the findings apply to the studied community or group (not just the individuals from whom the information was obtained) are considered to be research and </w:t>
            </w:r>
            <w:r w:rsidR="00934304">
              <w:t xml:space="preserve">are </w:t>
            </w:r>
            <w:r>
              <w:t xml:space="preserve">subject to the Common Rule. </w:t>
            </w:r>
          </w:p>
        </w:tc>
        <w:tc>
          <w:tcPr>
            <w:tcW w:w="990" w:type="dxa"/>
            <w:tcBorders>
              <w:left w:val="nil"/>
            </w:tcBorders>
            <w:shd w:val="clear" w:color="auto" w:fill="EBEBFF"/>
            <w:vAlign w:val="center"/>
          </w:tcPr>
          <w:p w14:paraId="0FF2C69C" w14:textId="77777777" w:rsidR="003404B4" w:rsidRDefault="003404B4" w:rsidP="006A4907">
            <w:pPr>
              <w:jc w:val="center"/>
            </w:pPr>
          </w:p>
        </w:tc>
      </w:tr>
      <w:tr w:rsidR="00D20D70" w14:paraId="6EF85390" w14:textId="77777777" w:rsidTr="00D946F9">
        <w:tc>
          <w:tcPr>
            <w:tcW w:w="8280" w:type="dxa"/>
            <w:tcBorders>
              <w:right w:val="single" w:sz="4" w:space="0" w:color="auto"/>
            </w:tcBorders>
          </w:tcPr>
          <w:p w14:paraId="66553A51" w14:textId="4C278247" w:rsidR="00D20D70" w:rsidRPr="008B73A6" w:rsidRDefault="00D20D70" w:rsidP="008B73A6">
            <w:pPr>
              <w:pStyle w:val="ListParagraph"/>
              <w:numPr>
                <w:ilvl w:val="1"/>
                <w:numId w:val="29"/>
              </w:numPr>
              <w:spacing w:before="60" w:after="60"/>
              <w:rPr>
                <w:b/>
                <w:bCs/>
              </w:rPr>
            </w:pPr>
            <w:bookmarkStart w:id="7" w:name="PHSA"/>
            <w:bookmarkEnd w:id="7"/>
            <w:r w:rsidRPr="008B73A6">
              <w:rPr>
                <w:b/>
                <w:bCs/>
              </w:rPr>
              <w:t xml:space="preserve">Public health surveillance activities (PHSA) that meet the criteria described below. </w:t>
            </w:r>
          </w:p>
          <w:p w14:paraId="6868BDA7" w14:textId="121E02C7" w:rsidR="00D20D70" w:rsidRDefault="00D20D70" w:rsidP="00D20D70">
            <w:pPr>
              <w:spacing w:before="60" w:after="60"/>
              <w:ind w:left="339"/>
            </w:pPr>
            <w:r>
              <w:t xml:space="preserve">A defining characteristic of these activities is a </w:t>
            </w:r>
            <w:r>
              <w:rPr>
                <w:i/>
                <w:iCs/>
              </w:rPr>
              <w:t>direct link to decision making and action by a public health authority</w:t>
            </w:r>
            <w:r>
              <w:t>. Activities whose purpose is not to directly inform public health decision making or action generally are not public health surveillance</w:t>
            </w:r>
            <w:r w:rsidR="00934304">
              <w:t>, even if they might be considered surveillance for other purposes. Some activities may be a combination of public health surveillance</w:t>
            </w:r>
            <w:r>
              <w:t xml:space="preserve"> components and research components</w:t>
            </w:r>
            <w:r w:rsidR="00F77425">
              <w:t>.</w:t>
            </w:r>
            <w:r>
              <w:t xml:space="preserve">  </w:t>
            </w:r>
          </w:p>
          <w:p w14:paraId="55AD32A3" w14:textId="67A69127" w:rsidR="00D20D70" w:rsidRDefault="00D20D70" w:rsidP="00D20D70">
            <w:pPr>
              <w:spacing w:before="60" w:after="60"/>
              <w:ind w:left="339"/>
            </w:pPr>
            <w:r>
              <w:t>The PHSA exclusion depends on the project purpose, the context in which it is conducted, and the role of the public health authority. It is not necessary to consider the standard Common Rule definition of research (i.e., whether the activity is a systematic investigation designed to develop or contribute to generalizable knowledge).</w:t>
            </w:r>
          </w:p>
          <w:p w14:paraId="3241D67C" w14:textId="77777777" w:rsidR="00C013BF" w:rsidRPr="00D946F9" w:rsidRDefault="00C013BF" w:rsidP="00D20D70">
            <w:pPr>
              <w:spacing w:before="60" w:after="60"/>
              <w:ind w:left="339"/>
              <w:rPr>
                <w:b/>
                <w:bCs/>
              </w:rPr>
            </w:pPr>
            <w:r w:rsidRPr="00D946F9">
              <w:rPr>
                <w:b/>
                <w:bCs/>
              </w:rPr>
              <w:t>R</w:t>
            </w:r>
            <w:bookmarkStart w:id="8" w:name="exception"/>
            <w:bookmarkEnd w:id="8"/>
            <w:r w:rsidRPr="00D946F9">
              <w:rPr>
                <w:b/>
                <w:bCs/>
              </w:rPr>
              <w:t xml:space="preserve">esearchers are not allowed </w:t>
            </w:r>
            <w:proofErr w:type="gramStart"/>
            <w:r w:rsidRPr="00D946F9">
              <w:rPr>
                <w:b/>
                <w:bCs/>
              </w:rPr>
              <w:t>to self-</w:t>
            </w:r>
            <w:proofErr w:type="gramEnd"/>
            <w:r w:rsidRPr="00D946F9">
              <w:rPr>
                <w:b/>
                <w:bCs/>
              </w:rPr>
              <w:t xml:space="preserve">determine whether this exclusion applies to their activities. </w:t>
            </w:r>
          </w:p>
          <w:p w14:paraId="18E88B1B" w14:textId="6AD67A11" w:rsidR="00C013BF" w:rsidRDefault="00C013BF" w:rsidP="0021086C">
            <w:pPr>
              <w:pStyle w:val="ListParagraph"/>
              <w:numPr>
                <w:ilvl w:val="0"/>
                <w:numId w:val="30"/>
              </w:numPr>
              <w:spacing w:before="60" w:after="60"/>
              <w:ind w:left="696" w:hanging="183"/>
            </w:pPr>
            <w:r>
              <w:t xml:space="preserve">For NIH-funded research, the researcher must request the determination from NIH. This policy process is described in NIH notice </w:t>
            </w:r>
            <w:hyperlink r:id="rId19" w:history="1">
              <w:r w:rsidRPr="009043D4">
                <w:rPr>
                  <w:rStyle w:val="Hyperlink"/>
                </w:rPr>
                <w:t>NOT-OD-22-0</w:t>
              </w:r>
              <w:r w:rsidR="009043D4" w:rsidRPr="009043D4">
                <w:rPr>
                  <w:rStyle w:val="Hyperlink"/>
                </w:rPr>
                <w:t>0</w:t>
              </w:r>
              <w:r w:rsidRPr="009043D4">
                <w:rPr>
                  <w:rStyle w:val="Hyperlink"/>
                </w:rPr>
                <w:t>1</w:t>
              </w:r>
            </w:hyperlink>
            <w:r>
              <w:t xml:space="preserve">. </w:t>
            </w:r>
          </w:p>
          <w:p w14:paraId="450EAC36" w14:textId="24DED93F" w:rsidR="00C013BF" w:rsidRPr="00D20D70" w:rsidRDefault="00C013BF" w:rsidP="0021086C">
            <w:pPr>
              <w:pStyle w:val="ListParagraph"/>
              <w:numPr>
                <w:ilvl w:val="0"/>
                <w:numId w:val="30"/>
              </w:numPr>
              <w:spacing w:before="60" w:after="60"/>
              <w:ind w:left="696" w:hanging="180"/>
            </w:pPr>
            <w:r>
              <w:t xml:space="preserve">For all other research, HSD must make the determination. Researchers </w:t>
            </w:r>
            <w:r w:rsidR="00D946F9">
              <w:t xml:space="preserve">should follow the instructions under “Request a determination” on the HSD webpage, </w:t>
            </w:r>
            <w:hyperlink r:id="rId20" w:history="1">
              <w:r w:rsidR="00D946F9" w:rsidRPr="00D65967">
                <w:rPr>
                  <w:rStyle w:val="Hyperlink"/>
                  <w:b/>
                  <w:bCs/>
                </w:rPr>
                <w:t>Does Your Research Involve Human Subjects?</w:t>
              </w:r>
            </w:hyperlink>
            <w:r>
              <w:t xml:space="preserve"> </w:t>
            </w:r>
          </w:p>
        </w:tc>
        <w:tc>
          <w:tcPr>
            <w:tcW w:w="990" w:type="dxa"/>
            <w:tcBorders>
              <w:left w:val="single" w:sz="4" w:space="0" w:color="auto"/>
            </w:tcBorders>
            <w:vAlign w:val="center"/>
          </w:tcPr>
          <w:p w14:paraId="5EF16D3B" w14:textId="3356A2A5" w:rsidR="00D20D70" w:rsidRDefault="00000000" w:rsidP="006A4907">
            <w:pPr>
              <w:jc w:val="center"/>
            </w:pPr>
            <w:sdt>
              <w:sdtPr>
                <w:id w:val="908113594"/>
                <w14:checkbox>
                  <w14:checked w14:val="0"/>
                  <w14:checkedState w14:val="2612" w14:font="MS Gothic"/>
                  <w14:uncheckedState w14:val="2610" w14:font="MS Gothic"/>
                </w14:checkbox>
              </w:sdtPr>
              <w:sdtContent>
                <w:r w:rsidR="005020F9">
                  <w:rPr>
                    <w:rFonts w:ascii="MS Gothic" w:eastAsia="MS Gothic" w:hAnsi="MS Gothic" w:hint="eastAsia"/>
                  </w:rPr>
                  <w:t>☐</w:t>
                </w:r>
              </w:sdtContent>
            </w:sdt>
          </w:p>
        </w:tc>
      </w:tr>
      <w:tr w:rsidR="00D20D70" w14:paraId="13BBF7DB" w14:textId="77777777" w:rsidTr="00D946F9">
        <w:tc>
          <w:tcPr>
            <w:tcW w:w="8280" w:type="dxa"/>
            <w:tcBorders>
              <w:right w:val="nil"/>
            </w:tcBorders>
            <w:shd w:val="clear" w:color="auto" w:fill="EBEBFF"/>
          </w:tcPr>
          <w:p w14:paraId="6E2D575F" w14:textId="77777777" w:rsidR="00C013BF" w:rsidRDefault="00C013BF" w:rsidP="00C013BF">
            <w:pPr>
              <w:spacing w:before="60" w:after="60"/>
              <w:ind w:left="345"/>
              <w:rPr>
                <w:b/>
                <w:bCs/>
              </w:rPr>
            </w:pPr>
            <w:r>
              <w:rPr>
                <w:b/>
                <w:bCs/>
              </w:rPr>
              <w:t>+ Guidance</w:t>
            </w:r>
          </w:p>
          <w:p w14:paraId="15D31424" w14:textId="77777777" w:rsidR="00D20D70" w:rsidRDefault="00C013BF" w:rsidP="00C013BF">
            <w:pPr>
              <w:spacing w:before="60" w:after="60"/>
              <w:ind w:left="519"/>
            </w:pPr>
            <w:r>
              <w:rPr>
                <w:b/>
                <w:bCs/>
              </w:rPr>
              <w:lastRenderedPageBreak/>
              <w:t xml:space="preserve">Rationale. </w:t>
            </w:r>
            <w:r>
              <w:t xml:space="preserve">Public health surveillance activities are deemed not to be </w:t>
            </w:r>
            <w:proofErr w:type="gramStart"/>
            <w:r>
              <w:t>research</w:t>
            </w:r>
            <w:proofErr w:type="gramEnd"/>
            <w:r>
              <w:t xml:space="preserve"> because federal agencies do not want to impede a public health authority’s ability to accomplish its mandated mission to protect and maintain the health and welfare of the population(s) for which it is responsible. Other laws, regulations, policies, or standards may be applicable to the conduct of these activities, such as HIPAA.</w:t>
            </w:r>
          </w:p>
          <w:p w14:paraId="1625CA3E" w14:textId="48C5FA93" w:rsidR="00C013BF" w:rsidRDefault="00C013BF" w:rsidP="00C013BF">
            <w:pPr>
              <w:spacing w:before="60" w:after="60"/>
              <w:ind w:left="519"/>
            </w:pPr>
            <w:r>
              <w:rPr>
                <w:b/>
                <w:bCs/>
              </w:rPr>
              <w:t>Other public health activities.</w:t>
            </w:r>
            <w:r>
              <w:t xml:space="preserve"> Public health activities that do not meet the definition of </w:t>
            </w:r>
            <w:r>
              <w:rPr>
                <w:i/>
                <w:iCs/>
              </w:rPr>
              <w:t>surveillance</w:t>
            </w:r>
            <w:r>
              <w:t xml:space="preserve"> activities should be evaluated against the definition of research provided below in </w:t>
            </w:r>
            <w:hyperlink w:anchor="Research" w:history="1">
              <w:r w:rsidRPr="009F2D8D">
                <w:rPr>
                  <w:rStyle w:val="Hyperlink"/>
                </w:rPr>
                <w:t xml:space="preserve">Section </w:t>
              </w:r>
              <w:r w:rsidR="008250F0">
                <w:rPr>
                  <w:rStyle w:val="Hyperlink"/>
                </w:rPr>
                <w:t>B</w:t>
              </w:r>
              <w:r w:rsidR="009F2D8D" w:rsidRPr="009F2D8D">
                <w:rPr>
                  <w:rStyle w:val="Hyperlink"/>
                </w:rPr>
                <w:t>2</w:t>
              </w:r>
            </w:hyperlink>
            <w:r>
              <w:t xml:space="preserve">. Note that there are many types of public health activities that may be </w:t>
            </w:r>
            <w:proofErr w:type="gramStart"/>
            <w:r>
              <w:t>neither</w:t>
            </w:r>
            <w:proofErr w:type="gramEnd"/>
            <w:r>
              <w:t xml:space="preserve"> research nor surveillance. Examples: Providing public service health messages; conducting vaccination campaigns.</w:t>
            </w:r>
          </w:p>
          <w:p w14:paraId="7096F198" w14:textId="77777777" w:rsidR="00FD5E87" w:rsidRDefault="00FD5E87" w:rsidP="00C013BF">
            <w:pPr>
              <w:spacing w:before="60" w:after="60"/>
              <w:ind w:left="519"/>
            </w:pPr>
            <w:r>
              <w:rPr>
                <w:b/>
                <w:bCs/>
              </w:rPr>
              <w:t>Examples of public health surveillance activities that are not considered to be research.</w:t>
            </w:r>
          </w:p>
          <w:p w14:paraId="5AC8C0BF" w14:textId="77777777" w:rsidR="00FD5E87" w:rsidRDefault="00FD5E87" w:rsidP="009F2D8D">
            <w:pPr>
              <w:pStyle w:val="ListParagraph"/>
              <w:numPr>
                <w:ilvl w:val="0"/>
                <w:numId w:val="31"/>
              </w:numPr>
              <w:spacing w:before="60" w:after="60"/>
              <w:ind w:left="879" w:hanging="180"/>
            </w:pPr>
            <w:r>
              <w:t>Safety and injury surveillance activities designed to enable a public health authority to identify, monitor, assess, and investigate potential safety signals for a specific product or class of products</w:t>
            </w:r>
            <w:r w:rsidR="006C78D6">
              <w:t xml:space="preserve"> (e.g., the surveillance activities of FDA’s Adverse Event Reporting System, the Vaccine Adverse Event Reporting System).</w:t>
            </w:r>
          </w:p>
          <w:p w14:paraId="563E66D6" w14:textId="77777777" w:rsidR="006C78D6" w:rsidRDefault="006C78D6" w:rsidP="009F2D8D">
            <w:pPr>
              <w:pStyle w:val="ListParagraph"/>
              <w:numPr>
                <w:ilvl w:val="0"/>
                <w:numId w:val="31"/>
              </w:numPr>
              <w:spacing w:before="60" w:after="60"/>
              <w:ind w:left="879" w:hanging="180"/>
            </w:pPr>
            <w:r>
              <w:t>Surveillance activities designed to enable a public health authority to identify unexpected changes in the incidence or prevalence of a disease in a defined geographic region where specific public health concerns have been raised (e.g., the U.S. influenza surveillance system).</w:t>
            </w:r>
          </w:p>
          <w:p w14:paraId="617BF0A7" w14:textId="77777777" w:rsidR="006C78D6" w:rsidRDefault="006C78D6" w:rsidP="009F2D8D">
            <w:pPr>
              <w:pStyle w:val="ListParagraph"/>
              <w:numPr>
                <w:ilvl w:val="0"/>
                <w:numId w:val="31"/>
              </w:numPr>
              <w:spacing w:before="60" w:after="60"/>
              <w:ind w:left="879" w:hanging="180"/>
            </w:pPr>
            <w:r>
              <w:t xml:space="preserve">Surveillance activities </w:t>
            </w:r>
            <w:proofErr w:type="gramStart"/>
            <w:r>
              <w:t>designed</w:t>
            </w:r>
            <w:proofErr w:type="gramEnd"/>
            <w:r>
              <w:t xml:space="preserve"> to enable a public health authority to identify the prevalence or incidence of known risk factors associated with a health problem in the context of a domestic or international public health emergency.</w:t>
            </w:r>
          </w:p>
          <w:p w14:paraId="0AA9FF60" w14:textId="77777777" w:rsidR="006C78D6" w:rsidRDefault="006C78D6" w:rsidP="009F2D8D">
            <w:pPr>
              <w:pStyle w:val="ListParagraph"/>
              <w:numPr>
                <w:ilvl w:val="0"/>
                <w:numId w:val="31"/>
              </w:numPr>
              <w:spacing w:before="60" w:after="60"/>
              <w:ind w:left="879" w:hanging="180"/>
            </w:pPr>
            <w:r>
              <w:t>Surveillance activities designed to enable a public health authority to locate the range and source of a disease outbreak or to identify cases of a disease outbreak.</w:t>
            </w:r>
          </w:p>
          <w:p w14:paraId="47AAA111" w14:textId="22EB4FF7" w:rsidR="006C78D6" w:rsidRPr="00C013BF" w:rsidRDefault="006C78D6" w:rsidP="009F2D8D">
            <w:pPr>
              <w:pStyle w:val="ListParagraph"/>
              <w:numPr>
                <w:ilvl w:val="0"/>
                <w:numId w:val="31"/>
              </w:numPr>
              <w:spacing w:before="60" w:after="60"/>
              <w:ind w:left="879" w:hanging="180"/>
            </w:pPr>
            <w:r>
              <w:t xml:space="preserve">Surveillance activities designed to enable a public health authority to identify the prevalence or incidence of a condition of public health importance, known risk factors associated with the condition, or behaviors or medical practices related to prevalence of the condition (e.g., surveillance of the prevalence of tobacco use, exposure to secondhand smoke, lung cancer, or use of smoking cessation treatments). </w:t>
            </w:r>
          </w:p>
        </w:tc>
        <w:tc>
          <w:tcPr>
            <w:tcW w:w="990" w:type="dxa"/>
            <w:tcBorders>
              <w:left w:val="nil"/>
            </w:tcBorders>
            <w:shd w:val="clear" w:color="auto" w:fill="EBEBFF"/>
            <w:vAlign w:val="center"/>
          </w:tcPr>
          <w:p w14:paraId="77F1D66C" w14:textId="77777777" w:rsidR="00D20D70" w:rsidRDefault="00D20D70" w:rsidP="006A4907">
            <w:pPr>
              <w:jc w:val="center"/>
            </w:pPr>
          </w:p>
        </w:tc>
      </w:tr>
      <w:tr w:rsidR="00AD0250" w14:paraId="34C3F19F" w14:textId="77777777" w:rsidTr="00D946F9">
        <w:tc>
          <w:tcPr>
            <w:tcW w:w="8280" w:type="dxa"/>
            <w:tcBorders>
              <w:right w:val="nil"/>
            </w:tcBorders>
          </w:tcPr>
          <w:p w14:paraId="0742CF6F" w14:textId="77777777" w:rsidR="00AD0250" w:rsidRDefault="00AD0250" w:rsidP="008250F0">
            <w:pPr>
              <w:spacing w:before="60" w:after="60"/>
              <w:rPr>
                <w:b/>
                <w:bCs/>
              </w:rPr>
            </w:pPr>
            <w:r w:rsidRPr="00AD0250">
              <w:rPr>
                <w:b/>
                <w:bCs/>
              </w:rPr>
              <w:t>If either box is checked, the activity is an exclusion and does not need IRB review</w:t>
            </w:r>
            <w:r w:rsidR="008250F0">
              <w:rPr>
                <w:b/>
                <w:bCs/>
              </w:rPr>
              <w:t xml:space="preserve"> - y</w:t>
            </w:r>
            <w:r>
              <w:rPr>
                <w:b/>
                <w:bCs/>
              </w:rPr>
              <w:t>ou are done with this worksheet.</w:t>
            </w:r>
          </w:p>
          <w:p w14:paraId="7C981FCC" w14:textId="2E27AFE1" w:rsidR="00D65967" w:rsidRPr="00AD0250" w:rsidRDefault="00D65967" w:rsidP="008250F0">
            <w:pPr>
              <w:spacing w:before="60" w:after="60"/>
              <w:rPr>
                <w:b/>
                <w:bCs/>
              </w:rPr>
            </w:pPr>
            <w:r>
              <w:rPr>
                <w:b/>
                <w:bCs/>
              </w:rPr>
              <w:t xml:space="preserve">If neither box is checked – proceed to </w:t>
            </w:r>
            <w:hyperlink w:anchor="Research" w:history="1">
              <w:r w:rsidRPr="00D65967">
                <w:rPr>
                  <w:rStyle w:val="Hyperlink"/>
                  <w:b/>
                  <w:bCs/>
                </w:rPr>
                <w:t>Section B2</w:t>
              </w:r>
            </w:hyperlink>
            <w:r>
              <w:rPr>
                <w:b/>
                <w:bCs/>
              </w:rPr>
              <w:t>.</w:t>
            </w:r>
          </w:p>
        </w:tc>
        <w:tc>
          <w:tcPr>
            <w:tcW w:w="990" w:type="dxa"/>
            <w:tcBorders>
              <w:left w:val="nil"/>
            </w:tcBorders>
            <w:vAlign w:val="center"/>
          </w:tcPr>
          <w:p w14:paraId="7308D443" w14:textId="77777777" w:rsidR="00AD0250" w:rsidRDefault="00AD0250" w:rsidP="006A4907">
            <w:pPr>
              <w:jc w:val="center"/>
            </w:pPr>
          </w:p>
        </w:tc>
      </w:tr>
    </w:tbl>
    <w:p w14:paraId="29E957DF" w14:textId="77777777" w:rsidR="00C93141" w:rsidRDefault="00C93141" w:rsidP="00C93141">
      <w:pPr>
        <w:ind w:right="360"/>
        <w:jc w:val="right"/>
        <w:rPr>
          <w:b/>
          <w:bCs/>
        </w:rPr>
      </w:pPr>
      <w:hyperlink w:anchor="Top" w:history="1">
        <w:r w:rsidRPr="00BD4430">
          <w:rPr>
            <w:rStyle w:val="Hyperlink"/>
            <w:b/>
            <w:bCs/>
          </w:rPr>
          <w:t>[top]</w:t>
        </w:r>
      </w:hyperlink>
    </w:p>
    <w:p w14:paraId="6B4B1C7D" w14:textId="77777777" w:rsidR="00D65967" w:rsidRDefault="00D65967" w:rsidP="00C93141">
      <w:pPr>
        <w:pStyle w:val="ListParagraph"/>
        <w:spacing w:after="120"/>
        <w:ind w:left="360"/>
        <w:jc w:val="right"/>
        <w:rPr>
          <w:b/>
          <w:bCs/>
        </w:rPr>
      </w:pPr>
    </w:p>
    <w:p w14:paraId="69F77247" w14:textId="276F137B" w:rsidR="00DC057E" w:rsidRPr="00D946F9" w:rsidRDefault="00332A60" w:rsidP="001253E1">
      <w:pPr>
        <w:pStyle w:val="ListParagraph"/>
        <w:numPr>
          <w:ilvl w:val="0"/>
          <w:numId w:val="29"/>
        </w:numPr>
        <w:spacing w:after="120"/>
        <w:rPr>
          <w:b/>
          <w:bCs/>
        </w:rPr>
      </w:pPr>
      <w:r w:rsidRPr="00332A60">
        <w:rPr>
          <w:b/>
          <w:bCs/>
        </w:rPr>
        <w:t>D</w:t>
      </w:r>
      <w:bookmarkStart w:id="9" w:name="Research"/>
      <w:bookmarkEnd w:id="9"/>
      <w:r w:rsidRPr="00332A60">
        <w:rPr>
          <w:b/>
          <w:bCs/>
        </w:rPr>
        <w:t>efinition of Research</w:t>
      </w:r>
      <w:r>
        <w:rPr>
          <w:b/>
          <w:bCs/>
        </w:rPr>
        <w:t xml:space="preserve">. </w:t>
      </w:r>
      <w:r>
        <w:t xml:space="preserve">Research is a systematic investigation, including research development, testing, and evaluation, designed to develop or contribute to generalizable knowledge. </w:t>
      </w:r>
      <w:r w:rsidR="00C26F2F">
        <w:t xml:space="preserve"> </w:t>
      </w:r>
    </w:p>
    <w:p w14:paraId="49E6C615" w14:textId="0B990CFB" w:rsidR="00332A60" w:rsidRPr="008B73A6" w:rsidRDefault="00C26F2F" w:rsidP="00D946F9">
      <w:pPr>
        <w:spacing w:after="120"/>
        <w:ind w:left="360"/>
        <w:rPr>
          <w:b/>
          <w:bCs/>
        </w:rPr>
      </w:pPr>
      <w:r>
        <w:t xml:space="preserve">Use the table below to determine whether your project meets the </w:t>
      </w:r>
      <w:r w:rsidR="005020F9">
        <w:t>Common Rule</w:t>
      </w:r>
      <w:r>
        <w:t xml:space="preserve"> definition of research.</w:t>
      </w:r>
    </w:p>
    <w:p w14:paraId="5C23CFFF" w14:textId="1CDA3E19" w:rsidR="006368DF" w:rsidRDefault="006368DF" w:rsidP="001253E1">
      <w:pPr>
        <w:spacing w:after="120"/>
        <w:ind w:left="360"/>
      </w:pPr>
      <w:r>
        <w:t xml:space="preserve">Review the </w:t>
      </w:r>
      <w:hyperlink r:id="rId21" w:history="1">
        <w:r w:rsidRPr="006368DF">
          <w:rPr>
            <w:rStyle w:val="Hyperlink"/>
            <w:b/>
            <w:bCs/>
          </w:rPr>
          <w:t>GUIDANCE Is it Research?</w:t>
        </w:r>
      </w:hyperlink>
      <w:r>
        <w:rPr>
          <w:b/>
          <w:bCs/>
        </w:rPr>
        <w:t xml:space="preserve"> </w:t>
      </w:r>
      <w:r>
        <w:t xml:space="preserve">for a discussion of certain activities that may or may not be research such as classroom activities, quality improvement, and program evaluation. </w:t>
      </w:r>
    </w:p>
    <w:p w14:paraId="06D74333" w14:textId="72E1307C" w:rsidR="006368DF" w:rsidRPr="00D946F9" w:rsidRDefault="006368DF" w:rsidP="001253E1">
      <w:pPr>
        <w:ind w:left="360"/>
      </w:pPr>
      <w:r>
        <w:t xml:space="preserve">Review the </w:t>
      </w:r>
      <w:hyperlink r:id="rId22" w:history="1">
        <w:r w:rsidRPr="00DC057E">
          <w:rPr>
            <w:rStyle w:val="Hyperlink"/>
            <w:b/>
            <w:bCs/>
          </w:rPr>
          <w:t>GUIDANCE Case Reports, HIPAA, and IRB Review</w:t>
        </w:r>
      </w:hyperlink>
      <w:r>
        <w:t xml:space="preserve"> for information about how to identify which case reports do, or do not, meet the definition of </w:t>
      </w:r>
      <w:r>
        <w:rPr>
          <w:i/>
          <w:iCs/>
        </w:rPr>
        <w:t>research</w:t>
      </w:r>
      <w:r>
        <w:t>.</w:t>
      </w:r>
    </w:p>
    <w:p w14:paraId="466ABF0A" w14:textId="0AA15ECE" w:rsidR="006C78D6" w:rsidRDefault="006C78D6"/>
    <w:tbl>
      <w:tblPr>
        <w:tblStyle w:val="TableGrid"/>
        <w:tblW w:w="9360" w:type="dxa"/>
        <w:tblInd w:w="355" w:type="dxa"/>
        <w:tblLook w:val="04A0" w:firstRow="1" w:lastRow="0" w:firstColumn="1" w:lastColumn="0" w:noHBand="0" w:noVBand="1"/>
      </w:tblPr>
      <w:tblGrid>
        <w:gridCol w:w="8370"/>
        <w:gridCol w:w="990"/>
      </w:tblGrid>
      <w:tr w:rsidR="00332A60" w14:paraId="3CBB52CF" w14:textId="77777777" w:rsidTr="00DC057E">
        <w:tc>
          <w:tcPr>
            <w:tcW w:w="8370" w:type="dxa"/>
            <w:shd w:val="clear" w:color="auto" w:fill="5200A4"/>
          </w:tcPr>
          <w:p w14:paraId="14DFCC8A" w14:textId="0A462E09" w:rsidR="00951AC8" w:rsidRPr="00DC057E" w:rsidRDefault="008B73A6" w:rsidP="006A4907">
            <w:pPr>
              <w:rPr>
                <w:b/>
                <w:bCs/>
              </w:rPr>
            </w:pPr>
            <w:r>
              <w:rPr>
                <w:b/>
                <w:bCs/>
              </w:rPr>
              <w:lastRenderedPageBreak/>
              <w:t>CHECK ALL BOXES THAT APPLY.</w:t>
            </w:r>
            <w:r w:rsidR="00951AC8">
              <w:rPr>
                <w:b/>
                <w:bCs/>
              </w:rPr>
              <w:t xml:space="preserve"> </w:t>
            </w:r>
            <w:r w:rsidR="00951AC8">
              <w:t xml:space="preserve"> </w:t>
            </w:r>
          </w:p>
        </w:tc>
        <w:tc>
          <w:tcPr>
            <w:tcW w:w="990" w:type="dxa"/>
            <w:shd w:val="clear" w:color="auto" w:fill="5200A4"/>
            <w:vAlign w:val="center"/>
          </w:tcPr>
          <w:p w14:paraId="68B6828D" w14:textId="77777777" w:rsidR="00332A60" w:rsidRPr="009B666D" w:rsidRDefault="00332A60" w:rsidP="006A4907">
            <w:pPr>
              <w:jc w:val="center"/>
              <w:rPr>
                <w:b/>
                <w:bCs/>
              </w:rPr>
            </w:pPr>
            <w:r>
              <w:rPr>
                <w:b/>
                <w:bCs/>
              </w:rPr>
              <w:t>Met</w:t>
            </w:r>
          </w:p>
        </w:tc>
      </w:tr>
      <w:tr w:rsidR="00332A60" w14:paraId="55A66A74" w14:textId="77777777" w:rsidTr="00DC057E">
        <w:tc>
          <w:tcPr>
            <w:tcW w:w="8370" w:type="dxa"/>
          </w:tcPr>
          <w:p w14:paraId="60D2258F" w14:textId="40CE8416" w:rsidR="00332A60" w:rsidRPr="0086494A" w:rsidRDefault="008B73A6" w:rsidP="00951AC8">
            <w:pPr>
              <w:pStyle w:val="ListParagraph"/>
              <w:numPr>
                <w:ilvl w:val="1"/>
                <w:numId w:val="29"/>
              </w:numPr>
              <w:spacing w:before="60" w:after="60"/>
            </w:pPr>
            <w:r>
              <w:rPr>
                <w:b/>
                <w:bCs/>
              </w:rPr>
              <w:t>The activity is a s</w:t>
            </w:r>
            <w:r w:rsidR="00951AC8">
              <w:rPr>
                <w:b/>
                <w:bCs/>
              </w:rPr>
              <w:t xml:space="preserve">ystematic investigation. </w:t>
            </w:r>
            <w:r w:rsidR="00951AC8">
              <w:t>A detailed or careful examination that has or involves a prospectively identified approach to the activity based on a system, method, or plan.</w:t>
            </w:r>
          </w:p>
        </w:tc>
        <w:tc>
          <w:tcPr>
            <w:tcW w:w="990" w:type="dxa"/>
            <w:vAlign w:val="center"/>
          </w:tcPr>
          <w:p w14:paraId="78F7CDFD" w14:textId="77777777" w:rsidR="00332A60" w:rsidRDefault="00000000" w:rsidP="006A4907">
            <w:pPr>
              <w:jc w:val="center"/>
            </w:pPr>
            <w:sdt>
              <w:sdtPr>
                <w:id w:val="506953990"/>
                <w14:checkbox>
                  <w14:checked w14:val="0"/>
                  <w14:checkedState w14:val="2612" w14:font="MS Gothic"/>
                  <w14:uncheckedState w14:val="2610" w14:font="MS Gothic"/>
                </w14:checkbox>
              </w:sdtPr>
              <w:sdtContent>
                <w:r w:rsidR="00332A60">
                  <w:rPr>
                    <w:rFonts w:ascii="MS Gothic" w:eastAsia="MS Gothic" w:hAnsi="MS Gothic" w:hint="eastAsia"/>
                  </w:rPr>
                  <w:t>☐</w:t>
                </w:r>
              </w:sdtContent>
            </w:sdt>
          </w:p>
        </w:tc>
      </w:tr>
      <w:tr w:rsidR="00951AC8" w14:paraId="57EE2B24" w14:textId="77777777" w:rsidTr="00DC057E">
        <w:tc>
          <w:tcPr>
            <w:tcW w:w="8370" w:type="dxa"/>
          </w:tcPr>
          <w:p w14:paraId="59960781" w14:textId="172A7668" w:rsidR="00951AC8" w:rsidRPr="00951AC8" w:rsidRDefault="008B73A6" w:rsidP="00951AC8">
            <w:pPr>
              <w:pStyle w:val="ListParagraph"/>
              <w:numPr>
                <w:ilvl w:val="1"/>
                <w:numId w:val="29"/>
              </w:numPr>
              <w:spacing w:before="60" w:after="60"/>
              <w:rPr>
                <w:b/>
                <w:bCs/>
              </w:rPr>
            </w:pPr>
            <w:r>
              <w:rPr>
                <w:b/>
                <w:bCs/>
              </w:rPr>
              <w:t xml:space="preserve">The activity is designed to produce </w:t>
            </w:r>
            <w:proofErr w:type="gramStart"/>
            <w:r>
              <w:rPr>
                <w:b/>
                <w:bCs/>
              </w:rPr>
              <w:t>g</w:t>
            </w:r>
            <w:r w:rsidR="00951AC8">
              <w:rPr>
                <w:b/>
                <w:bCs/>
              </w:rPr>
              <w:t>eneralizable</w:t>
            </w:r>
            <w:proofErr w:type="gramEnd"/>
            <w:r w:rsidR="00951AC8">
              <w:rPr>
                <w:b/>
                <w:bCs/>
              </w:rPr>
              <w:t xml:space="preserve"> knowledge. </w:t>
            </w:r>
            <w:r w:rsidR="00951AC8">
              <w:t>The information is expected to expand the knowledge base of a scientific discipline or other scholarly field or study and yield one or both of the following:</w:t>
            </w:r>
          </w:p>
          <w:p w14:paraId="7438A5DB" w14:textId="569670C3" w:rsidR="00951AC8" w:rsidRPr="00951AC8" w:rsidRDefault="008B73A6" w:rsidP="001253E1">
            <w:pPr>
              <w:pStyle w:val="ListParagraph"/>
              <w:numPr>
                <w:ilvl w:val="3"/>
                <w:numId w:val="29"/>
              </w:numPr>
              <w:spacing w:before="60" w:after="60"/>
              <w:ind w:left="702" w:hanging="180"/>
              <w:rPr>
                <w:b/>
                <w:bCs/>
              </w:rPr>
            </w:pPr>
            <w:r>
              <w:t>r</w:t>
            </w:r>
            <w:r w:rsidR="00951AC8">
              <w:t xml:space="preserve">esults that are applicable to a larger population beyond the site of data collection or the specific subjects studied. </w:t>
            </w:r>
          </w:p>
          <w:p w14:paraId="180697B8" w14:textId="633B03AA" w:rsidR="00951AC8" w:rsidRPr="00D946F9" w:rsidRDefault="001253E1" w:rsidP="00D946F9">
            <w:pPr>
              <w:pStyle w:val="ListParagraph"/>
              <w:numPr>
                <w:ilvl w:val="3"/>
                <w:numId w:val="29"/>
              </w:numPr>
              <w:spacing w:before="60" w:after="60"/>
              <w:ind w:left="702" w:hanging="180"/>
              <w:rPr>
                <w:b/>
                <w:bCs/>
              </w:rPr>
            </w:pPr>
            <w:r>
              <w:t>r</w:t>
            </w:r>
            <w:r w:rsidR="00951AC8">
              <w:t>esults that are intended to be used to develop, test, or support theories, principles, and statements of relationships or to inform policy beyond the study.</w:t>
            </w:r>
          </w:p>
        </w:tc>
        <w:tc>
          <w:tcPr>
            <w:tcW w:w="990" w:type="dxa"/>
            <w:tcBorders>
              <w:bottom w:val="single" w:sz="4" w:space="0" w:color="auto"/>
            </w:tcBorders>
            <w:vAlign w:val="center"/>
          </w:tcPr>
          <w:p w14:paraId="4FF72909" w14:textId="330F5C5D" w:rsidR="00951AC8" w:rsidRDefault="00000000" w:rsidP="006A4907">
            <w:pPr>
              <w:jc w:val="center"/>
            </w:pPr>
            <w:sdt>
              <w:sdtPr>
                <w:id w:val="1240593577"/>
                <w14:checkbox>
                  <w14:checked w14:val="0"/>
                  <w14:checkedState w14:val="2612" w14:font="MS Gothic"/>
                  <w14:uncheckedState w14:val="2610" w14:font="MS Gothic"/>
                </w14:checkbox>
              </w:sdtPr>
              <w:sdtContent>
                <w:r w:rsidR="00DC057E">
                  <w:rPr>
                    <w:rFonts w:ascii="MS Gothic" w:eastAsia="MS Gothic" w:hAnsi="MS Gothic" w:hint="eastAsia"/>
                  </w:rPr>
                  <w:t>☐</w:t>
                </w:r>
              </w:sdtContent>
            </w:sdt>
          </w:p>
        </w:tc>
      </w:tr>
      <w:tr w:rsidR="00DC057E" w14:paraId="56F3FF77" w14:textId="77777777" w:rsidTr="00D946F9">
        <w:tc>
          <w:tcPr>
            <w:tcW w:w="8370" w:type="dxa"/>
            <w:tcBorders>
              <w:right w:val="nil"/>
            </w:tcBorders>
          </w:tcPr>
          <w:p w14:paraId="5A3E872D" w14:textId="39EF5E18" w:rsidR="00DC057E" w:rsidRPr="00AD0250" w:rsidRDefault="00DC057E" w:rsidP="00C62A9C">
            <w:pPr>
              <w:spacing w:before="60" w:after="60"/>
              <w:rPr>
                <w:b/>
                <w:bCs/>
              </w:rPr>
            </w:pPr>
            <w:r w:rsidRPr="00AD0250">
              <w:rPr>
                <w:b/>
                <w:bCs/>
              </w:rPr>
              <w:t>If both boxes are checked, the activity is research</w:t>
            </w:r>
            <w:r w:rsidR="00C62A9C">
              <w:rPr>
                <w:b/>
                <w:bCs/>
              </w:rPr>
              <w:t xml:space="preserve"> according to the Common Rule</w:t>
            </w:r>
            <w:r w:rsidR="00522737">
              <w:rPr>
                <w:b/>
                <w:bCs/>
              </w:rPr>
              <w:t xml:space="preserve"> - </w:t>
            </w:r>
            <w:r w:rsidRPr="00AD0250">
              <w:rPr>
                <w:b/>
                <w:bCs/>
              </w:rPr>
              <w:t xml:space="preserve"> </w:t>
            </w:r>
            <w:r w:rsidR="00522737">
              <w:rPr>
                <w:b/>
                <w:bCs/>
              </w:rPr>
              <w:t>p</w:t>
            </w:r>
            <w:r w:rsidR="00AD0250">
              <w:rPr>
                <w:b/>
                <w:bCs/>
              </w:rPr>
              <w:t>roceed to</w:t>
            </w:r>
            <w:r w:rsidR="00AD0250" w:rsidRPr="00AD0250">
              <w:rPr>
                <w:b/>
                <w:bCs/>
              </w:rPr>
              <w:t xml:space="preserve"> section</w:t>
            </w:r>
            <w:r w:rsidRPr="00AD0250">
              <w:rPr>
                <w:b/>
                <w:bCs/>
              </w:rPr>
              <w:t xml:space="preserve"> </w:t>
            </w:r>
            <w:hyperlink w:anchor="HSR" w:history="1">
              <w:r w:rsidR="00522737">
                <w:rPr>
                  <w:rStyle w:val="Hyperlink"/>
                  <w:b/>
                  <w:bCs/>
                </w:rPr>
                <w:t>B</w:t>
              </w:r>
              <w:r w:rsidRPr="00AD0250">
                <w:rPr>
                  <w:rStyle w:val="Hyperlink"/>
                  <w:b/>
                  <w:bCs/>
                </w:rPr>
                <w:t>3</w:t>
              </w:r>
            </w:hyperlink>
            <w:r w:rsidRPr="00AD0250">
              <w:rPr>
                <w:b/>
                <w:bCs/>
              </w:rPr>
              <w:t>.</w:t>
            </w:r>
          </w:p>
          <w:p w14:paraId="4EF20974" w14:textId="416F9AEE" w:rsidR="00DC057E" w:rsidRDefault="00D946F9" w:rsidP="00B1027A">
            <w:pPr>
              <w:pStyle w:val="ListParagraph"/>
              <w:spacing w:after="60"/>
              <w:ind w:left="-18"/>
              <w:rPr>
                <w:b/>
                <w:bCs/>
              </w:rPr>
            </w:pPr>
            <w:r>
              <w:rPr>
                <w:b/>
                <w:bCs/>
              </w:rPr>
              <w:t xml:space="preserve">For all other scenarios, the project is not research according to the Common </w:t>
            </w:r>
            <w:r w:rsidR="0027141C">
              <w:rPr>
                <w:b/>
                <w:bCs/>
              </w:rPr>
              <w:t xml:space="preserve">Rule </w:t>
            </w:r>
            <w:r w:rsidR="0027141C" w:rsidRPr="00AD0250">
              <w:rPr>
                <w:b/>
                <w:bCs/>
              </w:rPr>
              <w:t>and does not need IRB review</w:t>
            </w:r>
            <w:r w:rsidR="0027141C">
              <w:rPr>
                <w:b/>
                <w:bCs/>
              </w:rPr>
              <w:t xml:space="preserve"> - you are done with this worksheet.</w:t>
            </w:r>
          </w:p>
        </w:tc>
        <w:tc>
          <w:tcPr>
            <w:tcW w:w="990" w:type="dxa"/>
            <w:tcBorders>
              <w:left w:val="nil"/>
            </w:tcBorders>
            <w:vAlign w:val="center"/>
          </w:tcPr>
          <w:p w14:paraId="366189E6" w14:textId="77777777" w:rsidR="00DC057E" w:rsidRDefault="00DC057E" w:rsidP="006A4907">
            <w:pPr>
              <w:jc w:val="center"/>
            </w:pPr>
          </w:p>
        </w:tc>
      </w:tr>
    </w:tbl>
    <w:p w14:paraId="77DCBD61" w14:textId="77777777" w:rsidR="00C93141" w:rsidRDefault="00C93141" w:rsidP="00C93141">
      <w:pPr>
        <w:ind w:right="360"/>
        <w:jc w:val="right"/>
        <w:rPr>
          <w:b/>
          <w:bCs/>
        </w:rPr>
      </w:pPr>
      <w:hyperlink w:anchor="Top" w:history="1">
        <w:r w:rsidRPr="00BD4430">
          <w:rPr>
            <w:rStyle w:val="Hyperlink"/>
            <w:b/>
            <w:bCs/>
          </w:rPr>
          <w:t>[top]</w:t>
        </w:r>
      </w:hyperlink>
    </w:p>
    <w:p w14:paraId="1C7BB3A0" w14:textId="50A6CBAE" w:rsidR="00C77606" w:rsidRDefault="00C77606" w:rsidP="00C93141">
      <w:pPr>
        <w:jc w:val="right"/>
      </w:pPr>
    </w:p>
    <w:p w14:paraId="31459110" w14:textId="4049A007" w:rsidR="00C77606" w:rsidRPr="00D946F9" w:rsidRDefault="00C77606" w:rsidP="00D946F9">
      <w:pPr>
        <w:pStyle w:val="ListParagraph"/>
        <w:numPr>
          <w:ilvl w:val="0"/>
          <w:numId w:val="29"/>
        </w:numPr>
        <w:spacing w:after="120"/>
        <w:rPr>
          <w:b/>
          <w:bCs/>
        </w:rPr>
      </w:pPr>
      <w:r w:rsidRPr="00C77606">
        <w:rPr>
          <w:b/>
          <w:bCs/>
        </w:rPr>
        <w:t>D</w:t>
      </w:r>
      <w:bookmarkStart w:id="10" w:name="HSR"/>
      <w:bookmarkEnd w:id="10"/>
      <w:r w:rsidRPr="00C77606">
        <w:rPr>
          <w:b/>
          <w:bCs/>
        </w:rPr>
        <w:t>efinition of Human Subject</w:t>
      </w:r>
      <w:r>
        <w:rPr>
          <w:b/>
          <w:bCs/>
        </w:rPr>
        <w:t xml:space="preserve">. </w:t>
      </w:r>
      <w:r>
        <w:t xml:space="preserve">Human subject means a </w:t>
      </w:r>
      <w:r w:rsidRPr="008B73A6">
        <w:rPr>
          <w:i/>
          <w:iCs/>
        </w:rPr>
        <w:t>living individual</w:t>
      </w:r>
      <w:r>
        <w:t xml:space="preserve"> </w:t>
      </w:r>
      <w:r w:rsidRPr="008B73A6">
        <w:rPr>
          <w:i/>
          <w:iCs/>
        </w:rPr>
        <w:t>about whom</w:t>
      </w:r>
      <w:r>
        <w:t xml:space="preserve"> an investigator (whether professional or student) conducting research: </w:t>
      </w:r>
      <w:r w:rsidRPr="00D946F9">
        <w:rPr>
          <w:b/>
          <w:bCs/>
        </w:rPr>
        <w:t>(</w:t>
      </w:r>
      <w:r w:rsidR="00387726">
        <w:rPr>
          <w:b/>
          <w:bCs/>
        </w:rPr>
        <w:t>a</w:t>
      </w:r>
      <w:r w:rsidRPr="00D946F9">
        <w:rPr>
          <w:b/>
          <w:bCs/>
        </w:rPr>
        <w:t>)</w:t>
      </w:r>
      <w:r>
        <w:t xml:space="preserve"> obtains information or biospecimens through </w:t>
      </w:r>
      <w:r w:rsidRPr="008B73A6">
        <w:rPr>
          <w:i/>
          <w:iCs/>
        </w:rPr>
        <w:t>intervention</w:t>
      </w:r>
      <w:r>
        <w:t xml:space="preserve"> or </w:t>
      </w:r>
      <w:r w:rsidRPr="008B73A6">
        <w:rPr>
          <w:i/>
          <w:iCs/>
        </w:rPr>
        <w:t>interaction</w:t>
      </w:r>
      <w:r>
        <w:t xml:space="preserve"> with the individual, and uses, studies, or analyzes the information or biospecimens; </w:t>
      </w:r>
      <w:r w:rsidRPr="00D946F9">
        <w:rPr>
          <w:b/>
          <w:bCs/>
        </w:rPr>
        <w:t>or (</w:t>
      </w:r>
      <w:r w:rsidR="00387726" w:rsidRPr="00D946F9">
        <w:rPr>
          <w:b/>
          <w:bCs/>
        </w:rPr>
        <w:t>b</w:t>
      </w:r>
      <w:r w:rsidRPr="00D946F9">
        <w:rPr>
          <w:b/>
          <w:bCs/>
        </w:rPr>
        <w:t>)</w:t>
      </w:r>
      <w:r>
        <w:t xml:space="preserve"> obtains, uses, studies, </w:t>
      </w:r>
      <w:proofErr w:type="gramStart"/>
      <w:r>
        <w:t>analyzes, or</w:t>
      </w:r>
      <w:proofErr w:type="gramEnd"/>
      <w:r>
        <w:t xml:space="preserve"> generates </w:t>
      </w:r>
      <w:r w:rsidRPr="008B73A6">
        <w:rPr>
          <w:i/>
          <w:iCs/>
        </w:rPr>
        <w:t>identifiable private information or identifiable biospecimens</w:t>
      </w:r>
      <w:r>
        <w:t>.</w:t>
      </w:r>
    </w:p>
    <w:p w14:paraId="099B53E2" w14:textId="5BAA7F21" w:rsidR="00387726" w:rsidRDefault="00BF175C" w:rsidP="00D946F9">
      <w:pPr>
        <w:spacing w:after="120"/>
        <w:ind w:left="360"/>
      </w:pPr>
      <w:r>
        <w:rPr>
          <w:b/>
          <w:bCs/>
        </w:rPr>
        <w:t xml:space="preserve">Screening activities. </w:t>
      </w:r>
      <w:r>
        <w:t>I</w:t>
      </w:r>
      <w:r w:rsidR="007F744D">
        <w:t>ndividuals who screen out of a study are still considered to be human subjects if the information/biospecimens that researchers obtained about them meet the definition cited above.</w:t>
      </w:r>
    </w:p>
    <w:p w14:paraId="3217A81B" w14:textId="64F080E1" w:rsidR="007F744D" w:rsidRPr="007F744D" w:rsidRDefault="00BF175C" w:rsidP="00D946F9">
      <w:pPr>
        <w:ind w:left="360"/>
      </w:pPr>
      <w:r>
        <w:rPr>
          <w:b/>
          <w:bCs/>
        </w:rPr>
        <w:t>Third party subjects.</w:t>
      </w:r>
      <w:r w:rsidR="007F744D">
        <w:t xml:space="preserve"> </w:t>
      </w:r>
      <w:r>
        <w:t>W</w:t>
      </w:r>
      <w:r w:rsidR="007F744D">
        <w:t xml:space="preserve">hen a researcher obtains private identifiable information about an individual through an interaction with another individual, that third-party </w:t>
      </w:r>
      <w:r w:rsidR="000350B5">
        <w:t>individual</w:t>
      </w:r>
      <w:r w:rsidR="007F744D">
        <w:t xml:space="preserve"> is considered to be a human subject.</w:t>
      </w:r>
    </w:p>
    <w:p w14:paraId="6F8F425B" w14:textId="1228E50D" w:rsidR="00C77606" w:rsidRDefault="00C77606" w:rsidP="00C77606">
      <w:pPr>
        <w:pStyle w:val="ListParagraph"/>
        <w:ind w:left="360"/>
      </w:pPr>
    </w:p>
    <w:tbl>
      <w:tblPr>
        <w:tblStyle w:val="TableGrid"/>
        <w:tblW w:w="9360" w:type="dxa"/>
        <w:tblInd w:w="355" w:type="dxa"/>
        <w:tblLook w:val="04A0" w:firstRow="1" w:lastRow="0" w:firstColumn="1" w:lastColumn="0" w:noHBand="0" w:noVBand="1"/>
      </w:tblPr>
      <w:tblGrid>
        <w:gridCol w:w="8370"/>
        <w:gridCol w:w="990"/>
      </w:tblGrid>
      <w:tr w:rsidR="0099032D" w14:paraId="780A6027" w14:textId="77777777" w:rsidTr="00DC057E">
        <w:tc>
          <w:tcPr>
            <w:tcW w:w="8370" w:type="dxa"/>
            <w:shd w:val="clear" w:color="auto" w:fill="5200A4"/>
          </w:tcPr>
          <w:p w14:paraId="78F99DBB" w14:textId="16D56CB0" w:rsidR="0099032D" w:rsidRPr="0099032D" w:rsidRDefault="008B73A6" w:rsidP="002F5450">
            <w:pPr>
              <w:rPr>
                <w:b/>
                <w:bCs/>
                <w:color w:val="FFFFFF" w:themeColor="background1"/>
              </w:rPr>
            </w:pPr>
            <w:r>
              <w:rPr>
                <w:b/>
                <w:bCs/>
                <w:color w:val="FFFFFF" w:themeColor="background1"/>
              </w:rPr>
              <w:t>CHECK ALL BOXES THAT APPLY</w:t>
            </w:r>
            <w:r w:rsidR="0099032D" w:rsidRPr="0099032D">
              <w:rPr>
                <w:b/>
                <w:bCs/>
                <w:color w:val="FFFFFF" w:themeColor="background1"/>
              </w:rPr>
              <w:t xml:space="preserve"> </w:t>
            </w:r>
            <w:r w:rsidR="0099032D" w:rsidRPr="0099032D">
              <w:rPr>
                <w:color w:val="FFFFFF" w:themeColor="background1"/>
              </w:rPr>
              <w:t xml:space="preserve"> </w:t>
            </w:r>
          </w:p>
        </w:tc>
        <w:tc>
          <w:tcPr>
            <w:tcW w:w="990" w:type="dxa"/>
            <w:shd w:val="clear" w:color="auto" w:fill="5200A4"/>
            <w:vAlign w:val="center"/>
          </w:tcPr>
          <w:p w14:paraId="1B251103" w14:textId="5B5A7AAC" w:rsidR="0099032D" w:rsidRPr="0099032D" w:rsidRDefault="0099032D" w:rsidP="0099032D">
            <w:pPr>
              <w:jc w:val="center"/>
              <w:rPr>
                <w:color w:val="FFFFFF" w:themeColor="background1"/>
              </w:rPr>
            </w:pPr>
            <w:r w:rsidRPr="0099032D">
              <w:rPr>
                <w:b/>
                <w:bCs/>
                <w:color w:val="FFFFFF" w:themeColor="background1"/>
              </w:rPr>
              <w:t>Met</w:t>
            </w:r>
          </w:p>
        </w:tc>
      </w:tr>
      <w:tr w:rsidR="00951AC8" w14:paraId="26ED9A8E" w14:textId="77777777" w:rsidTr="00561C4D">
        <w:tc>
          <w:tcPr>
            <w:tcW w:w="8370" w:type="dxa"/>
            <w:tcBorders>
              <w:bottom w:val="single" w:sz="4" w:space="0" w:color="auto"/>
            </w:tcBorders>
          </w:tcPr>
          <w:p w14:paraId="5C9FBD06" w14:textId="6F8B4C65" w:rsidR="00951AC8" w:rsidRDefault="008B73A6" w:rsidP="00951AC8">
            <w:pPr>
              <w:pStyle w:val="ListParagraph"/>
              <w:numPr>
                <w:ilvl w:val="1"/>
                <w:numId w:val="29"/>
              </w:numPr>
              <w:spacing w:before="60" w:after="60"/>
              <w:rPr>
                <w:b/>
                <w:bCs/>
              </w:rPr>
            </w:pPr>
            <w:r>
              <w:rPr>
                <w:b/>
                <w:bCs/>
              </w:rPr>
              <w:t>The project includes l</w:t>
            </w:r>
            <w:r w:rsidR="002F5450">
              <w:rPr>
                <w:b/>
                <w:bCs/>
              </w:rPr>
              <w:t>iving individuals</w:t>
            </w:r>
            <w:r>
              <w:rPr>
                <w:b/>
                <w:bCs/>
              </w:rPr>
              <w:t xml:space="preserve">. </w:t>
            </w:r>
            <w:r>
              <w:t>For specimens, data, and other information gathered without direct interaction with the individual, it is assumed that the individuals are alive unless the researcher specifically knows otherwise.</w:t>
            </w:r>
          </w:p>
        </w:tc>
        <w:tc>
          <w:tcPr>
            <w:tcW w:w="990" w:type="dxa"/>
            <w:vAlign w:val="center"/>
          </w:tcPr>
          <w:p w14:paraId="77237933" w14:textId="47A4A49C" w:rsidR="00951AC8" w:rsidRDefault="00000000" w:rsidP="006A4907">
            <w:pPr>
              <w:jc w:val="center"/>
            </w:pPr>
            <w:sdt>
              <w:sdtPr>
                <w:id w:val="-906141700"/>
                <w14:checkbox>
                  <w14:checked w14:val="0"/>
                  <w14:checkedState w14:val="2612" w14:font="MS Gothic"/>
                  <w14:uncheckedState w14:val="2610" w14:font="MS Gothic"/>
                </w14:checkbox>
              </w:sdtPr>
              <w:sdtContent>
                <w:r w:rsidR="008B73A6">
                  <w:rPr>
                    <w:rFonts w:ascii="MS Gothic" w:eastAsia="MS Gothic" w:hAnsi="MS Gothic" w:hint="eastAsia"/>
                  </w:rPr>
                  <w:t>☐</w:t>
                </w:r>
              </w:sdtContent>
            </w:sdt>
          </w:p>
        </w:tc>
      </w:tr>
      <w:tr w:rsidR="00332A60" w14:paraId="300D8460" w14:textId="77777777" w:rsidTr="00561C4D">
        <w:tc>
          <w:tcPr>
            <w:tcW w:w="8370" w:type="dxa"/>
            <w:tcBorders>
              <w:right w:val="single" w:sz="4" w:space="0" w:color="auto"/>
            </w:tcBorders>
          </w:tcPr>
          <w:p w14:paraId="7FDF77A3" w14:textId="09C94433" w:rsidR="00332A60" w:rsidRPr="008B73A6" w:rsidRDefault="00561C4D" w:rsidP="008B73A6">
            <w:pPr>
              <w:pStyle w:val="ListParagraph"/>
              <w:numPr>
                <w:ilvl w:val="1"/>
                <w:numId w:val="29"/>
              </w:numPr>
              <w:spacing w:before="60" w:after="60"/>
              <w:rPr>
                <w:b/>
                <w:bCs/>
              </w:rPr>
            </w:pPr>
            <w:r>
              <w:rPr>
                <w:b/>
                <w:bCs/>
              </w:rPr>
              <w:t>The data or information is a</w:t>
            </w:r>
            <w:r w:rsidR="002F5450" w:rsidRPr="008B73A6">
              <w:rPr>
                <w:b/>
                <w:bCs/>
              </w:rPr>
              <w:t xml:space="preserve">bout </w:t>
            </w:r>
            <w:r>
              <w:rPr>
                <w:b/>
                <w:bCs/>
              </w:rPr>
              <w:t>the person</w:t>
            </w:r>
            <w:r w:rsidR="002F5450" w:rsidRPr="008B73A6">
              <w:rPr>
                <w:b/>
                <w:bCs/>
              </w:rPr>
              <w:t>.</w:t>
            </w:r>
            <w:r w:rsidR="00332A60" w:rsidRPr="008B73A6">
              <w:rPr>
                <w:b/>
                <w:bCs/>
              </w:rPr>
              <w:t xml:space="preserve"> </w:t>
            </w:r>
            <w:r w:rsidR="008B73A6">
              <w:t xml:space="preserve">Asking what they think about something, how they do something, or similar questions is usually about </w:t>
            </w:r>
            <w:proofErr w:type="gramStart"/>
            <w:r w:rsidR="008B73A6">
              <w:t>the individuals</w:t>
            </w:r>
            <w:proofErr w:type="gramEnd"/>
            <w:r w:rsidR="008B73A6">
              <w:t xml:space="preserve">. This is in contrast to questions about factual information not related to the person. Biospecimens are always considered to be about the person. </w:t>
            </w:r>
            <w:r w:rsidR="00332A60">
              <w:t xml:space="preserve"> </w:t>
            </w:r>
          </w:p>
        </w:tc>
        <w:tc>
          <w:tcPr>
            <w:tcW w:w="990" w:type="dxa"/>
            <w:tcBorders>
              <w:left w:val="single" w:sz="4" w:space="0" w:color="auto"/>
            </w:tcBorders>
            <w:vAlign w:val="center"/>
          </w:tcPr>
          <w:p w14:paraId="3AFDA772" w14:textId="0315FC83" w:rsidR="00332A60" w:rsidRDefault="00000000" w:rsidP="006A4907">
            <w:pPr>
              <w:jc w:val="center"/>
            </w:pPr>
            <w:sdt>
              <w:sdtPr>
                <w:id w:val="-9528347"/>
                <w14:checkbox>
                  <w14:checked w14:val="0"/>
                  <w14:checkedState w14:val="2612" w14:font="MS Gothic"/>
                  <w14:uncheckedState w14:val="2610" w14:font="MS Gothic"/>
                </w14:checkbox>
              </w:sdtPr>
              <w:sdtContent>
                <w:r w:rsidR="00966551">
                  <w:rPr>
                    <w:rFonts w:ascii="MS Gothic" w:eastAsia="MS Gothic" w:hAnsi="MS Gothic" w:hint="eastAsia"/>
                  </w:rPr>
                  <w:t>☐</w:t>
                </w:r>
              </w:sdtContent>
            </w:sdt>
          </w:p>
        </w:tc>
      </w:tr>
      <w:tr w:rsidR="00332A60" w14:paraId="54B9211A" w14:textId="77777777" w:rsidTr="00966551">
        <w:tc>
          <w:tcPr>
            <w:tcW w:w="8370" w:type="dxa"/>
            <w:tcBorders>
              <w:bottom w:val="single" w:sz="4" w:space="0" w:color="auto"/>
              <w:right w:val="nil"/>
            </w:tcBorders>
            <w:shd w:val="clear" w:color="auto" w:fill="EBEBFF"/>
          </w:tcPr>
          <w:p w14:paraId="119C270D" w14:textId="092F0901" w:rsidR="00332A60" w:rsidRDefault="00332A60" w:rsidP="006A4907">
            <w:pPr>
              <w:spacing w:before="60" w:after="60"/>
              <w:ind w:left="345"/>
              <w:rPr>
                <w:b/>
                <w:bCs/>
              </w:rPr>
            </w:pPr>
            <w:r>
              <w:rPr>
                <w:b/>
                <w:bCs/>
              </w:rPr>
              <w:t xml:space="preserve">+ </w:t>
            </w:r>
            <w:r w:rsidR="00561C4D">
              <w:rPr>
                <w:b/>
                <w:bCs/>
              </w:rPr>
              <w:t>Examples</w:t>
            </w:r>
          </w:p>
          <w:p w14:paraId="6C7923C8" w14:textId="7AC67C7F" w:rsidR="00561C4D" w:rsidRDefault="00561C4D" w:rsidP="00561C4D">
            <w:pPr>
              <w:pStyle w:val="ListParagraph"/>
              <w:numPr>
                <w:ilvl w:val="0"/>
                <w:numId w:val="37"/>
              </w:numPr>
              <w:spacing w:before="60" w:after="60"/>
              <w:ind w:left="882" w:hanging="270"/>
            </w:pPr>
            <w:r>
              <w:rPr>
                <w:b/>
                <w:bCs/>
              </w:rPr>
              <w:t xml:space="preserve">Not about the person. </w:t>
            </w:r>
            <w:r>
              <w:t xml:space="preserve">A survey of elementary school teachers that asks them factual questions about class size, classroom features, and availability of classroom materials. </w:t>
            </w:r>
          </w:p>
          <w:p w14:paraId="25E5D20D" w14:textId="39E75392" w:rsidR="00561C4D" w:rsidRDefault="00561C4D" w:rsidP="00561C4D">
            <w:pPr>
              <w:pStyle w:val="ListParagraph"/>
              <w:numPr>
                <w:ilvl w:val="0"/>
                <w:numId w:val="37"/>
              </w:numPr>
              <w:spacing w:before="60" w:after="60"/>
              <w:ind w:left="882" w:hanging="270"/>
            </w:pPr>
            <w:r>
              <w:rPr>
                <w:b/>
                <w:bCs/>
              </w:rPr>
              <w:t xml:space="preserve">About the person. </w:t>
            </w:r>
            <w:r>
              <w:t>The same scenario above but the researcher also asks the teachers how long they’ve been teaching and/or asks their opinions about the standard curriculum.</w:t>
            </w:r>
          </w:p>
          <w:p w14:paraId="43A84BC1" w14:textId="45D33427" w:rsidR="00561C4D" w:rsidRDefault="00561C4D" w:rsidP="00561C4D">
            <w:pPr>
              <w:pStyle w:val="ListParagraph"/>
              <w:numPr>
                <w:ilvl w:val="0"/>
                <w:numId w:val="37"/>
              </w:numPr>
              <w:spacing w:before="60" w:after="60"/>
              <w:ind w:left="882" w:hanging="270"/>
            </w:pPr>
            <w:r>
              <w:rPr>
                <w:b/>
                <w:bCs/>
              </w:rPr>
              <w:t xml:space="preserve">About the person. </w:t>
            </w:r>
            <w:r>
              <w:t>A researcher is developing a new user interface for a computer program. Their research uses the “think aloud” method</w:t>
            </w:r>
            <w:r w:rsidR="00523162">
              <w:t>,</w:t>
            </w:r>
            <w:r>
              <w:t xml:space="preserve"> ask</w:t>
            </w:r>
            <w:r w:rsidR="00523162">
              <w:t>ing</w:t>
            </w:r>
            <w:r>
              <w:t xml:space="preserve"> college students to verbally express their thought processes as they use the interface. </w:t>
            </w:r>
            <w:r>
              <w:lastRenderedPageBreak/>
              <w:t xml:space="preserve">Though the object of the researcher’s interest is the interface, not the students, they are collecting data </w:t>
            </w:r>
            <w:r w:rsidRPr="00B30846">
              <w:rPr>
                <w:i/>
                <w:iCs/>
              </w:rPr>
              <w:t>about</w:t>
            </w:r>
            <w:r>
              <w:t xml:space="preserve"> the students.</w:t>
            </w:r>
          </w:p>
          <w:p w14:paraId="1C7199DB" w14:textId="737FBA9B" w:rsidR="00561C4D" w:rsidRDefault="00561C4D" w:rsidP="00561C4D">
            <w:pPr>
              <w:pStyle w:val="ListParagraph"/>
              <w:numPr>
                <w:ilvl w:val="0"/>
                <w:numId w:val="37"/>
              </w:numPr>
              <w:spacing w:before="60" w:after="60"/>
              <w:ind w:left="882" w:hanging="270"/>
            </w:pPr>
            <w:r>
              <w:rPr>
                <w:b/>
                <w:bCs/>
              </w:rPr>
              <w:t>Not about the person.</w:t>
            </w:r>
            <w:r>
              <w:t xml:space="preserve"> A researcher asks individuals, “How does your hospital respond to confidentiality breaches?” because they are interested in seeking information about hospital</w:t>
            </w:r>
            <w:r w:rsidR="00523162">
              <w:t xml:space="preserve"> procedures</w:t>
            </w:r>
            <w:r>
              <w:t>.</w:t>
            </w:r>
          </w:p>
          <w:p w14:paraId="1C2F0399" w14:textId="556520B5" w:rsidR="00332A60" w:rsidRPr="00C013BF" w:rsidRDefault="00561C4D" w:rsidP="00561C4D">
            <w:pPr>
              <w:pStyle w:val="ListParagraph"/>
              <w:numPr>
                <w:ilvl w:val="0"/>
                <w:numId w:val="37"/>
              </w:numPr>
              <w:spacing w:before="60" w:after="60"/>
              <w:ind w:left="882" w:hanging="270"/>
            </w:pPr>
            <w:r>
              <w:rPr>
                <w:b/>
                <w:bCs/>
              </w:rPr>
              <w:t xml:space="preserve">About the person. </w:t>
            </w:r>
            <w:r>
              <w:t>A researcher asks individuals, “How does your hospital respond to confidentiality breaches?” because they are interested in finding out how often hospital employees know the correct answer.</w:t>
            </w:r>
          </w:p>
        </w:tc>
        <w:tc>
          <w:tcPr>
            <w:tcW w:w="990" w:type="dxa"/>
            <w:tcBorders>
              <w:left w:val="nil"/>
            </w:tcBorders>
            <w:shd w:val="clear" w:color="auto" w:fill="EBEBFF"/>
            <w:vAlign w:val="center"/>
          </w:tcPr>
          <w:p w14:paraId="52A9BCB4" w14:textId="77777777" w:rsidR="00332A60" w:rsidRDefault="00332A60" w:rsidP="006A4907">
            <w:pPr>
              <w:jc w:val="center"/>
            </w:pPr>
          </w:p>
        </w:tc>
      </w:tr>
      <w:tr w:rsidR="002F5450" w14:paraId="56F2BBBB" w14:textId="77777777" w:rsidTr="00966551">
        <w:tc>
          <w:tcPr>
            <w:tcW w:w="8370" w:type="dxa"/>
            <w:tcBorders>
              <w:right w:val="single" w:sz="4" w:space="0" w:color="auto"/>
            </w:tcBorders>
          </w:tcPr>
          <w:p w14:paraId="5D87EF97" w14:textId="70E47EAA" w:rsidR="002F5450" w:rsidRPr="00966551" w:rsidRDefault="00966551" w:rsidP="00966551">
            <w:pPr>
              <w:pStyle w:val="ListParagraph"/>
              <w:numPr>
                <w:ilvl w:val="1"/>
                <w:numId w:val="29"/>
              </w:numPr>
              <w:spacing w:before="60" w:after="60"/>
              <w:rPr>
                <w:b/>
                <w:bCs/>
              </w:rPr>
            </w:pPr>
            <w:r>
              <w:rPr>
                <w:b/>
                <w:bCs/>
              </w:rPr>
              <w:t>One or both of the following are true:</w:t>
            </w:r>
          </w:p>
        </w:tc>
        <w:tc>
          <w:tcPr>
            <w:tcW w:w="990" w:type="dxa"/>
            <w:tcBorders>
              <w:left w:val="single" w:sz="4" w:space="0" w:color="auto"/>
              <w:bottom w:val="single" w:sz="4" w:space="0" w:color="auto"/>
            </w:tcBorders>
            <w:vAlign w:val="center"/>
          </w:tcPr>
          <w:p w14:paraId="42FF4B26" w14:textId="23CEC220" w:rsidR="002F5450" w:rsidRDefault="00000000" w:rsidP="006A4907">
            <w:pPr>
              <w:jc w:val="center"/>
            </w:pPr>
            <w:sdt>
              <w:sdtPr>
                <w:id w:val="1652326656"/>
                <w14:checkbox>
                  <w14:checked w14:val="0"/>
                  <w14:checkedState w14:val="2612" w14:font="MS Gothic"/>
                  <w14:uncheckedState w14:val="2610" w14:font="MS Gothic"/>
                </w14:checkbox>
              </w:sdtPr>
              <w:sdtContent>
                <w:r w:rsidR="00966551">
                  <w:rPr>
                    <w:rFonts w:ascii="MS Gothic" w:eastAsia="MS Gothic" w:hAnsi="MS Gothic" w:hint="eastAsia"/>
                  </w:rPr>
                  <w:t>☐</w:t>
                </w:r>
              </w:sdtContent>
            </w:sdt>
          </w:p>
        </w:tc>
      </w:tr>
      <w:tr w:rsidR="00966551" w14:paraId="08774C9F" w14:textId="77777777" w:rsidTr="00966551">
        <w:tc>
          <w:tcPr>
            <w:tcW w:w="8370" w:type="dxa"/>
            <w:tcBorders>
              <w:right w:val="nil"/>
            </w:tcBorders>
          </w:tcPr>
          <w:p w14:paraId="46FBFF8D" w14:textId="52B0A0E6" w:rsidR="00966551" w:rsidRDefault="00966551" w:rsidP="00C74AAF">
            <w:pPr>
              <w:pStyle w:val="ListParagraph"/>
              <w:numPr>
                <w:ilvl w:val="2"/>
                <w:numId w:val="29"/>
              </w:numPr>
              <w:spacing w:before="60" w:after="60"/>
              <w:ind w:left="612" w:hanging="270"/>
              <w:rPr>
                <w:b/>
                <w:bCs/>
              </w:rPr>
            </w:pPr>
            <w:r>
              <w:rPr>
                <w:b/>
                <w:bCs/>
              </w:rPr>
              <w:t>The researcher will obtain information/biospecimens through intervention or interaction with the individual and use, study, or analyze the information/biospecimens.</w:t>
            </w:r>
          </w:p>
        </w:tc>
        <w:tc>
          <w:tcPr>
            <w:tcW w:w="990" w:type="dxa"/>
            <w:tcBorders>
              <w:left w:val="nil"/>
              <w:bottom w:val="single" w:sz="4" w:space="0" w:color="auto"/>
            </w:tcBorders>
            <w:vAlign w:val="center"/>
          </w:tcPr>
          <w:p w14:paraId="4C87954B" w14:textId="33F666D9" w:rsidR="00966551" w:rsidRDefault="00966551" w:rsidP="006A4907">
            <w:pPr>
              <w:jc w:val="center"/>
            </w:pPr>
          </w:p>
        </w:tc>
      </w:tr>
      <w:tr w:rsidR="00966551" w14:paraId="21950D41" w14:textId="77777777" w:rsidTr="00474F35">
        <w:tc>
          <w:tcPr>
            <w:tcW w:w="8370" w:type="dxa"/>
            <w:tcBorders>
              <w:right w:val="nil"/>
            </w:tcBorders>
            <w:shd w:val="clear" w:color="auto" w:fill="EBEBFF"/>
          </w:tcPr>
          <w:p w14:paraId="27E1AFEE" w14:textId="77777777" w:rsidR="00AA33E6" w:rsidRDefault="00AA33E6" w:rsidP="00AA33E6">
            <w:pPr>
              <w:spacing w:before="60" w:after="60"/>
              <w:ind w:left="345"/>
              <w:rPr>
                <w:b/>
                <w:bCs/>
              </w:rPr>
            </w:pPr>
            <w:r>
              <w:rPr>
                <w:b/>
                <w:bCs/>
              </w:rPr>
              <w:t>+ Guidance</w:t>
            </w:r>
          </w:p>
          <w:p w14:paraId="35893F53" w14:textId="2FC6EB89" w:rsidR="00C3497A" w:rsidRDefault="00C3497A" w:rsidP="00C3497A">
            <w:pPr>
              <w:pStyle w:val="ListParagraph"/>
              <w:numPr>
                <w:ilvl w:val="0"/>
                <w:numId w:val="38"/>
              </w:numPr>
              <w:spacing w:before="60" w:after="60"/>
              <w:ind w:left="792" w:hanging="270"/>
            </w:pPr>
            <w:r>
              <w:rPr>
                <w:b/>
                <w:bCs/>
              </w:rPr>
              <w:t>Obtain:</w:t>
            </w:r>
            <w:r>
              <w:t xml:space="preserve"> Record in any way (writing, video, email, voice recording, photography, etc.) for research purposes and retained for any length of time. </w:t>
            </w:r>
          </w:p>
          <w:p w14:paraId="3E22D276" w14:textId="77777777" w:rsidR="00966551" w:rsidRDefault="00C3497A" w:rsidP="00C3497A">
            <w:pPr>
              <w:pStyle w:val="ListParagraph"/>
              <w:numPr>
                <w:ilvl w:val="0"/>
                <w:numId w:val="38"/>
              </w:numPr>
              <w:spacing w:before="60" w:after="60"/>
              <w:ind w:left="792" w:hanging="270"/>
            </w:pPr>
            <w:r>
              <w:rPr>
                <w:b/>
                <w:bCs/>
              </w:rPr>
              <w:t xml:space="preserve">Intervention: </w:t>
            </w:r>
            <w:r>
              <w:t xml:space="preserve">Physical procedures or manipulations of the individual or individual’s environment that are performed for research purposes. </w:t>
            </w:r>
            <w:r w:rsidRPr="00E93C5A">
              <w:rPr>
                <w:i/>
                <w:iCs/>
              </w:rPr>
              <w:t xml:space="preserve">Manipulations </w:t>
            </w:r>
            <w:r>
              <w:t xml:space="preserve">may be physical, social, psychological, or emotional. </w:t>
            </w:r>
            <w:r>
              <w:rPr>
                <w:i/>
                <w:iCs/>
              </w:rPr>
              <w:t xml:space="preserve">Environment </w:t>
            </w:r>
            <w:r>
              <w:t>includes an individual’s social and virtual environments as well as physical environment.</w:t>
            </w:r>
          </w:p>
          <w:p w14:paraId="112FE31B" w14:textId="386D2EDC" w:rsidR="00C3497A" w:rsidRPr="00C3497A" w:rsidRDefault="00C3497A" w:rsidP="00C62A9C">
            <w:pPr>
              <w:pStyle w:val="ListParagraph"/>
              <w:numPr>
                <w:ilvl w:val="0"/>
                <w:numId w:val="38"/>
              </w:numPr>
              <w:spacing w:before="60" w:after="60"/>
              <w:ind w:left="792" w:hanging="270"/>
            </w:pPr>
            <w:r>
              <w:rPr>
                <w:b/>
                <w:bCs/>
              </w:rPr>
              <w:t xml:space="preserve">Interaction: </w:t>
            </w:r>
            <w:r>
              <w:t xml:space="preserve">Communication or interpersonal contact between a member of the research team and the individual. Surveys, whether in person, by mail, email, phone or social media are an example of interaction between researchers and individuals. </w:t>
            </w:r>
          </w:p>
        </w:tc>
        <w:tc>
          <w:tcPr>
            <w:tcW w:w="990" w:type="dxa"/>
            <w:tcBorders>
              <w:left w:val="nil"/>
              <w:bottom w:val="single" w:sz="4" w:space="0" w:color="auto"/>
            </w:tcBorders>
            <w:shd w:val="clear" w:color="auto" w:fill="EBEBFF"/>
            <w:vAlign w:val="center"/>
          </w:tcPr>
          <w:p w14:paraId="75282EB7" w14:textId="77777777" w:rsidR="00966551" w:rsidRDefault="00966551" w:rsidP="006A4907">
            <w:pPr>
              <w:jc w:val="center"/>
            </w:pPr>
          </w:p>
        </w:tc>
      </w:tr>
      <w:tr w:rsidR="00966551" w14:paraId="585598E0" w14:textId="77777777" w:rsidTr="00966551">
        <w:tc>
          <w:tcPr>
            <w:tcW w:w="8370" w:type="dxa"/>
            <w:tcBorders>
              <w:right w:val="nil"/>
            </w:tcBorders>
          </w:tcPr>
          <w:p w14:paraId="2B8D0A90" w14:textId="282914B4" w:rsidR="00966551" w:rsidRDefault="00966551" w:rsidP="00C74AAF">
            <w:pPr>
              <w:pStyle w:val="ListParagraph"/>
              <w:numPr>
                <w:ilvl w:val="2"/>
                <w:numId w:val="29"/>
              </w:numPr>
              <w:spacing w:before="60" w:after="60"/>
              <w:ind w:left="612" w:hanging="270"/>
              <w:rPr>
                <w:b/>
                <w:bCs/>
              </w:rPr>
            </w:pPr>
            <w:r>
              <w:rPr>
                <w:b/>
                <w:bCs/>
              </w:rPr>
              <w:t>The researcher will obtain and use, study, analyze or generate identifiable private information and/or identifiable biospecimens.</w:t>
            </w:r>
          </w:p>
        </w:tc>
        <w:tc>
          <w:tcPr>
            <w:tcW w:w="990" w:type="dxa"/>
            <w:tcBorders>
              <w:left w:val="nil"/>
            </w:tcBorders>
            <w:vAlign w:val="center"/>
          </w:tcPr>
          <w:p w14:paraId="5CDAFE2B" w14:textId="3F962513" w:rsidR="00966551" w:rsidRDefault="00966551" w:rsidP="006A4907">
            <w:pPr>
              <w:jc w:val="center"/>
            </w:pPr>
          </w:p>
        </w:tc>
      </w:tr>
      <w:tr w:rsidR="002F5450" w14:paraId="68E8C078" w14:textId="77777777" w:rsidTr="000350B5">
        <w:trPr>
          <w:trHeight w:val="3761"/>
        </w:trPr>
        <w:tc>
          <w:tcPr>
            <w:tcW w:w="8370" w:type="dxa"/>
            <w:tcBorders>
              <w:right w:val="nil"/>
            </w:tcBorders>
            <w:shd w:val="clear" w:color="auto" w:fill="EBEBFF"/>
          </w:tcPr>
          <w:p w14:paraId="60446B1D" w14:textId="77777777" w:rsidR="007A40C2" w:rsidRDefault="007A40C2" w:rsidP="007A40C2">
            <w:pPr>
              <w:spacing w:before="60" w:after="60"/>
              <w:ind w:left="345"/>
              <w:rPr>
                <w:b/>
                <w:bCs/>
              </w:rPr>
            </w:pPr>
            <w:r>
              <w:rPr>
                <w:b/>
                <w:bCs/>
              </w:rPr>
              <w:t>+ Guidance</w:t>
            </w:r>
          </w:p>
          <w:p w14:paraId="3BCE2C0D" w14:textId="6CB45E55" w:rsidR="007A40C2" w:rsidRDefault="007A40C2" w:rsidP="007A40C2">
            <w:pPr>
              <w:pStyle w:val="ListParagraph"/>
              <w:numPr>
                <w:ilvl w:val="0"/>
                <w:numId w:val="38"/>
              </w:numPr>
              <w:spacing w:before="60" w:after="60"/>
              <w:ind w:left="792" w:hanging="270"/>
            </w:pPr>
            <w:r>
              <w:rPr>
                <w:b/>
                <w:bCs/>
              </w:rPr>
              <w:t>Obtain:</w:t>
            </w:r>
            <w:r>
              <w:t xml:space="preserve"> Record in any way (writing, video, email, voice recording, photography, etc.) for research purposes and retained for any length of time, from any source. This includes any private identifiable information/biospecimens already in the possession of the research team. </w:t>
            </w:r>
          </w:p>
          <w:p w14:paraId="139A69B8" w14:textId="32030CC2" w:rsidR="007A40C2" w:rsidRPr="00275A5C" w:rsidRDefault="007A40C2" w:rsidP="007A40C2">
            <w:pPr>
              <w:pStyle w:val="ListParagraph"/>
              <w:numPr>
                <w:ilvl w:val="0"/>
                <w:numId w:val="38"/>
              </w:numPr>
              <w:spacing w:before="60" w:after="60"/>
              <w:ind w:left="792" w:hanging="270"/>
            </w:pPr>
            <w:r>
              <w:rPr>
                <w:b/>
                <w:bCs/>
              </w:rPr>
              <w:t>Private</w:t>
            </w:r>
          </w:p>
          <w:p w14:paraId="3A0D428C" w14:textId="6A1C92B7" w:rsidR="00275A5C" w:rsidRDefault="00275A5C" w:rsidP="00275A5C">
            <w:pPr>
              <w:pStyle w:val="ListParagraph"/>
              <w:numPr>
                <w:ilvl w:val="1"/>
                <w:numId w:val="38"/>
              </w:numPr>
              <w:spacing w:before="60" w:after="60"/>
              <w:ind w:left="1152" w:hanging="270"/>
            </w:pPr>
            <w:r>
              <w:t xml:space="preserve">Publicly available data are not considered private. For example, there are many large data sets that are widely available. These are not considered to involve </w:t>
            </w:r>
            <w:r>
              <w:rPr>
                <w:i/>
                <w:iCs/>
              </w:rPr>
              <w:t>human subjects</w:t>
            </w:r>
            <w:r>
              <w:t xml:space="preserve"> as defined by the Common Rule. Review </w:t>
            </w:r>
            <w:hyperlink r:id="rId23" w:history="1">
              <w:r w:rsidRPr="00275A5C">
                <w:rPr>
                  <w:rStyle w:val="Hyperlink"/>
                  <w:b/>
                  <w:bCs/>
                </w:rPr>
                <w:t>GUIDANCE Data Sets Not Requiring HSD or IRB Review</w:t>
              </w:r>
            </w:hyperlink>
            <w:r>
              <w:rPr>
                <w:b/>
                <w:bCs/>
              </w:rPr>
              <w:t xml:space="preserve"> </w:t>
            </w:r>
            <w:r>
              <w:t xml:space="preserve">for a list of data sets that HSD has already determined to not involve human subjects. </w:t>
            </w:r>
          </w:p>
          <w:p w14:paraId="490E175A" w14:textId="353BDC77" w:rsidR="00275A5C" w:rsidRDefault="00275A5C" w:rsidP="00275A5C">
            <w:pPr>
              <w:pStyle w:val="ListParagraph"/>
              <w:numPr>
                <w:ilvl w:val="1"/>
                <w:numId w:val="38"/>
              </w:numPr>
              <w:spacing w:before="60" w:after="60"/>
              <w:ind w:left="1152" w:hanging="270"/>
            </w:pPr>
            <w:r>
              <w:t>Information</w:t>
            </w:r>
            <w:r w:rsidR="000A1AFF">
              <w:t>/</w:t>
            </w:r>
            <w:r>
              <w:t>biospecimen</w:t>
            </w:r>
            <w:r w:rsidR="000A1AFF">
              <w:t>s</w:t>
            </w:r>
            <w:r>
              <w:t xml:space="preserve"> that </w:t>
            </w:r>
            <w:r w:rsidR="000A1AFF">
              <w:t>are</w:t>
            </w:r>
            <w:r>
              <w:t xml:space="preserve"> collected specifically for the proposed research through an interaction or intervention </w:t>
            </w:r>
            <w:r w:rsidR="000A1AFF">
              <w:t>are</w:t>
            </w:r>
            <w:r>
              <w:t xml:space="preserve"> always considered to be private. </w:t>
            </w:r>
          </w:p>
          <w:p w14:paraId="6D8332E6" w14:textId="01F11D1E" w:rsidR="00275A5C" w:rsidRDefault="00275A5C" w:rsidP="00275A5C">
            <w:pPr>
              <w:pStyle w:val="ListParagraph"/>
              <w:numPr>
                <w:ilvl w:val="1"/>
                <w:numId w:val="38"/>
              </w:numPr>
              <w:spacing w:before="60" w:after="60"/>
              <w:ind w:left="1152" w:hanging="270"/>
            </w:pPr>
            <w:r>
              <w:t xml:space="preserve">If permission is required to obtain information, then the information is almost always considered to be private. </w:t>
            </w:r>
          </w:p>
          <w:p w14:paraId="19F6B72E" w14:textId="1C994CE5" w:rsidR="00275A5C" w:rsidRDefault="00275A5C" w:rsidP="00275A5C">
            <w:pPr>
              <w:pStyle w:val="ListParagraph"/>
              <w:numPr>
                <w:ilvl w:val="1"/>
                <w:numId w:val="38"/>
              </w:numPr>
              <w:spacing w:before="60" w:after="60"/>
              <w:ind w:left="1152" w:hanging="270"/>
            </w:pPr>
            <w:r>
              <w:t xml:space="preserve">There are many gray areas distinguishing </w:t>
            </w:r>
            <w:r>
              <w:rPr>
                <w:i/>
                <w:iCs/>
              </w:rPr>
              <w:t xml:space="preserve">private </w:t>
            </w:r>
            <w:r>
              <w:t xml:space="preserve">from </w:t>
            </w:r>
            <w:r>
              <w:rPr>
                <w:i/>
                <w:iCs/>
              </w:rPr>
              <w:t>non-private</w:t>
            </w:r>
            <w:r>
              <w:t xml:space="preserve">. </w:t>
            </w:r>
            <w:r w:rsidR="000A1AFF">
              <w:t>S</w:t>
            </w:r>
            <w:r>
              <w:t xml:space="preserve">ome situations are best considered </w:t>
            </w:r>
            <w:r>
              <w:rPr>
                <w:i/>
                <w:iCs/>
              </w:rPr>
              <w:t>semi-private</w:t>
            </w:r>
            <w:r w:rsidR="000A1AFF">
              <w:t>, such as</w:t>
            </w:r>
            <w:r>
              <w:t xml:space="preserve"> some behaviors, communications, and interactions that occur in electronic or social media. </w:t>
            </w:r>
            <w:r w:rsidR="00495388">
              <w:lastRenderedPageBreak/>
              <w:t>Some types</w:t>
            </w:r>
            <w:r>
              <w:t xml:space="preserve"> of information may be considered private for one group of individuals but not for others.</w:t>
            </w:r>
          </w:p>
          <w:p w14:paraId="7757547B" w14:textId="0D7E30B0" w:rsidR="00275A5C" w:rsidRPr="007F744D" w:rsidRDefault="00275A5C" w:rsidP="00275A5C">
            <w:pPr>
              <w:pStyle w:val="ListParagraph"/>
              <w:numPr>
                <w:ilvl w:val="0"/>
                <w:numId w:val="38"/>
              </w:numPr>
              <w:spacing w:before="60" w:after="60"/>
              <w:ind w:left="792"/>
            </w:pPr>
            <w:r>
              <w:rPr>
                <w:b/>
                <w:bCs/>
              </w:rPr>
              <w:t>Identifiable</w:t>
            </w:r>
            <w:r w:rsidR="008C6E44">
              <w:rPr>
                <w:b/>
                <w:bCs/>
              </w:rPr>
              <w:t>:</w:t>
            </w:r>
            <w:r w:rsidR="0081580D">
              <w:rPr>
                <w:b/>
                <w:bCs/>
              </w:rPr>
              <w:t xml:space="preserve"> </w:t>
            </w:r>
            <w:r w:rsidR="0081580D">
              <w:t>The identity of the subject is or may readily be ascertained</w:t>
            </w:r>
            <w:r w:rsidR="00852550">
              <w:t xml:space="preserve"> by the investigator or associated with the information or biospecimen.</w:t>
            </w:r>
          </w:p>
          <w:p w14:paraId="4C073002" w14:textId="44C2A45B" w:rsidR="007F744D" w:rsidRDefault="005F4255" w:rsidP="007F744D">
            <w:pPr>
              <w:pStyle w:val="ListParagraph"/>
              <w:numPr>
                <w:ilvl w:val="1"/>
                <w:numId w:val="38"/>
              </w:numPr>
              <w:spacing w:before="60" w:after="60"/>
              <w:ind w:left="1152" w:hanging="270"/>
            </w:pPr>
            <w:r>
              <w:rPr>
                <w:b/>
                <w:bCs/>
              </w:rPr>
              <w:t xml:space="preserve">HIPAA. </w:t>
            </w:r>
            <w:r w:rsidR="007F744D">
              <w:t xml:space="preserve">Note that </w:t>
            </w:r>
            <w:r w:rsidR="000350B5">
              <w:t>i</w:t>
            </w:r>
            <w:r w:rsidR="007F744D">
              <w:t xml:space="preserve">nformation that is considered to be an </w:t>
            </w:r>
            <w:r w:rsidR="007F744D">
              <w:rPr>
                <w:i/>
                <w:iCs/>
              </w:rPr>
              <w:t>identifier</w:t>
            </w:r>
            <w:r w:rsidR="007F744D">
              <w:t xml:space="preserve"> by HIPAA regulations may not be </w:t>
            </w:r>
            <w:r w:rsidR="007F744D">
              <w:rPr>
                <w:i/>
                <w:iCs/>
              </w:rPr>
              <w:t xml:space="preserve">identifiable </w:t>
            </w:r>
            <w:r w:rsidR="007F744D">
              <w:t>according to the Common Rule, depending on the context.</w:t>
            </w:r>
            <w:r w:rsidR="00ED68AF">
              <w:t xml:space="preserve"> If the data are not identifiable per the Common Rule but they are identifiable per HIPAA, you may be required to obtain HIPAA authorization or a waiver. </w:t>
            </w:r>
          </w:p>
          <w:p w14:paraId="171D699E" w14:textId="48499933" w:rsidR="007F744D" w:rsidRDefault="00917E5F" w:rsidP="007F744D">
            <w:pPr>
              <w:pStyle w:val="ListParagraph"/>
              <w:numPr>
                <w:ilvl w:val="1"/>
                <w:numId w:val="38"/>
              </w:numPr>
              <w:spacing w:before="60" w:after="60"/>
              <w:ind w:left="1152" w:hanging="270"/>
            </w:pPr>
            <w:r>
              <w:rPr>
                <w:b/>
                <w:bCs/>
              </w:rPr>
              <w:t>Coded informat</w:t>
            </w:r>
            <w:r w:rsidR="00BB6133">
              <w:rPr>
                <w:b/>
                <w:bCs/>
              </w:rPr>
              <w:t xml:space="preserve">ion or specimens. </w:t>
            </w:r>
            <w:r w:rsidR="007F744D">
              <w:t>Some specific circumstances in which information</w:t>
            </w:r>
            <w:r w:rsidR="000350B5">
              <w:t>/</w:t>
            </w:r>
            <w:r w:rsidR="007F744D">
              <w:t>biospecimens would not be considered identifiable:</w:t>
            </w:r>
          </w:p>
          <w:p w14:paraId="4F77AB1D" w14:textId="650983B9" w:rsidR="007F744D" w:rsidRDefault="007F744D" w:rsidP="00E93C5A">
            <w:pPr>
              <w:pStyle w:val="ListParagraph"/>
              <w:numPr>
                <w:ilvl w:val="2"/>
                <w:numId w:val="38"/>
              </w:numPr>
              <w:spacing w:before="60" w:after="60"/>
              <w:ind w:left="1512" w:hanging="270"/>
            </w:pPr>
            <w:r>
              <w:t>The identifiers or key to the identifier code have been destroyed.</w:t>
            </w:r>
          </w:p>
          <w:p w14:paraId="12D6AC9A" w14:textId="19094954" w:rsidR="007F744D" w:rsidRDefault="007F744D" w:rsidP="00E93C5A">
            <w:pPr>
              <w:pStyle w:val="ListParagraph"/>
              <w:numPr>
                <w:ilvl w:val="2"/>
                <w:numId w:val="38"/>
              </w:numPr>
              <w:spacing w:before="60" w:after="60"/>
              <w:ind w:left="1512" w:hanging="270"/>
            </w:pPr>
            <w:r>
              <w:t>The research team has entered into an agreement with the holder of the identifiers or code key that prohibits the release of the identifiers or code key to the team members.</w:t>
            </w:r>
          </w:p>
          <w:p w14:paraId="0CF99EE5" w14:textId="77777777" w:rsidR="00710528" w:rsidRPr="00710528" w:rsidRDefault="000350B5" w:rsidP="00D946F9">
            <w:pPr>
              <w:pStyle w:val="ListParagraph"/>
              <w:numPr>
                <w:ilvl w:val="2"/>
                <w:numId w:val="38"/>
              </w:numPr>
              <w:spacing w:before="60" w:after="60"/>
              <w:ind w:left="1512" w:hanging="270"/>
              <w:rPr>
                <w:b/>
                <w:bCs/>
              </w:rPr>
            </w:pPr>
            <w:r>
              <w:t xml:space="preserve">When </w:t>
            </w:r>
            <w:r w:rsidRPr="000350B5">
              <w:t xml:space="preserve">the data come from a repository, data center, or similar source: </w:t>
            </w:r>
            <w:r w:rsidR="00E93C5A">
              <w:t>t</w:t>
            </w:r>
            <w:r w:rsidRPr="000350B5">
              <w:t xml:space="preserve">here are IRB approved written policies and procedures for the source that prohibit release of the key to the team members. </w:t>
            </w:r>
          </w:p>
          <w:p w14:paraId="4D487711" w14:textId="77777777" w:rsidR="002F5450" w:rsidRPr="009C5438" w:rsidRDefault="000350B5" w:rsidP="00D946F9">
            <w:pPr>
              <w:pStyle w:val="ListParagraph"/>
              <w:numPr>
                <w:ilvl w:val="2"/>
                <w:numId w:val="38"/>
              </w:numPr>
              <w:spacing w:before="60" w:after="60"/>
              <w:ind w:left="1512" w:hanging="270"/>
              <w:rPr>
                <w:b/>
                <w:bCs/>
              </w:rPr>
            </w:pPr>
            <w:r w:rsidRPr="000350B5">
              <w:t>There are other legal requirements prohibiting the release of the identifiers or code key to the team.</w:t>
            </w:r>
          </w:p>
          <w:p w14:paraId="091A7C5E" w14:textId="45ECA885" w:rsidR="00A56369" w:rsidRDefault="0090171F" w:rsidP="001E6446">
            <w:pPr>
              <w:pStyle w:val="ListParagraph"/>
              <w:numPr>
                <w:ilvl w:val="0"/>
                <w:numId w:val="47"/>
              </w:numPr>
              <w:spacing w:before="60" w:after="60"/>
              <w:ind w:left="1239" w:hanging="201"/>
              <w:rPr>
                <w:b/>
                <w:bCs/>
              </w:rPr>
            </w:pPr>
            <w:r>
              <w:rPr>
                <w:b/>
                <w:bCs/>
              </w:rPr>
              <w:t xml:space="preserve">Secondary use of </w:t>
            </w:r>
            <w:r w:rsidR="00D568D6">
              <w:rPr>
                <w:b/>
                <w:bCs/>
              </w:rPr>
              <w:t xml:space="preserve">de-identified </w:t>
            </w:r>
            <w:r>
              <w:rPr>
                <w:b/>
                <w:bCs/>
              </w:rPr>
              <w:t xml:space="preserve">UW Medicine Data involving </w:t>
            </w:r>
            <w:r w:rsidR="00272339">
              <w:rPr>
                <w:b/>
                <w:bCs/>
              </w:rPr>
              <w:t>AI</w:t>
            </w:r>
          </w:p>
          <w:p w14:paraId="413C9BD4" w14:textId="4EEC663E" w:rsidR="005303BF" w:rsidRPr="009C5438" w:rsidRDefault="00BB4D64" w:rsidP="005303BF">
            <w:pPr>
              <w:pStyle w:val="ListParagraph"/>
              <w:numPr>
                <w:ilvl w:val="1"/>
                <w:numId w:val="47"/>
              </w:numPr>
              <w:spacing w:before="60" w:after="60"/>
              <w:ind w:left="1509" w:hanging="270"/>
              <w:rPr>
                <w:b/>
                <w:bCs/>
              </w:rPr>
            </w:pPr>
            <w:r>
              <w:t>To mitigate risks that may result from re-identification, i</w:t>
            </w:r>
            <w:r w:rsidR="005303BF">
              <w:t>t i</w:t>
            </w:r>
            <w:r w:rsidR="006F5F25">
              <w:t xml:space="preserve">s </w:t>
            </w:r>
            <w:r w:rsidR="006F5F25">
              <w:rPr>
                <w:b/>
                <w:bCs/>
              </w:rPr>
              <w:t xml:space="preserve">UW Policy </w:t>
            </w:r>
            <w:r w:rsidR="00AE2BCC">
              <w:t xml:space="preserve">that data are considered to be identifiable for the purposes of this worksheet and HSD/IRB review if </w:t>
            </w:r>
            <w:r w:rsidR="00AE2BCC" w:rsidRPr="009C5438">
              <w:rPr>
                <w:b/>
                <w:bCs/>
              </w:rPr>
              <w:t>all</w:t>
            </w:r>
            <w:r w:rsidR="00AE2BCC">
              <w:t xml:space="preserve"> of the following</w:t>
            </w:r>
            <w:r w:rsidR="00D01B69">
              <w:t xml:space="preserve"> apply:</w:t>
            </w:r>
          </w:p>
          <w:p w14:paraId="69838887" w14:textId="5DAA772A" w:rsidR="00D01B69" w:rsidRPr="009C5438" w:rsidRDefault="00B7587C" w:rsidP="009C5438">
            <w:pPr>
              <w:pStyle w:val="ListParagraph"/>
              <w:numPr>
                <w:ilvl w:val="1"/>
                <w:numId w:val="47"/>
              </w:numPr>
              <w:spacing w:before="60" w:after="60"/>
              <w:ind w:left="1869" w:hanging="270"/>
              <w:rPr>
                <w:b/>
                <w:bCs/>
              </w:rPr>
            </w:pPr>
            <w:r>
              <w:t xml:space="preserve">The research is led by a </w:t>
            </w:r>
            <w:r w:rsidRPr="009C5438">
              <w:rPr>
                <w:b/>
                <w:bCs/>
              </w:rPr>
              <w:t xml:space="preserve">School of Medicine </w:t>
            </w:r>
            <w:proofErr w:type="gramStart"/>
            <w:r w:rsidRPr="009C5438">
              <w:rPr>
                <w:b/>
                <w:bCs/>
              </w:rPr>
              <w:t>PI</w:t>
            </w:r>
            <w:r w:rsidR="00444482">
              <w:t>;</w:t>
            </w:r>
            <w:proofErr w:type="gramEnd"/>
          </w:p>
          <w:p w14:paraId="4B89F6FF" w14:textId="3E0CC381" w:rsidR="00444482" w:rsidRPr="009C5438" w:rsidRDefault="00444482" w:rsidP="009C5438">
            <w:pPr>
              <w:pStyle w:val="ListParagraph"/>
              <w:numPr>
                <w:ilvl w:val="1"/>
                <w:numId w:val="47"/>
              </w:numPr>
              <w:spacing w:before="60" w:after="60"/>
              <w:ind w:left="1869" w:hanging="270"/>
              <w:rPr>
                <w:b/>
                <w:bCs/>
              </w:rPr>
            </w:pPr>
            <w:r>
              <w:t xml:space="preserve">The research involves </w:t>
            </w:r>
            <w:hyperlink r:id="rId24" w:history="1">
              <w:r w:rsidR="003101B3" w:rsidRPr="009C5438">
                <w:rPr>
                  <w:rStyle w:val="Hyperlink"/>
                  <w:b/>
                  <w:bCs/>
                </w:rPr>
                <w:t xml:space="preserve">use of </w:t>
              </w:r>
              <w:r w:rsidR="00D62F8F" w:rsidRPr="009C5438">
                <w:rPr>
                  <w:rStyle w:val="Hyperlink"/>
                  <w:b/>
                  <w:bCs/>
                </w:rPr>
                <w:t>A</w:t>
              </w:r>
              <w:r w:rsidR="00272339" w:rsidRPr="0028332A">
                <w:rPr>
                  <w:rStyle w:val="Hyperlink"/>
                  <w:b/>
                  <w:bCs/>
                </w:rPr>
                <w:t>rtificial Intelligence</w:t>
              </w:r>
            </w:hyperlink>
            <w:r w:rsidR="00272339">
              <w:rPr>
                <w:b/>
                <w:bCs/>
              </w:rPr>
              <w:t>;</w:t>
            </w:r>
          </w:p>
          <w:p w14:paraId="67207C8F" w14:textId="31C36D94" w:rsidR="00D62F8F" w:rsidRDefault="00D62F8F" w:rsidP="009C5438">
            <w:pPr>
              <w:pStyle w:val="ListParagraph"/>
              <w:numPr>
                <w:ilvl w:val="1"/>
                <w:numId w:val="47"/>
              </w:numPr>
              <w:spacing w:before="60" w:after="60"/>
              <w:ind w:left="1869" w:hanging="270"/>
              <w:rPr>
                <w:b/>
                <w:bCs/>
              </w:rPr>
            </w:pPr>
            <w:r>
              <w:t xml:space="preserve">The research involves use of </w:t>
            </w:r>
            <w:r w:rsidR="00C13F34">
              <w:t xml:space="preserve">de-identified </w:t>
            </w:r>
            <w:hyperlink r:id="rId25" w:history="1">
              <w:r w:rsidRPr="009C5438">
                <w:rPr>
                  <w:rStyle w:val="Hyperlink"/>
                  <w:b/>
                  <w:bCs/>
                </w:rPr>
                <w:t>UW Medicine Data</w:t>
              </w:r>
            </w:hyperlink>
            <w:r w:rsidR="000C227D">
              <w:t xml:space="preserve"> (including</w:t>
            </w:r>
            <w:r w:rsidR="000548F8">
              <w:t xml:space="preserve"> </w:t>
            </w:r>
            <w:r w:rsidR="005544EF">
              <w:t>medical</w:t>
            </w:r>
            <w:r w:rsidR="008C20A8">
              <w:t xml:space="preserve"> </w:t>
            </w:r>
            <w:r w:rsidR="000548F8">
              <w:t>images</w:t>
            </w:r>
            <w:r w:rsidR="000C227D">
              <w:t xml:space="preserve"> </w:t>
            </w:r>
            <w:r w:rsidR="008C20A8">
              <w:t xml:space="preserve">such as </w:t>
            </w:r>
            <w:r w:rsidR="00AE5865">
              <w:t>head scans)</w:t>
            </w:r>
            <w:r w:rsidR="002569B2">
              <w:t xml:space="preserve">; </w:t>
            </w:r>
            <w:r w:rsidR="002569B2" w:rsidRPr="009C5438">
              <w:rPr>
                <w:b/>
                <w:bCs/>
              </w:rPr>
              <w:t>and</w:t>
            </w:r>
            <w:r w:rsidR="00645E51">
              <w:rPr>
                <w:b/>
                <w:bCs/>
              </w:rPr>
              <w:t>,</w:t>
            </w:r>
          </w:p>
          <w:p w14:paraId="2F760434" w14:textId="4E72B063" w:rsidR="00403943" w:rsidRPr="00403943" w:rsidRDefault="00403943" w:rsidP="009C5438">
            <w:pPr>
              <w:pStyle w:val="ListParagraph"/>
              <w:numPr>
                <w:ilvl w:val="1"/>
                <w:numId w:val="47"/>
              </w:numPr>
              <w:ind w:left="1869" w:hanging="270"/>
              <w:rPr>
                <w:b/>
                <w:bCs/>
              </w:rPr>
            </w:pPr>
            <w:r w:rsidRPr="00403943">
              <w:rPr>
                <w:b/>
                <w:bCs/>
              </w:rPr>
              <w:t xml:space="preserve">Re-identification of the data would cause it to fall into risk levels 3 or 4 </w:t>
            </w:r>
            <w:r w:rsidRPr="009C5438">
              <w:t xml:space="preserve">of HSD’s </w:t>
            </w:r>
            <w:hyperlink r:id="rId26" w:history="1">
              <w:r w:rsidRPr="009C5438">
                <w:rPr>
                  <w:rStyle w:val="Hyperlink"/>
                </w:rPr>
                <w:t>Guidance on Data Security Requirements</w:t>
              </w:r>
            </w:hyperlink>
            <w:r w:rsidRPr="009C5438">
              <w:t xml:space="preserve"> (e.g., personal health information, financial account information, HR records, information about illegal behavior).</w:t>
            </w:r>
          </w:p>
          <w:p w14:paraId="69360368" w14:textId="77777777" w:rsidR="00645E51" w:rsidRDefault="00D87FBF" w:rsidP="00D87FBF">
            <w:pPr>
              <w:pStyle w:val="ListParagraph"/>
              <w:numPr>
                <w:ilvl w:val="1"/>
                <w:numId w:val="47"/>
              </w:numPr>
              <w:spacing w:before="60" w:after="60"/>
              <w:ind w:left="1509" w:hanging="270"/>
              <w:rPr>
                <w:b/>
                <w:bCs/>
              </w:rPr>
            </w:pPr>
            <w:r>
              <w:rPr>
                <w:b/>
                <w:bCs/>
              </w:rPr>
              <w:t>This policy does not</w:t>
            </w:r>
            <w:r w:rsidR="007C132F">
              <w:rPr>
                <w:b/>
                <w:bCs/>
              </w:rPr>
              <w:t xml:space="preserve"> apply if either of the following conditions are met:</w:t>
            </w:r>
          </w:p>
          <w:p w14:paraId="78C80857" w14:textId="23D437B6" w:rsidR="007C132F" w:rsidRPr="009C5438" w:rsidRDefault="007C132F" w:rsidP="007C132F">
            <w:pPr>
              <w:pStyle w:val="ListParagraph"/>
              <w:numPr>
                <w:ilvl w:val="1"/>
                <w:numId w:val="47"/>
              </w:numPr>
              <w:spacing w:before="60" w:after="60"/>
              <w:ind w:left="1869" w:hanging="270"/>
              <w:rPr>
                <w:b/>
                <w:bCs/>
              </w:rPr>
            </w:pPr>
            <w:r>
              <w:t xml:space="preserve">The data have been determined by a </w:t>
            </w:r>
            <w:hyperlink r:id="rId27" w:history="1">
              <w:r w:rsidRPr="001D0A74">
                <w:rPr>
                  <w:rStyle w:val="Hyperlink"/>
                </w:rPr>
                <w:t>UW Medicine certified honest broker</w:t>
              </w:r>
            </w:hyperlink>
            <w:r>
              <w:t xml:space="preserve"> to have low risk of re-identification.</w:t>
            </w:r>
          </w:p>
          <w:p w14:paraId="3918E75A" w14:textId="54966A1F" w:rsidR="0052426E" w:rsidRPr="009C5438" w:rsidRDefault="007C132F" w:rsidP="009C5438">
            <w:pPr>
              <w:pStyle w:val="ListParagraph"/>
              <w:numPr>
                <w:ilvl w:val="1"/>
                <w:numId w:val="47"/>
              </w:numPr>
              <w:spacing w:before="60" w:after="60"/>
              <w:ind w:left="1869" w:hanging="270"/>
              <w:rPr>
                <w:b/>
                <w:bCs/>
              </w:rPr>
            </w:pPr>
            <w:r>
              <w:t xml:space="preserve">The data remain within a secure </w:t>
            </w:r>
            <w:hyperlink r:id="rId28" w:history="1">
              <w:r w:rsidRPr="0028332A">
                <w:rPr>
                  <w:rStyle w:val="Hyperlink"/>
                </w:rPr>
                <w:t>UW Medicine environment</w:t>
              </w:r>
            </w:hyperlink>
            <w:r>
              <w:t xml:space="preserve">. </w:t>
            </w:r>
          </w:p>
        </w:tc>
        <w:tc>
          <w:tcPr>
            <w:tcW w:w="990" w:type="dxa"/>
            <w:tcBorders>
              <w:left w:val="nil"/>
            </w:tcBorders>
            <w:shd w:val="clear" w:color="auto" w:fill="EBEBFF"/>
            <w:vAlign w:val="center"/>
          </w:tcPr>
          <w:p w14:paraId="0B702930" w14:textId="77777777" w:rsidR="002F5450" w:rsidRDefault="002F5450" w:rsidP="006A4907">
            <w:pPr>
              <w:jc w:val="center"/>
            </w:pPr>
          </w:p>
        </w:tc>
      </w:tr>
      <w:tr w:rsidR="002F5450" w14:paraId="7DCF4D79" w14:textId="77777777" w:rsidTr="00D612DE">
        <w:tc>
          <w:tcPr>
            <w:tcW w:w="8370" w:type="dxa"/>
            <w:tcBorders>
              <w:right w:val="nil"/>
            </w:tcBorders>
          </w:tcPr>
          <w:p w14:paraId="25048853" w14:textId="02C151BF" w:rsidR="002F5450" w:rsidRPr="002F5450" w:rsidRDefault="002F5450" w:rsidP="002F5450">
            <w:pPr>
              <w:rPr>
                <w:b/>
                <w:bCs/>
              </w:rPr>
            </w:pPr>
            <w:r w:rsidRPr="002F5450">
              <w:rPr>
                <w:b/>
                <w:bCs/>
              </w:rPr>
              <w:t xml:space="preserve">If all </w:t>
            </w:r>
            <w:r w:rsidR="00474F35">
              <w:rPr>
                <w:b/>
                <w:bCs/>
              </w:rPr>
              <w:t xml:space="preserve">three </w:t>
            </w:r>
            <w:r w:rsidRPr="002F5450">
              <w:rPr>
                <w:b/>
                <w:bCs/>
              </w:rPr>
              <w:t xml:space="preserve">boxes are checked, </w:t>
            </w:r>
            <w:r w:rsidR="000350B5">
              <w:rPr>
                <w:b/>
                <w:bCs/>
              </w:rPr>
              <w:t>the research in</w:t>
            </w:r>
            <w:r w:rsidR="0027141C">
              <w:rPr>
                <w:b/>
                <w:bCs/>
              </w:rPr>
              <w:t>volve</w:t>
            </w:r>
            <w:r w:rsidR="000350B5">
              <w:rPr>
                <w:b/>
                <w:bCs/>
              </w:rPr>
              <w:t>s human subjects</w:t>
            </w:r>
            <w:r w:rsidR="00C62A9C">
              <w:rPr>
                <w:b/>
                <w:bCs/>
              </w:rPr>
              <w:t xml:space="preserve"> according to the Common Rule </w:t>
            </w:r>
            <w:r w:rsidR="00C62A9C" w:rsidRPr="00B30846">
              <w:rPr>
                <w:b/>
                <w:bCs/>
              </w:rPr>
              <w:t>definition</w:t>
            </w:r>
            <w:r w:rsidR="00B30846" w:rsidRPr="00B30846">
              <w:rPr>
                <w:b/>
                <w:bCs/>
              </w:rPr>
              <w:t xml:space="preserve"> -</w:t>
            </w:r>
            <w:r w:rsidRPr="002F5450">
              <w:rPr>
                <w:b/>
                <w:bCs/>
              </w:rPr>
              <w:t xml:space="preserve"> </w:t>
            </w:r>
            <w:r w:rsidR="00B30846" w:rsidRPr="00B30846">
              <w:rPr>
                <w:b/>
                <w:bCs/>
              </w:rPr>
              <w:t>c</w:t>
            </w:r>
            <w:r w:rsidR="00D612DE" w:rsidRPr="00B30846">
              <w:rPr>
                <w:b/>
                <w:bCs/>
              </w:rPr>
              <w:t xml:space="preserve">ontinue from </w:t>
            </w:r>
            <w:hyperlink r:id="rId29" w:history="1">
              <w:r w:rsidR="00D612DE" w:rsidRPr="00B30846">
                <w:rPr>
                  <w:rStyle w:val="Hyperlink"/>
                  <w:b/>
                  <w:bCs/>
                </w:rPr>
                <w:t>Step 3 on the HSD webpage “Do I Need IRB Review”</w:t>
              </w:r>
            </w:hyperlink>
            <w:r w:rsidR="00D612DE" w:rsidRPr="00B30846">
              <w:rPr>
                <w:b/>
                <w:bCs/>
              </w:rPr>
              <w:t xml:space="preserve"> to determine whether your research is </w:t>
            </w:r>
            <w:r w:rsidR="00844917">
              <w:rPr>
                <w:b/>
                <w:bCs/>
              </w:rPr>
              <w:t>e</w:t>
            </w:r>
            <w:r w:rsidR="00D612DE" w:rsidRPr="00B30846">
              <w:rPr>
                <w:b/>
                <w:bCs/>
              </w:rPr>
              <w:t>xempt or if it requires IRB review.</w:t>
            </w:r>
            <w:r w:rsidR="00D612DE" w:rsidRPr="00D612DE">
              <w:t xml:space="preserve"> </w:t>
            </w:r>
          </w:p>
          <w:p w14:paraId="7FC654BC" w14:textId="14605F2B" w:rsidR="002F5450" w:rsidRPr="002F5450" w:rsidRDefault="00C74AAF" w:rsidP="002F5450">
            <w:pPr>
              <w:spacing w:before="60" w:after="60"/>
              <w:rPr>
                <w:b/>
                <w:bCs/>
              </w:rPr>
            </w:pPr>
            <w:r>
              <w:rPr>
                <w:b/>
                <w:bCs/>
              </w:rPr>
              <w:t xml:space="preserve">For all other scenarios, </w:t>
            </w:r>
            <w:r w:rsidR="00D946F9">
              <w:rPr>
                <w:b/>
                <w:bCs/>
              </w:rPr>
              <w:t>the project does not involve human subjects research according to the Common Rule definition</w:t>
            </w:r>
            <w:r w:rsidR="0027141C">
              <w:rPr>
                <w:b/>
                <w:bCs/>
              </w:rPr>
              <w:t xml:space="preserve"> and you don’t need IRB review</w:t>
            </w:r>
            <w:r w:rsidR="00B30846">
              <w:rPr>
                <w:b/>
                <w:bCs/>
              </w:rPr>
              <w:t xml:space="preserve"> - y</w:t>
            </w:r>
            <w:r w:rsidR="00D946F9">
              <w:rPr>
                <w:b/>
                <w:bCs/>
              </w:rPr>
              <w:t>ou are done with this worksheet.</w:t>
            </w:r>
          </w:p>
        </w:tc>
        <w:tc>
          <w:tcPr>
            <w:tcW w:w="990" w:type="dxa"/>
            <w:tcBorders>
              <w:left w:val="nil"/>
            </w:tcBorders>
            <w:vAlign w:val="center"/>
          </w:tcPr>
          <w:p w14:paraId="76AD9F90" w14:textId="77777777" w:rsidR="002F5450" w:rsidRDefault="002F5450" w:rsidP="006A4907">
            <w:pPr>
              <w:jc w:val="center"/>
            </w:pPr>
          </w:p>
        </w:tc>
      </w:tr>
    </w:tbl>
    <w:p w14:paraId="6A5A3B5B" w14:textId="77777777" w:rsidR="00C93141" w:rsidRDefault="00C93141" w:rsidP="00C93141">
      <w:pPr>
        <w:ind w:right="360"/>
        <w:jc w:val="right"/>
        <w:rPr>
          <w:b/>
          <w:bCs/>
        </w:rPr>
      </w:pPr>
      <w:hyperlink w:anchor="Top" w:history="1">
        <w:r w:rsidRPr="00BD4430">
          <w:rPr>
            <w:rStyle w:val="Hyperlink"/>
            <w:b/>
            <w:bCs/>
          </w:rPr>
          <w:t>[top]</w:t>
        </w:r>
      </w:hyperlink>
    </w:p>
    <w:p w14:paraId="7A611FD2" w14:textId="77777777" w:rsidR="0052755B" w:rsidRDefault="0052755B" w:rsidP="00C93141">
      <w:pPr>
        <w:jc w:val="right"/>
        <w:rPr>
          <w:b/>
          <w:bCs/>
        </w:rPr>
      </w:pPr>
    </w:p>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252EE69E" w:rsidR="00215B3F" w:rsidRPr="00C55DDF" w:rsidRDefault="00215B3F" w:rsidP="00C55DDF">
            <w:pPr>
              <w:ind w:left="-30"/>
              <w:rPr>
                <w:b/>
                <w:bCs/>
              </w:rPr>
            </w:pPr>
            <w:r w:rsidRPr="00C55DDF">
              <w:rPr>
                <w:b/>
                <w:bCs/>
              </w:rPr>
              <w:t>RELATED MATERIALS</w:t>
            </w:r>
          </w:p>
        </w:tc>
      </w:tr>
    </w:tbl>
    <w:p w14:paraId="2E24A55A" w14:textId="79E0983D" w:rsidR="00215B3F" w:rsidRDefault="00215B3F"/>
    <w:bookmarkStart w:id="11" w:name="_Hlk94705080"/>
    <w:p w14:paraId="06BFA027" w14:textId="0B30D510" w:rsidR="00EF437E" w:rsidRDefault="00DB0B2B" w:rsidP="00C55DDF">
      <w:pPr>
        <w:pStyle w:val="ListParagraph"/>
        <w:ind w:left="90"/>
      </w:pPr>
      <w:r>
        <w:fldChar w:fldCharType="begin"/>
      </w:r>
      <w:r>
        <w:instrText xml:space="preserve"> HYPERLINK "https://www.washington.edu/research/policies/guidance-case-reports-irb-review-hipaa/" </w:instrText>
      </w:r>
      <w:r>
        <w:fldChar w:fldCharType="separate"/>
      </w:r>
      <w:r w:rsidR="00EF437E" w:rsidRPr="00DB0B2B">
        <w:rPr>
          <w:rStyle w:val="Hyperlink"/>
        </w:rPr>
        <w:t>GUIDANCE Case Reports, HIPAA, and IRB Review</w:t>
      </w:r>
      <w:r>
        <w:fldChar w:fldCharType="end"/>
      </w:r>
    </w:p>
    <w:p w14:paraId="2F1B19EA" w14:textId="66760101" w:rsidR="00EF437E" w:rsidRDefault="00EF437E" w:rsidP="00C55DDF">
      <w:pPr>
        <w:pStyle w:val="ListParagraph"/>
        <w:ind w:left="90"/>
      </w:pPr>
      <w:hyperlink r:id="rId30" w:history="1">
        <w:r w:rsidRPr="00DB0B2B">
          <w:rPr>
            <w:rStyle w:val="Hyperlink"/>
          </w:rPr>
          <w:t>GUIDANCE Data Sets Not Requiring HSD or IRB Review</w:t>
        </w:r>
      </w:hyperlink>
    </w:p>
    <w:p w14:paraId="6F86B0A7" w14:textId="00E7276A" w:rsidR="00EF437E" w:rsidRDefault="00EF437E" w:rsidP="00C55DDF">
      <w:pPr>
        <w:pStyle w:val="ListParagraph"/>
        <w:ind w:left="90"/>
      </w:pPr>
      <w:hyperlink r:id="rId31" w:history="1">
        <w:r w:rsidRPr="00DB0B2B">
          <w:rPr>
            <w:rStyle w:val="Hyperlink"/>
          </w:rPr>
          <w:t>GUIDANCE Is it Research?</w:t>
        </w:r>
      </w:hyperlink>
    </w:p>
    <w:p w14:paraId="1DF07A99" w14:textId="630FC863" w:rsidR="008250F0" w:rsidRDefault="008250F0" w:rsidP="00C55DDF">
      <w:pPr>
        <w:pStyle w:val="ListParagraph"/>
        <w:ind w:left="90"/>
      </w:pPr>
      <w:hyperlink r:id="rId32" w:history="1">
        <w:r w:rsidRPr="008250F0">
          <w:rPr>
            <w:rStyle w:val="Hyperlink"/>
          </w:rPr>
          <w:t>WEBPAGE Apply for Review</w:t>
        </w:r>
      </w:hyperlink>
    </w:p>
    <w:p w14:paraId="7DD5F050" w14:textId="060C38EC" w:rsidR="00EF437E" w:rsidRDefault="00EF437E" w:rsidP="00C55DDF">
      <w:pPr>
        <w:pStyle w:val="ListParagraph"/>
        <w:ind w:left="90"/>
      </w:pPr>
      <w:hyperlink r:id="rId33" w:history="1">
        <w:r w:rsidRPr="00DB0B2B">
          <w:rPr>
            <w:rStyle w:val="Hyperlink"/>
          </w:rPr>
          <w:t>WEBPAGE Do I Need IRB Review?</w:t>
        </w:r>
      </w:hyperlink>
    </w:p>
    <w:p w14:paraId="189542C2" w14:textId="4D01D6B9" w:rsidR="00EF437E" w:rsidRDefault="00EF437E" w:rsidP="00C55DDF">
      <w:pPr>
        <w:pStyle w:val="ListParagraph"/>
        <w:ind w:left="90"/>
      </w:pPr>
      <w:hyperlink r:id="rId34" w:history="1">
        <w:r w:rsidRPr="00DB0B2B">
          <w:rPr>
            <w:rStyle w:val="Hyperlink"/>
          </w:rPr>
          <w:t>WORKSHEET FDA Devices and the IDE Requirement</w:t>
        </w:r>
      </w:hyperlink>
      <w:r>
        <w:t xml:space="preserve"> </w:t>
      </w:r>
    </w:p>
    <w:p w14:paraId="389101E6" w14:textId="23F666A0" w:rsidR="00EF437E" w:rsidRDefault="00EF437E" w:rsidP="00C55DDF">
      <w:pPr>
        <w:pStyle w:val="ListParagraph"/>
        <w:ind w:left="90"/>
      </w:pPr>
      <w:hyperlink r:id="rId35" w:history="1">
        <w:r w:rsidRPr="00DB0B2B">
          <w:rPr>
            <w:rStyle w:val="Hyperlink"/>
          </w:rPr>
          <w:t>WORKSHEET FDA Drugs and the IND Requirement</w:t>
        </w:r>
      </w:hyperlink>
    </w:p>
    <w:bookmarkEnd w:id="11"/>
    <w:p w14:paraId="52A8D68F" w14:textId="77777777" w:rsidR="001258D0" w:rsidRDefault="001258D0" w:rsidP="008A3BB8"/>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870E2">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870E2">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478B8">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478B8">
            <w:pPr>
              <w:pStyle w:val="NoSpacing"/>
              <w:jc w:val="center"/>
              <w:rPr>
                <w:b/>
                <w:bCs/>
                <w:color w:val="FFFFFF" w:themeColor="background1"/>
              </w:rPr>
            </w:pPr>
            <w:r w:rsidRPr="00954C91">
              <w:rPr>
                <w:b/>
                <w:bCs/>
                <w:color w:val="FFFFFF" w:themeColor="background1"/>
              </w:rPr>
              <w:t>Summary of Changes</w:t>
            </w:r>
          </w:p>
        </w:tc>
      </w:tr>
      <w:tr w:rsidR="005A489C" w:rsidRPr="00D26748" w14:paraId="48675E52"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36F7B6" w14:textId="426A0BF9" w:rsidR="005A489C" w:rsidRDefault="005A489C" w:rsidP="00BE5735">
            <w:pPr>
              <w:pStyle w:val="NoSpacing"/>
              <w:jc w:val="center"/>
              <w:rPr>
                <w:rFonts w:ascii="Calibri" w:eastAsiaTheme="majorEastAsia" w:hAnsi="Calibri" w:cstheme="majorBidi"/>
                <w:szCs w:val="26"/>
              </w:rPr>
            </w:pPr>
            <w:r>
              <w:rPr>
                <w:rFonts w:ascii="Calibri" w:eastAsiaTheme="majorEastAsia" w:hAnsi="Calibri" w:cstheme="majorBidi"/>
                <w:szCs w:val="26"/>
              </w:rPr>
              <w:t>3.2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9EA8A" w14:textId="20D8EE17" w:rsidR="005A489C" w:rsidRDefault="005A489C" w:rsidP="00BE5735">
            <w:pPr>
              <w:pStyle w:val="NoSpacing"/>
              <w:jc w:val="center"/>
              <w:rPr>
                <w:rFonts w:ascii="Calibri" w:eastAsiaTheme="majorEastAsia" w:hAnsi="Calibri" w:cstheme="majorBidi"/>
              </w:rPr>
            </w:pPr>
            <w:r>
              <w:rPr>
                <w:rFonts w:ascii="Calibri" w:eastAsiaTheme="majorEastAsia" w:hAnsi="Calibri" w:cstheme="majorBidi"/>
              </w:rPr>
              <w:t>08.29.2025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79FDA" w14:textId="353E00F8" w:rsidR="005A489C" w:rsidRDefault="005A489C" w:rsidP="00BE5735">
            <w:pPr>
              <w:pStyle w:val="NoSpacing"/>
              <w:jc w:val="center"/>
              <w:rPr>
                <w:rFonts w:ascii="Calibri" w:eastAsiaTheme="majorEastAsia" w:hAnsi="Calibri" w:cstheme="majorBidi"/>
                <w:szCs w:val="26"/>
              </w:rPr>
            </w:pPr>
            <w:r>
              <w:rPr>
                <w:rFonts w:ascii="Calibri" w:eastAsiaTheme="majorEastAsia" w:hAnsi="Calibri" w:cstheme="majorBidi"/>
                <w:szCs w:val="26"/>
              </w:rPr>
              <w:t>08.29.2025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C4170" w14:textId="1B88754B" w:rsidR="005A489C" w:rsidRDefault="005A489C" w:rsidP="00BE5735">
            <w:pPr>
              <w:pStyle w:val="NoSpacing"/>
              <w:rPr>
                <w:rFonts w:ascii="Calibri" w:eastAsiaTheme="majorEastAsia" w:hAnsi="Calibri" w:cstheme="majorBidi"/>
                <w:szCs w:val="26"/>
              </w:rPr>
            </w:pPr>
            <w:r>
              <w:rPr>
                <w:rFonts w:ascii="Calibri" w:eastAsiaTheme="majorEastAsia" w:hAnsi="Calibri" w:cstheme="majorBidi"/>
                <w:szCs w:val="26"/>
              </w:rPr>
              <w:t xml:space="preserve">Updated </w:t>
            </w:r>
            <w:r w:rsidR="00714995">
              <w:rPr>
                <w:rFonts w:ascii="Calibri" w:eastAsiaTheme="majorEastAsia" w:hAnsi="Calibri" w:cstheme="majorBidi"/>
                <w:szCs w:val="26"/>
              </w:rPr>
              <w:t>with</w:t>
            </w:r>
            <w:r>
              <w:rPr>
                <w:rFonts w:ascii="Calibri" w:eastAsiaTheme="majorEastAsia" w:hAnsi="Calibri" w:cstheme="majorBidi"/>
                <w:szCs w:val="26"/>
              </w:rPr>
              <w:t xml:space="preserve"> </w:t>
            </w:r>
            <w:r w:rsidR="00DA021C">
              <w:rPr>
                <w:rFonts w:ascii="Calibri" w:eastAsiaTheme="majorEastAsia" w:hAnsi="Calibri" w:cstheme="majorBidi"/>
                <w:szCs w:val="26"/>
              </w:rPr>
              <w:t xml:space="preserve">our </w:t>
            </w:r>
            <w:r w:rsidR="00714995">
              <w:rPr>
                <w:rFonts w:ascii="Calibri" w:eastAsiaTheme="majorEastAsia" w:hAnsi="Calibri" w:cstheme="majorBidi"/>
                <w:szCs w:val="26"/>
              </w:rPr>
              <w:t xml:space="preserve">expanded definition of </w:t>
            </w:r>
            <w:r w:rsidR="00DA021C">
              <w:rPr>
                <w:rFonts w:ascii="Calibri" w:eastAsiaTheme="majorEastAsia" w:hAnsi="Calibri" w:cstheme="majorBidi"/>
                <w:szCs w:val="26"/>
              </w:rPr>
              <w:t>“identifiable”</w:t>
            </w:r>
            <w:r w:rsidR="00714995">
              <w:rPr>
                <w:rFonts w:ascii="Calibri" w:eastAsiaTheme="majorEastAsia" w:hAnsi="Calibri" w:cstheme="majorBidi"/>
                <w:szCs w:val="26"/>
              </w:rPr>
              <w:t xml:space="preserve"> and the </w:t>
            </w:r>
            <w:r>
              <w:rPr>
                <w:rFonts w:ascii="Calibri" w:eastAsiaTheme="majorEastAsia" w:hAnsi="Calibri" w:cstheme="majorBidi"/>
                <w:szCs w:val="26"/>
              </w:rPr>
              <w:t>new requirements for School of Medicine Research involving AI</w:t>
            </w:r>
          </w:p>
        </w:tc>
      </w:tr>
      <w:tr w:rsidR="00725AF1" w:rsidRPr="00D26748" w14:paraId="7C0BCDA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10B42" w14:textId="2954E8B0" w:rsidR="00ED68AF" w:rsidRDefault="00ED68AF" w:rsidP="00BE5735">
            <w:pPr>
              <w:pStyle w:val="NoSpacing"/>
              <w:jc w:val="center"/>
              <w:rPr>
                <w:rFonts w:ascii="Calibri" w:eastAsiaTheme="majorEastAsia" w:hAnsi="Calibri" w:cstheme="majorBidi"/>
                <w:szCs w:val="26"/>
              </w:rPr>
            </w:pPr>
            <w:r>
              <w:rPr>
                <w:rFonts w:ascii="Calibri" w:eastAsiaTheme="majorEastAsia" w:hAnsi="Calibri" w:cstheme="majorBidi"/>
                <w:szCs w:val="26"/>
              </w:rPr>
              <w:t>3.1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9C223" w14:textId="5B6D8974" w:rsidR="00ED68AF" w:rsidRDefault="00ED68AF" w:rsidP="00BE5735">
            <w:pPr>
              <w:pStyle w:val="NoSpacing"/>
              <w:jc w:val="center"/>
              <w:rPr>
                <w:rFonts w:ascii="Calibri" w:eastAsiaTheme="majorEastAsia" w:hAnsi="Calibri" w:cstheme="majorBidi"/>
              </w:rPr>
            </w:pPr>
            <w:r>
              <w:rPr>
                <w:rFonts w:ascii="Calibri" w:eastAsiaTheme="majorEastAsia" w:hAnsi="Calibri" w:cstheme="majorBidi"/>
              </w:rPr>
              <w:t>10.31.2024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9866A" w14:textId="098CF429" w:rsidR="00ED68AF" w:rsidRDefault="00ED68AF" w:rsidP="00BE5735">
            <w:pPr>
              <w:pStyle w:val="NoSpacing"/>
              <w:jc w:val="center"/>
              <w:rPr>
                <w:rFonts w:ascii="Calibri" w:eastAsiaTheme="majorEastAsia" w:hAnsi="Calibri" w:cstheme="majorBidi"/>
                <w:szCs w:val="26"/>
              </w:rPr>
            </w:pPr>
            <w:r>
              <w:rPr>
                <w:rFonts w:ascii="Calibri" w:eastAsiaTheme="majorEastAsia" w:hAnsi="Calibri" w:cstheme="majorBidi"/>
                <w:szCs w:val="26"/>
              </w:rPr>
              <w:t>10.31.2024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167835" w14:textId="79D51C2B" w:rsidR="00ED68AF" w:rsidRDefault="00ED68AF" w:rsidP="00BE5735">
            <w:pPr>
              <w:pStyle w:val="NoSpacing"/>
              <w:rPr>
                <w:rFonts w:ascii="Calibri" w:eastAsiaTheme="majorEastAsia" w:hAnsi="Calibri" w:cstheme="majorBidi"/>
                <w:szCs w:val="26"/>
              </w:rPr>
            </w:pPr>
            <w:r>
              <w:rPr>
                <w:rFonts w:ascii="Calibri" w:eastAsiaTheme="majorEastAsia" w:hAnsi="Calibri" w:cstheme="majorBidi"/>
                <w:szCs w:val="26"/>
              </w:rPr>
              <w:t xml:space="preserve">Clarify requirements when the data are identifiable </w:t>
            </w:r>
            <w:proofErr w:type="gramStart"/>
            <w:r>
              <w:rPr>
                <w:rFonts w:ascii="Calibri" w:eastAsiaTheme="majorEastAsia" w:hAnsi="Calibri" w:cstheme="majorBidi"/>
                <w:szCs w:val="26"/>
              </w:rPr>
              <w:t>per</w:t>
            </w:r>
            <w:proofErr w:type="gramEnd"/>
            <w:r>
              <w:rPr>
                <w:rFonts w:ascii="Calibri" w:eastAsiaTheme="majorEastAsia" w:hAnsi="Calibri" w:cstheme="majorBidi"/>
                <w:szCs w:val="26"/>
              </w:rPr>
              <w:t xml:space="preserve"> HIPAA but not identifiable </w:t>
            </w:r>
            <w:proofErr w:type="gramStart"/>
            <w:r>
              <w:rPr>
                <w:rFonts w:ascii="Calibri" w:eastAsiaTheme="majorEastAsia" w:hAnsi="Calibri" w:cstheme="majorBidi"/>
                <w:szCs w:val="26"/>
              </w:rPr>
              <w:t>per</w:t>
            </w:r>
            <w:proofErr w:type="gramEnd"/>
            <w:r>
              <w:rPr>
                <w:rFonts w:ascii="Calibri" w:eastAsiaTheme="majorEastAsia" w:hAnsi="Calibri" w:cstheme="majorBidi"/>
                <w:szCs w:val="26"/>
              </w:rPr>
              <w:t xml:space="preserve"> the Common Rule</w:t>
            </w:r>
          </w:p>
        </w:tc>
      </w:tr>
      <w:tr w:rsidR="00AB354D" w:rsidRPr="00D26748" w14:paraId="6379D91F"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BA983" w14:textId="695754B3" w:rsidR="00AB354D" w:rsidRDefault="008250F0" w:rsidP="00BE5735">
            <w:pPr>
              <w:pStyle w:val="NoSpacing"/>
              <w:jc w:val="center"/>
              <w:rPr>
                <w:rFonts w:ascii="Calibri" w:eastAsiaTheme="majorEastAsia" w:hAnsi="Calibri" w:cstheme="majorBidi"/>
                <w:szCs w:val="26"/>
              </w:rPr>
            </w:pPr>
            <w:r>
              <w:rPr>
                <w:rFonts w:ascii="Calibri" w:eastAsiaTheme="majorEastAsia" w:hAnsi="Calibri" w:cstheme="majorBidi"/>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2EA8C" w14:textId="75F0A975" w:rsidR="00AB354D" w:rsidRPr="1301FCCD" w:rsidRDefault="0027141C" w:rsidP="00BE5735">
            <w:pPr>
              <w:pStyle w:val="NoSpacing"/>
              <w:jc w:val="center"/>
              <w:rPr>
                <w:rFonts w:ascii="Calibri" w:eastAsiaTheme="majorEastAsia" w:hAnsi="Calibri" w:cstheme="majorBidi"/>
              </w:rPr>
            </w:pPr>
            <w:r>
              <w:rPr>
                <w:rFonts w:ascii="Calibri" w:eastAsiaTheme="majorEastAsia" w:hAnsi="Calibri" w:cstheme="majorBidi"/>
              </w:rPr>
              <w:t>01.26</w:t>
            </w:r>
            <w:r w:rsidR="00AB354D">
              <w:rPr>
                <w:rFonts w:ascii="Calibri" w:eastAsiaTheme="majorEastAsia" w:hAnsi="Calibri" w:cstheme="majorBidi"/>
              </w:rPr>
              <w:t>.2023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CBC2D" w14:textId="7F3B7165" w:rsidR="00AB354D" w:rsidRDefault="0027141C" w:rsidP="00BE5735">
            <w:pPr>
              <w:pStyle w:val="NoSpacing"/>
              <w:jc w:val="center"/>
              <w:rPr>
                <w:rFonts w:ascii="Calibri" w:eastAsiaTheme="majorEastAsia" w:hAnsi="Calibri" w:cstheme="majorBidi"/>
                <w:szCs w:val="26"/>
              </w:rPr>
            </w:pPr>
            <w:r>
              <w:rPr>
                <w:rFonts w:ascii="Calibri" w:eastAsiaTheme="majorEastAsia" w:hAnsi="Calibri" w:cstheme="majorBidi"/>
                <w:szCs w:val="26"/>
              </w:rPr>
              <w:t>01.26</w:t>
            </w:r>
            <w:r w:rsidR="00AB354D">
              <w:rPr>
                <w:rFonts w:ascii="Calibri" w:eastAsiaTheme="majorEastAsia" w:hAnsi="Calibri" w:cstheme="majorBidi"/>
                <w:szCs w:val="26"/>
              </w:rPr>
              <w:t>.2023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BD07A" w14:textId="46D08D3C" w:rsidR="00AB354D" w:rsidRDefault="00AB354D" w:rsidP="00BE5735">
            <w:pPr>
              <w:pStyle w:val="NoSpacing"/>
              <w:rPr>
                <w:rFonts w:ascii="Calibri" w:eastAsiaTheme="majorEastAsia" w:hAnsi="Calibri" w:cstheme="majorBidi"/>
                <w:szCs w:val="26"/>
              </w:rPr>
            </w:pPr>
            <w:r>
              <w:rPr>
                <w:rFonts w:ascii="Calibri" w:eastAsiaTheme="majorEastAsia" w:hAnsi="Calibri" w:cstheme="majorBidi"/>
                <w:szCs w:val="26"/>
              </w:rPr>
              <w:t>Move content from PDF to Word; m</w:t>
            </w:r>
            <w:r w:rsidR="0063740D">
              <w:rPr>
                <w:rFonts w:ascii="Calibri" w:eastAsiaTheme="majorEastAsia" w:hAnsi="Calibri" w:cstheme="majorBidi"/>
                <w:szCs w:val="26"/>
              </w:rPr>
              <w:t>oderate</w:t>
            </w:r>
            <w:r>
              <w:rPr>
                <w:rFonts w:ascii="Calibri" w:eastAsiaTheme="majorEastAsia" w:hAnsi="Calibri" w:cstheme="majorBidi"/>
                <w:szCs w:val="26"/>
              </w:rPr>
              <w:t xml:space="preserve"> </w:t>
            </w:r>
            <w:r w:rsidR="008250F0">
              <w:rPr>
                <w:rFonts w:ascii="Calibri" w:eastAsiaTheme="majorEastAsia" w:hAnsi="Calibri" w:cstheme="majorBidi"/>
                <w:szCs w:val="26"/>
              </w:rPr>
              <w:t xml:space="preserve">reorganization and </w:t>
            </w:r>
            <w:r>
              <w:rPr>
                <w:rFonts w:ascii="Calibri" w:eastAsiaTheme="majorEastAsia" w:hAnsi="Calibri" w:cstheme="majorBidi"/>
                <w:szCs w:val="26"/>
              </w:rPr>
              <w:t>wordsmithing throughout</w:t>
            </w:r>
          </w:p>
        </w:tc>
      </w:tr>
      <w:tr w:rsidR="00B1027A" w:rsidRPr="00D26748" w14:paraId="6B12CB24"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B5D64" w14:textId="1A2A523C"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szCs w:val="26"/>
              </w:rPr>
              <w:t>2.5</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AAB16" w14:textId="51F72148" w:rsidR="00B1027A" w:rsidRPr="1301FCCD" w:rsidRDefault="00B1027A" w:rsidP="00B1027A">
            <w:pPr>
              <w:pStyle w:val="NoSpacing"/>
              <w:jc w:val="center"/>
              <w:rPr>
                <w:rFonts w:ascii="Calibri" w:eastAsiaTheme="majorEastAsia" w:hAnsi="Calibri" w:cstheme="majorBidi"/>
              </w:rPr>
            </w:pPr>
            <w:r>
              <w:rPr>
                <w:rFonts w:ascii="Calibri" w:eastAsiaTheme="majorEastAsia" w:hAnsi="Calibri" w:cstheme="majorBidi"/>
              </w:rPr>
              <w:t>11.23.2021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211BB" w14:textId="573A6190"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rPr>
              <w:t>11.23.2021</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F0940" w14:textId="0C0318CD" w:rsidR="00B1027A" w:rsidRDefault="00B1027A" w:rsidP="00B1027A">
            <w:pPr>
              <w:pStyle w:val="NoSpacing"/>
              <w:rPr>
                <w:rFonts w:ascii="Calibri" w:eastAsiaTheme="majorEastAsia" w:hAnsi="Calibri" w:cstheme="majorBidi"/>
                <w:szCs w:val="26"/>
              </w:rPr>
            </w:pPr>
            <w:r>
              <w:rPr>
                <w:rFonts w:ascii="Calibri" w:eastAsiaTheme="majorEastAsia" w:hAnsi="Calibri" w:cstheme="majorBidi"/>
                <w:szCs w:val="26"/>
              </w:rPr>
              <w:t>Clarify requirements for PHSA exception; remove section 1 on WA state law; remove guidance distinguishing OCR and RCR</w:t>
            </w:r>
          </w:p>
        </w:tc>
      </w:tr>
      <w:tr w:rsidR="00B1027A" w:rsidRPr="00D26748" w14:paraId="4B39E9FE"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EC76CE" w14:textId="3D889013"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szCs w:val="26"/>
              </w:rPr>
              <w:t>2.4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686CA" w14:textId="5883479C" w:rsidR="00B1027A" w:rsidRPr="1301FCCD" w:rsidRDefault="00B1027A" w:rsidP="00B1027A">
            <w:pPr>
              <w:pStyle w:val="NoSpacing"/>
              <w:jc w:val="center"/>
              <w:rPr>
                <w:rFonts w:ascii="Calibri" w:eastAsiaTheme="majorEastAsia" w:hAnsi="Calibri" w:cstheme="majorBidi"/>
              </w:rPr>
            </w:pPr>
            <w:r>
              <w:rPr>
                <w:rFonts w:ascii="Calibri" w:eastAsiaTheme="majorEastAsia" w:hAnsi="Calibri" w:cstheme="majorBidi"/>
              </w:rPr>
              <w:t>06.24.2021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DD7F1" w14:textId="75BDC36D"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rPr>
              <w:t>06.24.2021</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1E2E2" w14:textId="796DE945" w:rsidR="00B1027A" w:rsidRDefault="00B1027A" w:rsidP="00B1027A">
            <w:pPr>
              <w:pStyle w:val="NoSpacing"/>
              <w:rPr>
                <w:rFonts w:ascii="Calibri" w:eastAsiaTheme="majorEastAsia" w:hAnsi="Calibri" w:cstheme="majorBidi"/>
                <w:szCs w:val="26"/>
              </w:rPr>
            </w:pPr>
            <w:r>
              <w:rPr>
                <w:rFonts w:ascii="Calibri" w:eastAsiaTheme="majorEastAsia" w:hAnsi="Calibri" w:cstheme="majorBidi"/>
                <w:szCs w:val="26"/>
              </w:rPr>
              <w:t>Updated information about decedents and WA state law RCW 70.02</w:t>
            </w:r>
          </w:p>
        </w:tc>
      </w:tr>
      <w:tr w:rsidR="00B1027A" w:rsidRPr="00D26748" w14:paraId="23183216"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292B6" w14:textId="4A0108A2"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szCs w:val="26"/>
              </w:rPr>
              <w:t>2.3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31700" w14:textId="52FEF0DA" w:rsidR="00B1027A" w:rsidRPr="1301FCCD" w:rsidRDefault="00B1027A" w:rsidP="00B1027A">
            <w:pPr>
              <w:pStyle w:val="NoSpacing"/>
              <w:jc w:val="center"/>
              <w:rPr>
                <w:rFonts w:ascii="Calibri" w:eastAsiaTheme="majorEastAsia" w:hAnsi="Calibri" w:cstheme="majorBidi"/>
              </w:rPr>
            </w:pPr>
            <w:r>
              <w:rPr>
                <w:rFonts w:ascii="Calibri" w:eastAsiaTheme="majorEastAsia" w:hAnsi="Calibri" w:cstheme="majorBidi"/>
              </w:rPr>
              <w:t>11.02.2020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62E64" w14:textId="0BFF1EF1" w:rsidR="00B1027A" w:rsidRDefault="00B1027A" w:rsidP="00B1027A">
            <w:pPr>
              <w:pStyle w:val="NoSpacing"/>
              <w:jc w:val="center"/>
              <w:rPr>
                <w:rFonts w:ascii="Calibri" w:eastAsiaTheme="majorEastAsia" w:hAnsi="Calibri" w:cstheme="majorBidi"/>
                <w:szCs w:val="26"/>
              </w:rPr>
            </w:pPr>
            <w:r>
              <w:rPr>
                <w:rFonts w:ascii="Calibri" w:eastAsiaTheme="majorEastAsia" w:hAnsi="Calibri" w:cstheme="majorBidi"/>
              </w:rPr>
              <w:t>11.02.2020</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EB8E6" w14:textId="7947D0E9" w:rsidR="00B1027A" w:rsidRDefault="00B1027A" w:rsidP="00B1027A">
            <w:pPr>
              <w:pStyle w:val="NoSpacing"/>
              <w:rPr>
                <w:rFonts w:ascii="Calibri" w:eastAsiaTheme="majorEastAsia" w:hAnsi="Calibri" w:cstheme="majorBidi"/>
                <w:szCs w:val="26"/>
              </w:rPr>
            </w:pPr>
            <w:r>
              <w:rPr>
                <w:rFonts w:ascii="Calibri" w:eastAsiaTheme="majorEastAsia" w:hAnsi="Calibri" w:cstheme="majorBidi"/>
                <w:szCs w:val="26"/>
              </w:rPr>
              <w:t>Add reminder about UW Administrative Policy 10.13</w:t>
            </w:r>
          </w:p>
        </w:tc>
      </w:tr>
      <w:tr w:rsidR="00BE5735" w:rsidRPr="00D26748" w14:paraId="472FA97F"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4697CD9B" w:rsidR="00BE5735" w:rsidRDefault="00BE5735"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5FF51251" w:rsidR="00BE5735" w:rsidRDefault="00BE5735" w:rsidP="00BE5735">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60EC2FDD" w:rsidR="00BE5735" w:rsidRDefault="00BE5735" w:rsidP="00BE5735">
            <w:pPr>
              <w:pStyle w:val="NoSpacing"/>
              <w:jc w:val="center"/>
              <w:rPr>
                <w:rFonts w:ascii="Calibri" w:eastAsiaTheme="majorEastAsia" w:hAnsi="Calibri" w:cstheme="majorBidi"/>
                <w:color w:val="000000" w:themeColor="text1"/>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0BB5B499" w:rsidR="00BE5735" w:rsidRPr="00135B00" w:rsidRDefault="00BE5735" w:rsidP="00BE5735">
            <w:pPr>
              <w:pStyle w:val="NoSpacing"/>
              <w:rPr>
                <w:rFonts w:ascii="Calibri" w:eastAsiaTheme="majorEastAsia" w:hAnsi="Calibri" w:cstheme="majorBidi"/>
                <w:color w:val="000000" w:themeColor="text1"/>
                <w:szCs w:val="26"/>
              </w:rPr>
            </w:pPr>
            <w:r>
              <w:rPr>
                <w:bCs/>
              </w:rPr>
              <w:t xml:space="preserve">For older versions: HSD Staff - see the SharePoint Document Library; Others - contact </w:t>
            </w:r>
            <w:hyperlink r:id="rId36" w:history="1">
              <w:r w:rsidRPr="005F7CAC">
                <w:rPr>
                  <w:rStyle w:val="Hyperlink"/>
                  <w:bCs/>
                </w:rPr>
                <w:t>hsdinfo@uw.edu</w:t>
              </w:r>
            </w:hyperlink>
            <w:r>
              <w:rPr>
                <w:bCs/>
              </w:rPr>
              <w:t>.</w:t>
            </w:r>
          </w:p>
        </w:tc>
      </w:tr>
    </w:tbl>
    <w:p w14:paraId="492B8A0B" w14:textId="0F361D21" w:rsidR="00F06C39" w:rsidRPr="00AA3F9D" w:rsidRDefault="00F06C39" w:rsidP="004409D4">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AB354D">
        <w:rPr>
          <w:rFonts w:cs="Calibri"/>
          <w:sz w:val="18"/>
          <w:szCs w:val="18"/>
        </w:rPr>
        <w:t>Human subject; Pre-review; Research</w:t>
      </w:r>
    </w:p>
    <w:sectPr w:rsidR="00F06C39" w:rsidRPr="00AA3F9D" w:rsidSect="00EF57B9">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5D41" w14:textId="77777777" w:rsidR="008868C1" w:rsidRDefault="008868C1" w:rsidP="008212BD">
      <w:r>
        <w:separator/>
      </w:r>
    </w:p>
  </w:endnote>
  <w:endnote w:type="continuationSeparator" w:id="0">
    <w:p w14:paraId="32DD341F" w14:textId="77777777" w:rsidR="008868C1" w:rsidRDefault="008868C1"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2B6F5C5E" w:rsidR="00E478B8" w:rsidRPr="000C25E0" w:rsidRDefault="00E478B8" w:rsidP="008212BD">
          <w:pPr>
            <w:pStyle w:val="Footer"/>
            <w:rPr>
              <w:sz w:val="18"/>
              <w:szCs w:val="18"/>
            </w:rPr>
          </w:pPr>
          <w:r>
            <w:rPr>
              <w:sz w:val="18"/>
              <w:szCs w:val="18"/>
            </w:rPr>
            <w:t xml:space="preserve">Date Posted </w:t>
          </w:r>
          <w:r w:rsidR="00626C5B">
            <w:rPr>
              <w:sz w:val="18"/>
              <w:szCs w:val="18"/>
            </w:rPr>
            <w:t>08</w:t>
          </w:r>
          <w:r w:rsidR="00ED68AF">
            <w:rPr>
              <w:sz w:val="18"/>
              <w:szCs w:val="18"/>
            </w:rPr>
            <w:t>.</w:t>
          </w:r>
          <w:r w:rsidR="00626C5B">
            <w:rPr>
              <w:sz w:val="18"/>
              <w:szCs w:val="18"/>
            </w:rPr>
            <w:t>29</w:t>
          </w:r>
          <w:r w:rsidR="00ED68AF">
            <w:rPr>
              <w:sz w:val="18"/>
              <w:szCs w:val="18"/>
            </w:rPr>
            <w:t>.202</w:t>
          </w:r>
          <w:r w:rsidR="00626C5B">
            <w:rPr>
              <w:sz w:val="18"/>
              <w:szCs w:val="18"/>
            </w:rPr>
            <w:t>5</w:t>
          </w:r>
        </w:p>
      </w:tc>
      <w:tc>
        <w:tcPr>
          <w:tcW w:w="3600" w:type="dxa"/>
          <w:vAlign w:val="center"/>
        </w:tcPr>
        <w:p w14:paraId="70717780" w14:textId="5E906661" w:rsidR="00934304" w:rsidRDefault="00E478B8" w:rsidP="008212BD">
          <w:pPr>
            <w:pStyle w:val="Footer"/>
            <w:jc w:val="center"/>
            <w:rPr>
              <w:sz w:val="18"/>
              <w:szCs w:val="18"/>
            </w:rPr>
          </w:pPr>
          <w:r>
            <w:rPr>
              <w:sz w:val="18"/>
              <w:szCs w:val="18"/>
            </w:rPr>
            <w:t xml:space="preserve">WORKSHEET </w:t>
          </w:r>
          <w:r w:rsidR="00934304">
            <w:rPr>
              <w:sz w:val="18"/>
              <w:szCs w:val="18"/>
            </w:rPr>
            <w:t>Human Subjects</w:t>
          </w:r>
        </w:p>
        <w:p w14:paraId="17E2D055" w14:textId="03BC78C3" w:rsidR="00E478B8" w:rsidRPr="000C25E0" w:rsidRDefault="00934304" w:rsidP="008212BD">
          <w:pPr>
            <w:pStyle w:val="Footer"/>
            <w:jc w:val="center"/>
            <w:rPr>
              <w:sz w:val="18"/>
              <w:szCs w:val="18"/>
            </w:rPr>
          </w:pPr>
          <w:r>
            <w:rPr>
              <w:sz w:val="18"/>
              <w:szCs w:val="18"/>
            </w:rPr>
            <w:t>Research Determination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6A373C4A"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8250F0">
            <w:rPr>
              <w:sz w:val="18"/>
              <w:szCs w:val="18"/>
            </w:rPr>
            <w:t>3.</w:t>
          </w:r>
          <w:r w:rsidR="00626C5B">
            <w:rPr>
              <w:sz w:val="18"/>
              <w:szCs w:val="18"/>
            </w:rPr>
            <w:t>2</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5623" w14:textId="77777777" w:rsidR="008868C1" w:rsidRDefault="008868C1" w:rsidP="008212BD">
      <w:r>
        <w:separator/>
      </w:r>
    </w:p>
  </w:footnote>
  <w:footnote w:type="continuationSeparator" w:id="0">
    <w:p w14:paraId="194FBBAD" w14:textId="77777777" w:rsidR="008868C1" w:rsidRDefault="008868C1"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1D4"/>
    <w:multiLevelType w:val="hybridMultilevel"/>
    <w:tmpl w:val="368050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CE6A02"/>
    <w:multiLevelType w:val="hybridMultilevel"/>
    <w:tmpl w:val="3E0826B0"/>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7"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92188D"/>
    <w:multiLevelType w:val="hybridMultilevel"/>
    <w:tmpl w:val="252EA528"/>
    <w:lvl w:ilvl="0" w:tplc="04090001">
      <w:start w:val="1"/>
      <w:numFmt w:val="bullet"/>
      <w:lvlText w:val=""/>
      <w:lvlJc w:val="left"/>
      <w:pPr>
        <w:ind w:left="1242" w:hanging="360"/>
      </w:pPr>
      <w:rPr>
        <w:rFonts w:ascii="Symbol" w:hAnsi="Symbol" w:hint="default"/>
      </w:rPr>
    </w:lvl>
    <w:lvl w:ilvl="1" w:tplc="04090005">
      <w:start w:val="1"/>
      <w:numFmt w:val="bullet"/>
      <w:lvlText w:val=""/>
      <w:lvlJc w:val="left"/>
      <w:pPr>
        <w:ind w:left="1962" w:hanging="360"/>
      </w:pPr>
      <w:rPr>
        <w:rFonts w:ascii="Wingdings" w:hAnsi="Wingdings" w:hint="default"/>
      </w:rPr>
    </w:lvl>
    <w:lvl w:ilvl="2" w:tplc="04090001">
      <w:start w:val="1"/>
      <w:numFmt w:val="bullet"/>
      <w:lvlText w:val=""/>
      <w:lvlJc w:val="left"/>
      <w:pPr>
        <w:ind w:left="2682" w:hanging="360"/>
      </w:pPr>
      <w:rPr>
        <w:rFonts w:ascii="Symbol" w:hAnsi="Symbol"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D3AD4"/>
    <w:multiLevelType w:val="hybridMultilevel"/>
    <w:tmpl w:val="0A9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86807"/>
    <w:multiLevelType w:val="hybridMultilevel"/>
    <w:tmpl w:val="35904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00FA0"/>
    <w:multiLevelType w:val="hybridMultilevel"/>
    <w:tmpl w:val="463A828A"/>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8"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D2E40"/>
    <w:multiLevelType w:val="hybridMultilevel"/>
    <w:tmpl w:val="B2D2D1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9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9965BF"/>
    <w:multiLevelType w:val="hybridMultilevel"/>
    <w:tmpl w:val="2410CF3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40DA2865"/>
    <w:multiLevelType w:val="hybridMultilevel"/>
    <w:tmpl w:val="E4E83DA2"/>
    <w:lvl w:ilvl="0" w:tplc="90C42ED2">
      <w:start w:val="1"/>
      <w:numFmt w:val="decimal"/>
      <w:lvlText w:val="%1."/>
      <w:lvlJc w:val="left"/>
      <w:pPr>
        <w:ind w:left="360" w:hanging="360"/>
      </w:pPr>
      <w:rPr>
        <w:b w:val="0"/>
        <w:bCs w:val="0"/>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399" w:hanging="180"/>
      </w:pPr>
    </w:lvl>
    <w:lvl w:ilvl="3" w:tplc="0409000F" w:tentative="1">
      <w:start w:val="1"/>
      <w:numFmt w:val="decimal"/>
      <w:lvlText w:val="%4."/>
      <w:lvlJc w:val="left"/>
      <w:pPr>
        <w:ind w:left="321" w:hanging="360"/>
      </w:pPr>
    </w:lvl>
    <w:lvl w:ilvl="4" w:tplc="04090019" w:tentative="1">
      <w:start w:val="1"/>
      <w:numFmt w:val="lowerLetter"/>
      <w:lvlText w:val="%5."/>
      <w:lvlJc w:val="left"/>
      <w:pPr>
        <w:ind w:left="1041" w:hanging="360"/>
      </w:pPr>
    </w:lvl>
    <w:lvl w:ilvl="5" w:tplc="0409001B" w:tentative="1">
      <w:start w:val="1"/>
      <w:numFmt w:val="lowerRoman"/>
      <w:lvlText w:val="%6."/>
      <w:lvlJc w:val="right"/>
      <w:pPr>
        <w:ind w:left="1761" w:hanging="180"/>
      </w:pPr>
    </w:lvl>
    <w:lvl w:ilvl="6" w:tplc="0409000F" w:tentative="1">
      <w:start w:val="1"/>
      <w:numFmt w:val="decimal"/>
      <w:lvlText w:val="%7."/>
      <w:lvlJc w:val="left"/>
      <w:pPr>
        <w:ind w:left="2481" w:hanging="360"/>
      </w:pPr>
    </w:lvl>
    <w:lvl w:ilvl="7" w:tplc="04090019" w:tentative="1">
      <w:start w:val="1"/>
      <w:numFmt w:val="lowerLetter"/>
      <w:lvlText w:val="%8."/>
      <w:lvlJc w:val="left"/>
      <w:pPr>
        <w:ind w:left="3201" w:hanging="360"/>
      </w:pPr>
    </w:lvl>
    <w:lvl w:ilvl="8" w:tplc="0409001B" w:tentative="1">
      <w:start w:val="1"/>
      <w:numFmt w:val="lowerRoman"/>
      <w:lvlText w:val="%9."/>
      <w:lvlJc w:val="right"/>
      <w:pPr>
        <w:ind w:left="3921" w:hanging="180"/>
      </w:pPr>
    </w:lvl>
  </w:abstractNum>
  <w:abstractNum w:abstractNumId="24"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4A5A1E69"/>
    <w:multiLevelType w:val="hybridMultilevel"/>
    <w:tmpl w:val="80245AAE"/>
    <w:lvl w:ilvl="0" w:tplc="47029C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95A28"/>
    <w:multiLevelType w:val="hybridMultilevel"/>
    <w:tmpl w:val="5A26BE90"/>
    <w:lvl w:ilvl="0" w:tplc="77B6FE9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D0030BB"/>
    <w:multiLevelType w:val="hybridMultilevel"/>
    <w:tmpl w:val="43DA5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C075E"/>
    <w:multiLevelType w:val="hybridMultilevel"/>
    <w:tmpl w:val="8138C4C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2682"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810E5"/>
    <w:multiLevelType w:val="hybridMultilevel"/>
    <w:tmpl w:val="1CC89578"/>
    <w:lvl w:ilvl="0" w:tplc="C8F27FD4">
      <w:start w:val="1"/>
      <w:numFmt w:val="upperLetter"/>
      <w:lvlText w:val="%1."/>
      <w:lvlJc w:val="left"/>
      <w:pPr>
        <w:ind w:left="690" w:hanging="360"/>
      </w:pPr>
      <w:rPr>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15:restartNumberingAfterBreak="0">
    <w:nsid w:val="62786D2B"/>
    <w:multiLevelType w:val="multilevel"/>
    <w:tmpl w:val="D550D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lowerLetter"/>
      <w:lvlText w:val="%3."/>
      <w:lvlJc w:val="left"/>
      <w:pPr>
        <w:ind w:left="360" w:hanging="360"/>
      </w:pPr>
      <w:rPr>
        <w:b w:val="0"/>
        <w:bCs w:val="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E0E54C0"/>
    <w:multiLevelType w:val="hybridMultilevel"/>
    <w:tmpl w:val="E642199E"/>
    <w:lvl w:ilvl="0" w:tplc="04090001">
      <w:start w:val="1"/>
      <w:numFmt w:val="bullet"/>
      <w:lvlText w:val=""/>
      <w:lvlJc w:val="left"/>
      <w:pPr>
        <w:ind w:left="1247" w:hanging="360"/>
      </w:pPr>
      <w:rPr>
        <w:rFonts w:ascii="Symbol" w:hAnsi="Symbol" w:hint="default"/>
      </w:rPr>
    </w:lvl>
    <w:lvl w:ilvl="1" w:tplc="04090005">
      <w:start w:val="1"/>
      <w:numFmt w:val="bullet"/>
      <w:lvlText w:val=""/>
      <w:lvlJc w:val="left"/>
      <w:pPr>
        <w:ind w:left="1962" w:hanging="360"/>
      </w:pPr>
      <w:rPr>
        <w:rFonts w:ascii="Wingdings" w:hAnsi="Wingdings"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1"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E09C5"/>
    <w:multiLevelType w:val="hybridMultilevel"/>
    <w:tmpl w:val="5F36FEC2"/>
    <w:lvl w:ilvl="0" w:tplc="47029C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75D14"/>
    <w:multiLevelType w:val="hybridMultilevel"/>
    <w:tmpl w:val="E1E25E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4" w15:restartNumberingAfterBreak="0">
    <w:nsid w:val="79D35BFE"/>
    <w:multiLevelType w:val="hybridMultilevel"/>
    <w:tmpl w:val="EB70C88C"/>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45" w15:restartNumberingAfterBreak="0">
    <w:nsid w:val="7ED50229"/>
    <w:multiLevelType w:val="hybridMultilevel"/>
    <w:tmpl w:val="56D81720"/>
    <w:lvl w:ilvl="0" w:tplc="90C42ED2">
      <w:start w:val="1"/>
      <w:numFmt w:val="decimal"/>
      <w:lvlText w:val="%1."/>
      <w:lvlJc w:val="left"/>
      <w:pPr>
        <w:ind w:left="2919" w:hanging="360"/>
      </w:pPr>
      <w:rPr>
        <w:b w:val="0"/>
        <w:bCs w:val="0"/>
      </w:rPr>
    </w:lvl>
    <w:lvl w:ilvl="1" w:tplc="FFFFFFFF">
      <w:start w:val="1"/>
      <w:numFmt w:val="lowerLetter"/>
      <w:lvlText w:val="%2."/>
      <w:lvlJc w:val="left"/>
      <w:pPr>
        <w:ind w:left="3639" w:hanging="360"/>
      </w:pPr>
    </w:lvl>
    <w:lvl w:ilvl="2" w:tplc="FFFFFFFF" w:tentative="1">
      <w:start w:val="1"/>
      <w:numFmt w:val="lowerRoman"/>
      <w:lvlText w:val="%3."/>
      <w:lvlJc w:val="right"/>
      <w:pPr>
        <w:ind w:left="4359" w:hanging="180"/>
      </w:pPr>
    </w:lvl>
    <w:lvl w:ilvl="3" w:tplc="FFFFFFFF" w:tentative="1">
      <w:start w:val="1"/>
      <w:numFmt w:val="decimal"/>
      <w:lvlText w:val="%4."/>
      <w:lvlJc w:val="left"/>
      <w:pPr>
        <w:ind w:left="5079" w:hanging="360"/>
      </w:pPr>
    </w:lvl>
    <w:lvl w:ilvl="4" w:tplc="FFFFFFFF" w:tentative="1">
      <w:start w:val="1"/>
      <w:numFmt w:val="lowerLetter"/>
      <w:lvlText w:val="%5."/>
      <w:lvlJc w:val="left"/>
      <w:pPr>
        <w:ind w:left="5799" w:hanging="360"/>
      </w:pPr>
    </w:lvl>
    <w:lvl w:ilvl="5" w:tplc="FFFFFFFF" w:tentative="1">
      <w:start w:val="1"/>
      <w:numFmt w:val="lowerRoman"/>
      <w:lvlText w:val="%6."/>
      <w:lvlJc w:val="right"/>
      <w:pPr>
        <w:ind w:left="6519" w:hanging="180"/>
      </w:pPr>
    </w:lvl>
    <w:lvl w:ilvl="6" w:tplc="FFFFFFFF" w:tentative="1">
      <w:start w:val="1"/>
      <w:numFmt w:val="decimal"/>
      <w:lvlText w:val="%7."/>
      <w:lvlJc w:val="left"/>
      <w:pPr>
        <w:ind w:left="7239" w:hanging="360"/>
      </w:pPr>
    </w:lvl>
    <w:lvl w:ilvl="7" w:tplc="FFFFFFFF" w:tentative="1">
      <w:start w:val="1"/>
      <w:numFmt w:val="lowerLetter"/>
      <w:lvlText w:val="%8."/>
      <w:lvlJc w:val="left"/>
      <w:pPr>
        <w:ind w:left="7959" w:hanging="360"/>
      </w:pPr>
    </w:lvl>
    <w:lvl w:ilvl="8" w:tplc="FFFFFFFF" w:tentative="1">
      <w:start w:val="1"/>
      <w:numFmt w:val="lowerRoman"/>
      <w:lvlText w:val="%9."/>
      <w:lvlJc w:val="right"/>
      <w:pPr>
        <w:ind w:left="8679" w:hanging="180"/>
      </w:pPr>
    </w:lvl>
  </w:abstractNum>
  <w:abstractNum w:abstractNumId="46"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2389">
    <w:abstractNumId w:val="25"/>
  </w:num>
  <w:num w:numId="2" w16cid:durableId="56980175">
    <w:abstractNumId w:val="13"/>
  </w:num>
  <w:num w:numId="3" w16cid:durableId="1981643860">
    <w:abstractNumId w:val="41"/>
  </w:num>
  <w:num w:numId="4" w16cid:durableId="789588117">
    <w:abstractNumId w:val="46"/>
  </w:num>
  <w:num w:numId="5" w16cid:durableId="1031413638">
    <w:abstractNumId w:val="1"/>
  </w:num>
  <w:num w:numId="6" w16cid:durableId="1084113241">
    <w:abstractNumId w:val="34"/>
  </w:num>
  <w:num w:numId="7" w16cid:durableId="1153524209">
    <w:abstractNumId w:val="3"/>
  </w:num>
  <w:num w:numId="8" w16cid:durableId="1165825522">
    <w:abstractNumId w:val="8"/>
  </w:num>
  <w:num w:numId="9" w16cid:durableId="214463615">
    <w:abstractNumId w:val="4"/>
  </w:num>
  <w:num w:numId="10" w16cid:durableId="640578230">
    <w:abstractNumId w:val="19"/>
  </w:num>
  <w:num w:numId="11" w16cid:durableId="808473260">
    <w:abstractNumId w:val="27"/>
  </w:num>
  <w:num w:numId="12" w16cid:durableId="1044981425">
    <w:abstractNumId w:val="24"/>
  </w:num>
  <w:num w:numId="13" w16cid:durableId="76948576">
    <w:abstractNumId w:val="43"/>
  </w:num>
  <w:num w:numId="14" w16cid:durableId="151989050">
    <w:abstractNumId w:val="16"/>
  </w:num>
  <w:num w:numId="15" w16cid:durableId="1170216852">
    <w:abstractNumId w:val="7"/>
  </w:num>
  <w:num w:numId="16" w16cid:durableId="34160750">
    <w:abstractNumId w:val="31"/>
  </w:num>
  <w:num w:numId="17" w16cid:durableId="92091696">
    <w:abstractNumId w:val="2"/>
  </w:num>
  <w:num w:numId="18" w16cid:durableId="1814174005">
    <w:abstractNumId w:val="36"/>
  </w:num>
  <w:num w:numId="19" w16cid:durableId="855314039">
    <w:abstractNumId w:val="21"/>
  </w:num>
  <w:num w:numId="20" w16cid:durableId="140270774">
    <w:abstractNumId w:val="10"/>
  </w:num>
  <w:num w:numId="21" w16cid:durableId="1151169682">
    <w:abstractNumId w:val="5"/>
  </w:num>
  <w:num w:numId="22" w16cid:durableId="1640719368">
    <w:abstractNumId w:val="18"/>
  </w:num>
  <w:num w:numId="23" w16cid:durableId="926114417">
    <w:abstractNumId w:val="9"/>
  </w:num>
  <w:num w:numId="24" w16cid:durableId="345134893">
    <w:abstractNumId w:val="32"/>
  </w:num>
  <w:num w:numId="25" w16cid:durableId="1280182912">
    <w:abstractNumId w:val="33"/>
  </w:num>
  <w:num w:numId="26" w16cid:durableId="1491868446">
    <w:abstractNumId w:val="26"/>
  </w:num>
  <w:num w:numId="27" w16cid:durableId="1860895228">
    <w:abstractNumId w:val="39"/>
  </w:num>
  <w:num w:numId="28" w16cid:durableId="763303607">
    <w:abstractNumId w:val="12"/>
  </w:num>
  <w:num w:numId="29" w16cid:durableId="145628536">
    <w:abstractNumId w:val="38"/>
  </w:num>
  <w:num w:numId="30" w16cid:durableId="1852837429">
    <w:abstractNumId w:val="17"/>
  </w:num>
  <w:num w:numId="31" w16cid:durableId="397017875">
    <w:abstractNumId w:val="6"/>
  </w:num>
  <w:num w:numId="32" w16cid:durableId="200288990">
    <w:abstractNumId w:val="29"/>
  </w:num>
  <w:num w:numId="33" w16cid:durableId="1149127643">
    <w:abstractNumId w:val="37"/>
  </w:num>
  <w:num w:numId="34" w16cid:durableId="1325007904">
    <w:abstractNumId w:val="0"/>
  </w:num>
  <w:num w:numId="35" w16cid:durableId="1266302117">
    <w:abstractNumId w:val="15"/>
  </w:num>
  <w:num w:numId="36" w16cid:durableId="641614997">
    <w:abstractNumId w:val="30"/>
  </w:num>
  <w:num w:numId="37" w16cid:durableId="2133009471">
    <w:abstractNumId w:val="22"/>
  </w:num>
  <w:num w:numId="38" w16cid:durableId="1192651617">
    <w:abstractNumId w:val="11"/>
  </w:num>
  <w:num w:numId="39" w16cid:durableId="1503620922">
    <w:abstractNumId w:val="28"/>
  </w:num>
  <w:num w:numId="40" w16cid:durableId="1217930331">
    <w:abstractNumId w:val="42"/>
  </w:num>
  <w:num w:numId="41" w16cid:durableId="634870947">
    <w:abstractNumId w:val="14"/>
  </w:num>
  <w:num w:numId="42" w16cid:durableId="251622688">
    <w:abstractNumId w:val="45"/>
  </w:num>
  <w:num w:numId="43" w16cid:durableId="1951743225">
    <w:abstractNumId w:val="40"/>
  </w:num>
  <w:num w:numId="44" w16cid:durableId="1338074163">
    <w:abstractNumId w:val="23"/>
  </w:num>
  <w:num w:numId="45" w16cid:durableId="918174948">
    <w:abstractNumId w:val="20"/>
  </w:num>
  <w:num w:numId="46" w16cid:durableId="50202363">
    <w:abstractNumId w:val="44"/>
  </w:num>
  <w:num w:numId="47" w16cid:durableId="6070101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23FD"/>
    <w:rsid w:val="00003586"/>
    <w:rsid w:val="000064F5"/>
    <w:rsid w:val="00016C61"/>
    <w:rsid w:val="00021B70"/>
    <w:rsid w:val="00024BA1"/>
    <w:rsid w:val="00025715"/>
    <w:rsid w:val="00031C71"/>
    <w:rsid w:val="00032399"/>
    <w:rsid w:val="00034501"/>
    <w:rsid w:val="000350B5"/>
    <w:rsid w:val="00052112"/>
    <w:rsid w:val="0005362F"/>
    <w:rsid w:val="000548F8"/>
    <w:rsid w:val="00056D3E"/>
    <w:rsid w:val="0006009F"/>
    <w:rsid w:val="000616CA"/>
    <w:rsid w:val="00072281"/>
    <w:rsid w:val="00073571"/>
    <w:rsid w:val="000A1AFF"/>
    <w:rsid w:val="000A41DE"/>
    <w:rsid w:val="000B0C16"/>
    <w:rsid w:val="000B1C08"/>
    <w:rsid w:val="000C227D"/>
    <w:rsid w:val="000C240A"/>
    <w:rsid w:val="000D18CF"/>
    <w:rsid w:val="00104A02"/>
    <w:rsid w:val="001253E1"/>
    <w:rsid w:val="001258D0"/>
    <w:rsid w:val="00130298"/>
    <w:rsid w:val="00143E29"/>
    <w:rsid w:val="0015137A"/>
    <w:rsid w:val="00156D84"/>
    <w:rsid w:val="00160E30"/>
    <w:rsid w:val="00164EAF"/>
    <w:rsid w:val="0017280B"/>
    <w:rsid w:val="001744BE"/>
    <w:rsid w:val="00176D68"/>
    <w:rsid w:val="001A253A"/>
    <w:rsid w:val="001B2FD6"/>
    <w:rsid w:val="001B6E80"/>
    <w:rsid w:val="001C1F68"/>
    <w:rsid w:val="001C27DB"/>
    <w:rsid w:val="001D0A74"/>
    <w:rsid w:val="001D22E5"/>
    <w:rsid w:val="001D32D3"/>
    <w:rsid w:val="001D44BD"/>
    <w:rsid w:val="001D79FC"/>
    <w:rsid w:val="001E191D"/>
    <w:rsid w:val="001E6446"/>
    <w:rsid w:val="001F417A"/>
    <w:rsid w:val="001F602D"/>
    <w:rsid w:val="00207336"/>
    <w:rsid w:val="0021086C"/>
    <w:rsid w:val="00215B3F"/>
    <w:rsid w:val="00235191"/>
    <w:rsid w:val="00240983"/>
    <w:rsid w:val="00243A0D"/>
    <w:rsid w:val="00244B9F"/>
    <w:rsid w:val="00247F4C"/>
    <w:rsid w:val="00254EEF"/>
    <w:rsid w:val="002569B2"/>
    <w:rsid w:val="0027141C"/>
    <w:rsid w:val="002714CF"/>
    <w:rsid w:val="00272339"/>
    <w:rsid w:val="002738A8"/>
    <w:rsid w:val="00275A5C"/>
    <w:rsid w:val="002805AE"/>
    <w:rsid w:val="002814E0"/>
    <w:rsid w:val="0028332A"/>
    <w:rsid w:val="002A472C"/>
    <w:rsid w:val="002A4FC6"/>
    <w:rsid w:val="002B1DAC"/>
    <w:rsid w:val="002B5406"/>
    <w:rsid w:val="002D78E4"/>
    <w:rsid w:val="002E26E6"/>
    <w:rsid w:val="002E5EF1"/>
    <w:rsid w:val="002F5450"/>
    <w:rsid w:val="00300E7F"/>
    <w:rsid w:val="00304D8D"/>
    <w:rsid w:val="003101B3"/>
    <w:rsid w:val="0032012D"/>
    <w:rsid w:val="00326662"/>
    <w:rsid w:val="003315DF"/>
    <w:rsid w:val="00331E62"/>
    <w:rsid w:val="00332A60"/>
    <w:rsid w:val="003356DC"/>
    <w:rsid w:val="003401A8"/>
    <w:rsid w:val="003404B4"/>
    <w:rsid w:val="00354B0F"/>
    <w:rsid w:val="00363A98"/>
    <w:rsid w:val="003721C6"/>
    <w:rsid w:val="003769D7"/>
    <w:rsid w:val="00376B3A"/>
    <w:rsid w:val="00387726"/>
    <w:rsid w:val="003A06FA"/>
    <w:rsid w:val="003C1E3C"/>
    <w:rsid w:val="003C56B4"/>
    <w:rsid w:val="003D2A44"/>
    <w:rsid w:val="003E4ABA"/>
    <w:rsid w:val="0040301C"/>
    <w:rsid w:val="00403943"/>
    <w:rsid w:val="004301DE"/>
    <w:rsid w:val="004409D4"/>
    <w:rsid w:val="00444482"/>
    <w:rsid w:val="004513AB"/>
    <w:rsid w:val="004526AD"/>
    <w:rsid w:val="00474F35"/>
    <w:rsid w:val="00486010"/>
    <w:rsid w:val="00495388"/>
    <w:rsid w:val="004A1C89"/>
    <w:rsid w:val="004A5B52"/>
    <w:rsid w:val="004C0295"/>
    <w:rsid w:val="004C0EE0"/>
    <w:rsid w:val="004D360F"/>
    <w:rsid w:val="004E7E43"/>
    <w:rsid w:val="004F681D"/>
    <w:rsid w:val="004F7304"/>
    <w:rsid w:val="004F7585"/>
    <w:rsid w:val="005020F9"/>
    <w:rsid w:val="005030EA"/>
    <w:rsid w:val="00514240"/>
    <w:rsid w:val="00522737"/>
    <w:rsid w:val="00523162"/>
    <w:rsid w:val="0052426E"/>
    <w:rsid w:val="0052755B"/>
    <w:rsid w:val="005303BF"/>
    <w:rsid w:val="005402AD"/>
    <w:rsid w:val="005544EF"/>
    <w:rsid w:val="00555B89"/>
    <w:rsid w:val="00561C4D"/>
    <w:rsid w:val="00561CEA"/>
    <w:rsid w:val="005809E9"/>
    <w:rsid w:val="005914C6"/>
    <w:rsid w:val="005A489C"/>
    <w:rsid w:val="005B21ED"/>
    <w:rsid w:val="005B2DB8"/>
    <w:rsid w:val="005C5DDA"/>
    <w:rsid w:val="005D1311"/>
    <w:rsid w:val="005D2FF2"/>
    <w:rsid w:val="005D4C8E"/>
    <w:rsid w:val="005F4255"/>
    <w:rsid w:val="00613A6B"/>
    <w:rsid w:val="00626C5B"/>
    <w:rsid w:val="00627DEF"/>
    <w:rsid w:val="006323A9"/>
    <w:rsid w:val="00633217"/>
    <w:rsid w:val="006368DF"/>
    <w:rsid w:val="0063740D"/>
    <w:rsid w:val="006454D9"/>
    <w:rsid w:val="00645E51"/>
    <w:rsid w:val="00654A14"/>
    <w:rsid w:val="00656A4C"/>
    <w:rsid w:val="00657933"/>
    <w:rsid w:val="00673A7A"/>
    <w:rsid w:val="006A79C3"/>
    <w:rsid w:val="006C6C13"/>
    <w:rsid w:val="006C78D6"/>
    <w:rsid w:val="006C7EA6"/>
    <w:rsid w:val="006D0168"/>
    <w:rsid w:val="006D60EF"/>
    <w:rsid w:val="006D7B3E"/>
    <w:rsid w:val="006F5F25"/>
    <w:rsid w:val="006F756F"/>
    <w:rsid w:val="0070303E"/>
    <w:rsid w:val="00707158"/>
    <w:rsid w:val="00710429"/>
    <w:rsid w:val="00710528"/>
    <w:rsid w:val="00714995"/>
    <w:rsid w:val="00721935"/>
    <w:rsid w:val="00722AB1"/>
    <w:rsid w:val="00725AF1"/>
    <w:rsid w:val="00735BFD"/>
    <w:rsid w:val="00752787"/>
    <w:rsid w:val="00753C5C"/>
    <w:rsid w:val="00770E45"/>
    <w:rsid w:val="00786B32"/>
    <w:rsid w:val="00792736"/>
    <w:rsid w:val="00796DF8"/>
    <w:rsid w:val="007A40C2"/>
    <w:rsid w:val="007C132F"/>
    <w:rsid w:val="007C4328"/>
    <w:rsid w:val="007D09F3"/>
    <w:rsid w:val="007E100C"/>
    <w:rsid w:val="007E1BEF"/>
    <w:rsid w:val="007E2BA5"/>
    <w:rsid w:val="007E784E"/>
    <w:rsid w:val="007F536B"/>
    <w:rsid w:val="007F744D"/>
    <w:rsid w:val="0081580D"/>
    <w:rsid w:val="0081783E"/>
    <w:rsid w:val="00820236"/>
    <w:rsid w:val="00820B6D"/>
    <w:rsid w:val="008212BD"/>
    <w:rsid w:val="008250F0"/>
    <w:rsid w:val="00826D47"/>
    <w:rsid w:val="00844917"/>
    <w:rsid w:val="008458C5"/>
    <w:rsid w:val="00852550"/>
    <w:rsid w:val="008601F4"/>
    <w:rsid w:val="00861E44"/>
    <w:rsid w:val="008639D4"/>
    <w:rsid w:val="0086494A"/>
    <w:rsid w:val="008675B6"/>
    <w:rsid w:val="00885832"/>
    <w:rsid w:val="008868C1"/>
    <w:rsid w:val="00894E5E"/>
    <w:rsid w:val="008A0F42"/>
    <w:rsid w:val="008A3BB8"/>
    <w:rsid w:val="008A7379"/>
    <w:rsid w:val="008B6D0F"/>
    <w:rsid w:val="008B73A6"/>
    <w:rsid w:val="008C20A8"/>
    <w:rsid w:val="008C6E44"/>
    <w:rsid w:val="008D6EBD"/>
    <w:rsid w:val="008F2875"/>
    <w:rsid w:val="0090171F"/>
    <w:rsid w:val="00903811"/>
    <w:rsid w:val="009043D4"/>
    <w:rsid w:val="00911CDB"/>
    <w:rsid w:val="00917E5F"/>
    <w:rsid w:val="00923354"/>
    <w:rsid w:val="0093251D"/>
    <w:rsid w:val="00934304"/>
    <w:rsid w:val="009400E5"/>
    <w:rsid w:val="00941292"/>
    <w:rsid w:val="0094577D"/>
    <w:rsid w:val="0094703C"/>
    <w:rsid w:val="00951A56"/>
    <w:rsid w:val="00951AC8"/>
    <w:rsid w:val="00961369"/>
    <w:rsid w:val="00966551"/>
    <w:rsid w:val="009710FC"/>
    <w:rsid w:val="00977B9D"/>
    <w:rsid w:val="0098273F"/>
    <w:rsid w:val="0099032D"/>
    <w:rsid w:val="009A048D"/>
    <w:rsid w:val="009B4302"/>
    <w:rsid w:val="009B666D"/>
    <w:rsid w:val="009C5438"/>
    <w:rsid w:val="009D5581"/>
    <w:rsid w:val="009D6904"/>
    <w:rsid w:val="009E7CAE"/>
    <w:rsid w:val="009F1778"/>
    <w:rsid w:val="009F2D8D"/>
    <w:rsid w:val="00A02692"/>
    <w:rsid w:val="00A03206"/>
    <w:rsid w:val="00A063C1"/>
    <w:rsid w:val="00A110DD"/>
    <w:rsid w:val="00A56369"/>
    <w:rsid w:val="00A62865"/>
    <w:rsid w:val="00A62F41"/>
    <w:rsid w:val="00A70BD9"/>
    <w:rsid w:val="00A8082D"/>
    <w:rsid w:val="00A85413"/>
    <w:rsid w:val="00A86708"/>
    <w:rsid w:val="00A86E36"/>
    <w:rsid w:val="00A96E33"/>
    <w:rsid w:val="00AA1BEF"/>
    <w:rsid w:val="00AA33E6"/>
    <w:rsid w:val="00AA3F9D"/>
    <w:rsid w:val="00AB1AE1"/>
    <w:rsid w:val="00AB354D"/>
    <w:rsid w:val="00AD0250"/>
    <w:rsid w:val="00AD050B"/>
    <w:rsid w:val="00AD0514"/>
    <w:rsid w:val="00AE201A"/>
    <w:rsid w:val="00AE2BCC"/>
    <w:rsid w:val="00AE3E7F"/>
    <w:rsid w:val="00AE5865"/>
    <w:rsid w:val="00AE5AC0"/>
    <w:rsid w:val="00AF4EDC"/>
    <w:rsid w:val="00B06CB1"/>
    <w:rsid w:val="00B1027A"/>
    <w:rsid w:val="00B30846"/>
    <w:rsid w:val="00B36AE0"/>
    <w:rsid w:val="00B407CD"/>
    <w:rsid w:val="00B50AD6"/>
    <w:rsid w:val="00B64D31"/>
    <w:rsid w:val="00B71101"/>
    <w:rsid w:val="00B754ED"/>
    <w:rsid w:val="00B7587C"/>
    <w:rsid w:val="00B76CE9"/>
    <w:rsid w:val="00BA68ED"/>
    <w:rsid w:val="00BA72DA"/>
    <w:rsid w:val="00BB4D64"/>
    <w:rsid w:val="00BB4E3B"/>
    <w:rsid w:val="00BB6133"/>
    <w:rsid w:val="00BC2B7A"/>
    <w:rsid w:val="00BC6660"/>
    <w:rsid w:val="00BD0E15"/>
    <w:rsid w:val="00BD4430"/>
    <w:rsid w:val="00BE05E5"/>
    <w:rsid w:val="00BE5735"/>
    <w:rsid w:val="00BF175C"/>
    <w:rsid w:val="00BF257A"/>
    <w:rsid w:val="00BF2D68"/>
    <w:rsid w:val="00BF4486"/>
    <w:rsid w:val="00C013BF"/>
    <w:rsid w:val="00C031A5"/>
    <w:rsid w:val="00C104BC"/>
    <w:rsid w:val="00C13F34"/>
    <w:rsid w:val="00C26F2F"/>
    <w:rsid w:val="00C3497A"/>
    <w:rsid w:val="00C43165"/>
    <w:rsid w:val="00C52559"/>
    <w:rsid w:val="00C55DDF"/>
    <w:rsid w:val="00C62A9C"/>
    <w:rsid w:val="00C72040"/>
    <w:rsid w:val="00C74AAF"/>
    <w:rsid w:val="00C77606"/>
    <w:rsid w:val="00C909FF"/>
    <w:rsid w:val="00C93141"/>
    <w:rsid w:val="00C97DCA"/>
    <w:rsid w:val="00CB7D54"/>
    <w:rsid w:val="00CE20EC"/>
    <w:rsid w:val="00CF52AE"/>
    <w:rsid w:val="00CF6C51"/>
    <w:rsid w:val="00D01B69"/>
    <w:rsid w:val="00D04BB0"/>
    <w:rsid w:val="00D11A8E"/>
    <w:rsid w:val="00D129F9"/>
    <w:rsid w:val="00D15A48"/>
    <w:rsid w:val="00D20D70"/>
    <w:rsid w:val="00D21284"/>
    <w:rsid w:val="00D240B3"/>
    <w:rsid w:val="00D344E2"/>
    <w:rsid w:val="00D50A92"/>
    <w:rsid w:val="00D568D6"/>
    <w:rsid w:val="00D57C5A"/>
    <w:rsid w:val="00D612DE"/>
    <w:rsid w:val="00D6286F"/>
    <w:rsid w:val="00D62F8F"/>
    <w:rsid w:val="00D65967"/>
    <w:rsid w:val="00D737C1"/>
    <w:rsid w:val="00D86821"/>
    <w:rsid w:val="00D870E2"/>
    <w:rsid w:val="00D87FBF"/>
    <w:rsid w:val="00D90665"/>
    <w:rsid w:val="00D946F9"/>
    <w:rsid w:val="00D96C6B"/>
    <w:rsid w:val="00DA021C"/>
    <w:rsid w:val="00DB0B2B"/>
    <w:rsid w:val="00DB67AF"/>
    <w:rsid w:val="00DC057E"/>
    <w:rsid w:val="00DD17C0"/>
    <w:rsid w:val="00DD3321"/>
    <w:rsid w:val="00DE3579"/>
    <w:rsid w:val="00DF7A2E"/>
    <w:rsid w:val="00E07225"/>
    <w:rsid w:val="00E13D92"/>
    <w:rsid w:val="00E332CF"/>
    <w:rsid w:val="00E412BA"/>
    <w:rsid w:val="00E478B8"/>
    <w:rsid w:val="00E53B6C"/>
    <w:rsid w:val="00E666AE"/>
    <w:rsid w:val="00E70345"/>
    <w:rsid w:val="00E73686"/>
    <w:rsid w:val="00E75748"/>
    <w:rsid w:val="00E836B9"/>
    <w:rsid w:val="00E93C5A"/>
    <w:rsid w:val="00EB32CB"/>
    <w:rsid w:val="00EC22F3"/>
    <w:rsid w:val="00EC2CF9"/>
    <w:rsid w:val="00EC78AC"/>
    <w:rsid w:val="00ED68AF"/>
    <w:rsid w:val="00ED7D02"/>
    <w:rsid w:val="00EF437E"/>
    <w:rsid w:val="00EF57B9"/>
    <w:rsid w:val="00EF6D15"/>
    <w:rsid w:val="00F06C39"/>
    <w:rsid w:val="00F2600A"/>
    <w:rsid w:val="00F27073"/>
    <w:rsid w:val="00F51D7A"/>
    <w:rsid w:val="00F57845"/>
    <w:rsid w:val="00F73950"/>
    <w:rsid w:val="00F77425"/>
    <w:rsid w:val="00F77ADD"/>
    <w:rsid w:val="00FA1FC2"/>
    <w:rsid w:val="00FB1C3D"/>
    <w:rsid w:val="00FB2B2B"/>
    <w:rsid w:val="00FD5E87"/>
    <w:rsid w:val="00FD7679"/>
    <w:rsid w:val="00FE3405"/>
    <w:rsid w:val="00FE52FD"/>
    <w:rsid w:val="00FE6F84"/>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do-i-need-irb-review/does-your-research-involve-human-subjects/" TargetMode="External"/><Relationship Id="rId18" Type="http://schemas.openxmlformats.org/officeDocument/2006/relationships/hyperlink" Target="https://www.washington.edu/research/guidance/research/" TargetMode="External"/><Relationship Id="rId26" Type="http://schemas.openxmlformats.org/officeDocument/2006/relationships/hyperlink" Target="https://www.washington.edu/research/hsd/guidance/data-security/" TargetMode="External"/><Relationship Id="rId39" Type="http://schemas.openxmlformats.org/officeDocument/2006/relationships/theme" Target="theme/theme1.xml"/><Relationship Id="rId21" Type="http://schemas.openxmlformats.org/officeDocument/2006/relationships/hyperlink" Target="https://www.washington.edu/research/guidance/research/" TargetMode="External"/><Relationship Id="rId34" Type="http://schemas.openxmlformats.org/officeDocument/2006/relationships/hyperlink" Target="https://www.washington.edu/research/forms-and-templates/worksheet-fda-devices-and-the-ide-requirement/" TargetMode="External"/><Relationship Id="rId7" Type="http://schemas.openxmlformats.org/officeDocument/2006/relationships/settings" Target="settings.xml"/><Relationship Id="rId12" Type="http://schemas.openxmlformats.org/officeDocument/2006/relationships/hyperlink" Target="https://www.washington.edu/research/hsd/do-i-need-irb-review/is-your-project-considered-research/" TargetMode="External"/><Relationship Id="rId17" Type="http://schemas.openxmlformats.org/officeDocument/2006/relationships/hyperlink" Target="https://www.washington.edu/research/hsd/study-activities/apply-for-review/" TargetMode="External"/><Relationship Id="rId25" Type="http://schemas.openxmlformats.org/officeDocument/2006/relationships/hyperlink" Target="https://depts.washington.edu/comply/docs/308_G1.pdf" TargetMode="External"/><Relationship Id="rId33" Type="http://schemas.openxmlformats.org/officeDocument/2006/relationships/hyperlink" Target="https://www.washington.edu/research/hsd/do-i-need-irb-review/"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ington.edu/research/forms-and-templates/worksheet-fda-devices-and-the-ide-requirement/" TargetMode="External"/><Relationship Id="rId20" Type="http://schemas.openxmlformats.org/officeDocument/2006/relationships/hyperlink" Target="https://www.washington.edu/research/hsd/do-i-need-irb-review/does-your-research-involve-human-subjects/" TargetMode="External"/><Relationship Id="rId29" Type="http://schemas.openxmlformats.org/officeDocument/2006/relationships/hyperlink" Target="https://www.washington.edu/research/hsd/do-i-need-irb-review/is-your-human-subjects-research-exempt-from-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pts.washington.edu/comply/docs/308_G1.pdf" TargetMode="External"/><Relationship Id="rId32" Type="http://schemas.openxmlformats.org/officeDocument/2006/relationships/hyperlink" Target="https://www.washington.edu/research/hsd/study-activities/apply-for-review/"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shington.edu/research/forms-and-templates/worksheet-fda-drugs-and-the-ind-requirement/" TargetMode="External"/><Relationship Id="rId23" Type="http://schemas.openxmlformats.org/officeDocument/2006/relationships/hyperlink" Target="https://www.washington.edu/research/policies/guidance-data-sets-not-requiring-hsd-or-irb-review-2/" TargetMode="External"/><Relationship Id="rId28" Type="http://schemas.openxmlformats.org/officeDocument/2006/relationships/hyperlink" Target="https://depts.washington.edu/comply/docs/308_G1.pdf" TargetMode="External"/><Relationship Id="rId36"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grants.nih.gov/grants/guide/notice-files/NOT-OD-22-001.html" TargetMode="External"/><Relationship Id="rId31" Type="http://schemas.openxmlformats.org/officeDocument/2006/relationships/hyperlink" Target="https://www.washington.edu/research/guidance/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youth/policy/protecting-youth-at-uw-aps-10-13/" TargetMode="External"/><Relationship Id="rId22" Type="http://schemas.openxmlformats.org/officeDocument/2006/relationships/hyperlink" Target="https://www.washington.edu/research/policies/guidance-case-reports-irb-review-hipaa/" TargetMode="External"/><Relationship Id="rId27" Type="http://schemas.openxmlformats.org/officeDocument/2006/relationships/hyperlink" Target="https://uwnetid.sharepoint.com/sites/uw_medicine_honest_broker/SitePages/Home.aspx" TargetMode="External"/><Relationship Id="rId30" Type="http://schemas.openxmlformats.org/officeDocument/2006/relationships/hyperlink" Target="https://www.washington.edu/research/policies/guidance-data-sets-not-requiring-hsd-or-irb-review-2/" TargetMode="External"/><Relationship Id="rId35" Type="http://schemas.openxmlformats.org/officeDocument/2006/relationships/hyperlink" Target="https://www.washington.edu/research/forms-and-templates/worksheet-fda-drugs-and-the-ind-require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Clarify requirements when the data are identifiable per HIPAA but not identifiable per the Common Rule</Change_x0020_Notes>
    <Posted_x0020_Date xmlns="7c9d0ed2-8163-4b50-bae4-466292e5dd21">2024-10-31T07:00:00+00:00</Posted_x0020_Date>
    <Taxonomy0 xmlns="7c9d0ed2-8163-4b50-bae4-466292e5dd21">
      <Value>Worksheet</Value>
    </Taxonomy0>
    <Version_x0020_Number xmlns="7c9d0ed2-8163-4b50-bae4-466292e5dd21">3.1</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https://www.washington.edu/research/forms-and-templates/worksheet-human-subjects-research/</Url>
      <Description>https://www.washington.edu/research/forms-and-templates/worksheet-human-subjects-research/</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Megan Tedell-Hlady</DisplayName>
        <AccountId>73</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3.xml><?xml version="1.0" encoding="utf-8"?>
<ds:datastoreItem xmlns:ds="http://schemas.openxmlformats.org/officeDocument/2006/customXml" ds:itemID="{330576B3-29D8-483C-BD42-880ECD23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9</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WORKSHEET_Human_Subjects_Research_Determination_v3.0_2023.01.26</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WORKSHEET_Human_Subjects_Research_Determination_v3.0_2023.01.26</dc:title>
  <dc:subject/>
  <dc:creator>Sherry Edwards</dc:creator>
  <cp:keywords>;#Human subject;#Pre-review;#Research;#FDA;#</cp:keywords>
  <dc:description/>
  <cp:lastModifiedBy>Dolly Morse</cp:lastModifiedBy>
  <cp:revision>4</cp:revision>
  <dcterms:created xsi:type="dcterms:W3CDTF">2025-08-27T18:56:00Z</dcterms:created>
  <dcterms:modified xsi:type="dcterms:W3CDTF">2025-08-27T21:57:00Z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