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D9FF7" w14:textId="77777777" w:rsidR="00CD7ACB" w:rsidRDefault="00CD7ACB" w:rsidP="00CD7ACB">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9264" behindDoc="1" locked="0" layoutInCell="1" allowOverlap="1" wp14:anchorId="41D49A9E" wp14:editId="143C6E73">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 xml:space="preserve">WORKSHEET FDA Drugs </w:t>
      </w:r>
    </w:p>
    <w:p w14:paraId="6D6E76E8" w14:textId="77777777" w:rsidR="00CD7ACB" w:rsidRPr="005D37AA" w:rsidRDefault="00CD7ACB" w:rsidP="00CD7ACB">
      <w:pPr>
        <w:pStyle w:val="Header"/>
        <w:tabs>
          <w:tab w:val="clear" w:pos="4680"/>
          <w:tab w:val="clear" w:pos="9360"/>
          <w:tab w:val="right" w:pos="10800"/>
        </w:tabs>
        <w:jc w:val="right"/>
      </w:pPr>
      <w:r>
        <w:rPr>
          <w:rFonts w:cs="Arial"/>
          <w:b/>
          <w:sz w:val="28"/>
          <w:szCs w:val="28"/>
        </w:rPr>
        <w:t>and the IND Requirement</w:t>
      </w:r>
    </w:p>
    <w:p w14:paraId="3488A975" w14:textId="77777777" w:rsidR="00BA68ED" w:rsidRDefault="00BA68ED" w:rsidP="007E1BEF">
      <w:pPr>
        <w:shd w:val="clear" w:color="auto" w:fill="33006F"/>
        <w:tabs>
          <w:tab w:val="left" w:pos="2504"/>
        </w:tabs>
      </w:pPr>
      <w:r>
        <w:tab/>
      </w:r>
    </w:p>
    <w:p w14:paraId="0D158DF7" w14:textId="77777777" w:rsidR="00215B3F" w:rsidRDefault="00215B3F"/>
    <w:p w14:paraId="529E0C30" w14:textId="2C5EED5C" w:rsidR="00215B3F" w:rsidRPr="00612526" w:rsidRDefault="00612526" w:rsidP="00612526">
      <w:pPr>
        <w:pStyle w:val="Heading1"/>
      </w:pPr>
      <w:r w:rsidRPr="00612526">
        <w:t>PURPOSE</w:t>
      </w:r>
      <w:r>
        <w:t xml:space="preserve"> AND APPLICABILITY</w:t>
      </w:r>
    </w:p>
    <w:p w14:paraId="2D0DDBA2" w14:textId="77777777" w:rsidR="00612526" w:rsidRDefault="00612526"/>
    <w:p w14:paraId="79FD4CF1" w14:textId="57C0FAE0" w:rsidR="009400E5" w:rsidRPr="00DD77FB" w:rsidRDefault="001F37AF" w:rsidP="003C1A17">
      <w:pPr>
        <w:ind w:left="90"/>
      </w:pPr>
      <w:r>
        <w:t xml:space="preserve">It is not required that this worksheet be completed or retained. It should be used as a tool for </w:t>
      </w:r>
      <w:r w:rsidR="00102BB7">
        <w:t>provid</w:t>
      </w:r>
      <w:r>
        <w:t>ing</w:t>
      </w:r>
      <w:r w:rsidR="00102BB7">
        <w:t xml:space="preserve"> information and support for individuals assessing whether an FDA</w:t>
      </w:r>
      <w:r w:rsidR="004A6332">
        <w:t xml:space="preserve"> </w:t>
      </w:r>
      <w:r w:rsidR="00102BB7">
        <w:t xml:space="preserve">regulated study needs an IND </w:t>
      </w:r>
      <w:r w:rsidR="00DA4115">
        <w:t xml:space="preserve">approval </w:t>
      </w:r>
      <w:r w:rsidR="00102BB7">
        <w:t>from the FDA before conducting the research.</w:t>
      </w:r>
      <w:r w:rsidR="00DD77FB">
        <w:t xml:space="preserve"> Additional information can be found in the</w:t>
      </w:r>
      <w:r w:rsidR="00314F77">
        <w:t xml:space="preserve"> guidance on</w:t>
      </w:r>
      <w:r w:rsidR="006D46ED">
        <w:t xml:space="preserve"> </w:t>
      </w:r>
      <w:hyperlink r:id="rId12" w:history="1">
        <w:r w:rsidR="00AB7D07">
          <w:rPr>
            <w:rStyle w:val="Hyperlink"/>
          </w:rPr>
          <w:t>F</w:t>
        </w:r>
        <w:r w:rsidR="00AB7D07" w:rsidRPr="00AB7D07">
          <w:rPr>
            <w:rStyle w:val="Hyperlink"/>
          </w:rPr>
          <w:t>DA</w:t>
        </w:r>
        <w:r w:rsidR="00AB7D07" w:rsidRPr="00083579">
          <w:rPr>
            <w:rStyle w:val="Hyperlink"/>
          </w:rPr>
          <w:t xml:space="preserve"> Regulated Research</w:t>
        </w:r>
      </w:hyperlink>
      <w:r w:rsidR="00314F77">
        <w:t xml:space="preserve"> and the </w:t>
      </w:r>
      <w:r w:rsidR="00314F77">
        <w:rPr>
          <w:b/>
          <w:bCs/>
        </w:rPr>
        <w:t>SOP FDA Regulated Research</w:t>
      </w:r>
      <w:r w:rsidR="00314F77">
        <w:t>.</w:t>
      </w:r>
    </w:p>
    <w:p w14:paraId="0247D49D" w14:textId="536D0B96" w:rsidR="00215B3F" w:rsidRDefault="00215B3F">
      <w:pPr>
        <w:rPr>
          <w:b/>
          <w:bCs/>
        </w:rPr>
      </w:pPr>
    </w:p>
    <w:p w14:paraId="19624FE3" w14:textId="5BFF4E3A" w:rsidR="00215B3F" w:rsidRDefault="00612526" w:rsidP="00612526">
      <w:pPr>
        <w:pStyle w:val="Heading1"/>
      </w:pPr>
      <w:r>
        <w:t>FDA GUIDANCE</w:t>
      </w:r>
    </w:p>
    <w:p w14:paraId="6EF2D35F" w14:textId="77777777" w:rsidR="00612526" w:rsidRDefault="00612526">
      <w:pPr>
        <w:rPr>
          <w:b/>
          <w:bCs/>
        </w:rPr>
      </w:pPr>
    </w:p>
    <w:p w14:paraId="08A42917" w14:textId="47243DB5" w:rsidR="007E1BEF" w:rsidRDefault="00C41D25" w:rsidP="00612526">
      <w:pPr>
        <w:spacing w:after="60"/>
        <w:ind w:left="90"/>
      </w:pPr>
      <w:r>
        <w:t xml:space="preserve">The FDA guidance, </w:t>
      </w:r>
      <w:hyperlink r:id="rId13" w:history="1">
        <w:r w:rsidRPr="00083579">
          <w:rPr>
            <w:rStyle w:val="Hyperlink"/>
          </w:rPr>
          <w:t>Investigational New Drug Applications (INDs) – Determining Whether Human Research Studies Can be Conducted Without an IND</w:t>
        </w:r>
      </w:hyperlink>
      <w:r>
        <w:t xml:space="preserve"> describes how to obtain consultation from the FDA about whether an IND is required. It also includes guidance about when an IND is required for studies involving: </w:t>
      </w:r>
    </w:p>
    <w:p w14:paraId="6EB171D4" w14:textId="03E666F4" w:rsidR="00C41D25" w:rsidRDefault="00C41D25" w:rsidP="00612526">
      <w:pPr>
        <w:pStyle w:val="ListParagraph"/>
        <w:numPr>
          <w:ilvl w:val="0"/>
          <w:numId w:val="21"/>
        </w:numPr>
        <w:spacing w:after="60"/>
        <w:ind w:left="450" w:hanging="180"/>
        <w:contextualSpacing w:val="0"/>
      </w:pPr>
      <w:r>
        <w:t>Use of endogenous compounds</w:t>
      </w:r>
    </w:p>
    <w:p w14:paraId="39084561" w14:textId="09B65C16" w:rsidR="00C41D25" w:rsidRDefault="00C41D25" w:rsidP="00612526">
      <w:pPr>
        <w:pStyle w:val="ListParagraph"/>
        <w:numPr>
          <w:ilvl w:val="0"/>
          <w:numId w:val="21"/>
        </w:numPr>
        <w:spacing w:after="60"/>
        <w:ind w:left="450" w:hanging="180"/>
        <w:contextualSpacing w:val="0"/>
      </w:pPr>
      <w:r>
        <w:t>Administration of live organisms (e.g., modified or wild-type virus) to subjects</w:t>
      </w:r>
    </w:p>
    <w:p w14:paraId="33F76F71" w14:textId="4A56CBDA" w:rsidR="00C41D25" w:rsidRPr="00C41D25" w:rsidRDefault="00C41D25" w:rsidP="00612526">
      <w:pPr>
        <w:pStyle w:val="ListParagraph"/>
        <w:numPr>
          <w:ilvl w:val="0"/>
          <w:numId w:val="21"/>
        </w:numPr>
        <w:spacing w:after="60"/>
        <w:ind w:left="450" w:hanging="180"/>
        <w:contextualSpacing w:val="0"/>
      </w:pPr>
      <w:r>
        <w:t>Dietary supplements, complementary or alternative medicines including organic materials from botanical sources</w:t>
      </w:r>
    </w:p>
    <w:p w14:paraId="6521FC89" w14:textId="77777777" w:rsidR="007E1BEF" w:rsidRDefault="007E1BEF">
      <w:pPr>
        <w:rPr>
          <w:b/>
          <w:bCs/>
        </w:rPr>
      </w:pPr>
    </w:p>
    <w:p w14:paraId="73DF415F" w14:textId="64D52A47" w:rsidR="009400E5" w:rsidRDefault="00612526" w:rsidP="00612526">
      <w:pPr>
        <w:pStyle w:val="Heading1"/>
      </w:pPr>
      <w:r>
        <w:t>IS THE USE EXEMPT FROM THE IND REQUIREMENT?</w:t>
      </w:r>
    </w:p>
    <w:p w14:paraId="23E45E3C" w14:textId="77777777" w:rsidR="00612526" w:rsidRDefault="00612526"/>
    <w:p w14:paraId="263C75A0" w14:textId="37025E43" w:rsidR="00BA6C3C" w:rsidRDefault="00ED03DA" w:rsidP="003C1A17">
      <w:pPr>
        <w:ind w:left="90"/>
      </w:pPr>
      <w:r w:rsidRPr="00BA6C3C">
        <w:rPr>
          <w:b/>
          <w:bCs/>
        </w:rPr>
        <w:t xml:space="preserve">The use of the drug for a specific research study </w:t>
      </w:r>
      <w:r w:rsidR="001F37AF">
        <w:rPr>
          <w:b/>
          <w:bCs/>
        </w:rPr>
        <w:t xml:space="preserve">is IND exempt and </w:t>
      </w:r>
      <w:r w:rsidRPr="00BA6C3C">
        <w:rPr>
          <w:b/>
          <w:bCs/>
        </w:rPr>
        <w:t xml:space="preserve">does not require IND </w:t>
      </w:r>
      <w:r w:rsidR="00DA4115">
        <w:rPr>
          <w:b/>
          <w:bCs/>
        </w:rPr>
        <w:t xml:space="preserve">approval from the FDA </w:t>
      </w:r>
      <w:r w:rsidRPr="00ED03DA">
        <w:rPr>
          <w:b/>
          <w:bCs/>
        </w:rPr>
        <w:t xml:space="preserve">if </w:t>
      </w:r>
      <w:r w:rsidRPr="00D90CA2">
        <w:rPr>
          <w:b/>
          <w:bCs/>
          <w:i/>
          <w:iCs/>
        </w:rPr>
        <w:t>all the criteria</w:t>
      </w:r>
      <w:r>
        <w:rPr>
          <w:b/>
          <w:bCs/>
        </w:rPr>
        <w:t xml:space="preserve"> </w:t>
      </w:r>
      <w:r w:rsidRPr="00DD77FB">
        <w:rPr>
          <w:b/>
          <w:bCs/>
          <w:i/>
          <w:iCs/>
        </w:rPr>
        <w:t>in any one category listed in the table</w:t>
      </w:r>
      <w:r w:rsidR="00612526">
        <w:rPr>
          <w:b/>
          <w:bCs/>
          <w:i/>
          <w:iCs/>
        </w:rPr>
        <w:t>s</w:t>
      </w:r>
      <w:r w:rsidRPr="00DD77FB">
        <w:rPr>
          <w:b/>
          <w:bCs/>
          <w:i/>
          <w:iCs/>
        </w:rPr>
        <w:t xml:space="preserve"> </w:t>
      </w:r>
      <w:r w:rsidR="00612526">
        <w:rPr>
          <w:b/>
          <w:bCs/>
          <w:i/>
          <w:iCs/>
        </w:rPr>
        <w:t>in this section</w:t>
      </w:r>
      <w:r w:rsidRPr="00DD77FB">
        <w:rPr>
          <w:b/>
          <w:bCs/>
          <w:i/>
          <w:iCs/>
        </w:rPr>
        <w:t xml:space="preserve"> are </w:t>
      </w:r>
      <w:r w:rsidR="00DD77FB">
        <w:rPr>
          <w:b/>
          <w:bCs/>
          <w:i/>
          <w:iCs/>
        </w:rPr>
        <w:t>met</w:t>
      </w:r>
      <w:r>
        <w:t xml:space="preserve">. </w:t>
      </w:r>
    </w:p>
    <w:p w14:paraId="6226AF7A" w14:textId="77777777" w:rsidR="00247FD3" w:rsidRDefault="00247FD3" w:rsidP="003C1A17">
      <w:pPr>
        <w:ind w:left="90"/>
        <w:rPr>
          <w:b/>
          <w:bCs/>
        </w:rPr>
      </w:pPr>
    </w:p>
    <w:p w14:paraId="0CCC3E98" w14:textId="4FABB16B" w:rsidR="00247FD3" w:rsidRDefault="00247FD3" w:rsidP="003C1A17">
      <w:pPr>
        <w:ind w:left="90"/>
      </w:pPr>
      <w:r w:rsidRPr="00083579">
        <w:t>Even if the activity is IND exempt, if it meets the FDA definition of a clinical investigation involving human subjects, it must comply with the FDA’s general IRB (21 CFR 56) and consent (21 CFR 50) requirements (</w:t>
      </w:r>
      <w:r w:rsidRPr="00247FD3">
        <w:rPr>
          <w:b/>
          <w:bCs/>
        </w:rPr>
        <w:t>WORKSHEET Human Subjects Research Determination</w:t>
      </w:r>
      <w:r w:rsidRPr="00083579">
        <w:t>).</w:t>
      </w:r>
    </w:p>
    <w:p w14:paraId="268FB8E8" w14:textId="77777777" w:rsidR="00D96F01" w:rsidRDefault="00D96F01" w:rsidP="003C1A17">
      <w:pPr>
        <w:ind w:left="90"/>
      </w:pPr>
    </w:p>
    <w:p w14:paraId="315150AF" w14:textId="5DD6CAAB" w:rsidR="00D96F01" w:rsidRPr="00D96F01" w:rsidRDefault="00D96F01" w:rsidP="00CD7ACB">
      <w:pPr>
        <w:pStyle w:val="Heading2"/>
        <w:spacing w:after="120"/>
      </w:pPr>
      <w:r w:rsidRPr="00D96F01">
        <w:t xml:space="preserve">CATEGORY 1 – Exemption for Marketed Drugs </w:t>
      </w:r>
      <w:r>
        <w:t xml:space="preserve">[21 CFR </w:t>
      </w:r>
      <w:r w:rsidRPr="00CF6C8E">
        <w:t>312</w:t>
      </w:r>
      <w:r>
        <w:t>.2(b)(1)]</w:t>
      </w:r>
    </w:p>
    <w:p w14:paraId="7B0FC896" w14:textId="21738BC1" w:rsidR="00D96F01" w:rsidRDefault="00D96F01" w:rsidP="0094594C">
      <w:pPr>
        <w:ind w:left="86"/>
        <w:rPr>
          <w:b/>
          <w:bCs/>
        </w:rPr>
      </w:pPr>
      <w:r>
        <w:rPr>
          <w:b/>
          <w:bCs/>
        </w:rPr>
        <w:tab/>
      </w:r>
      <w:r>
        <w:rPr>
          <w:b/>
          <w:bCs/>
          <w:i/>
          <w:iCs/>
        </w:rPr>
        <w:t>All five requirements must be met</w:t>
      </w:r>
      <w:r w:rsidR="00CD7ACB">
        <w:rPr>
          <w:b/>
          <w:bCs/>
          <w:i/>
          <w:iCs/>
        </w:rPr>
        <w:t>. Additional FDA guidance is noted in italicized text.</w:t>
      </w:r>
    </w:p>
    <w:p w14:paraId="5BC08F5C" w14:textId="77777777" w:rsidR="00D96F01" w:rsidRDefault="00D96F01" w:rsidP="003C1A17">
      <w:pPr>
        <w:ind w:left="90"/>
        <w:rPr>
          <w:b/>
          <w:bCs/>
        </w:rPr>
      </w:pPr>
    </w:p>
    <w:tbl>
      <w:tblPr>
        <w:tblStyle w:val="TableGrid"/>
        <w:tblW w:w="0" w:type="auto"/>
        <w:tblInd w:w="355" w:type="dxa"/>
        <w:tblLook w:val="04A0" w:firstRow="1" w:lastRow="0" w:firstColumn="1" w:lastColumn="0" w:noHBand="0" w:noVBand="1"/>
        <w:tblCaption w:val="Category 1 requirements"/>
        <w:tblDescription w:val="Five requirements for the IND exemption for marketed drugs outlined in 21 CFR 312.2(b)(1). Some requirements have some extra FDA guidance or clarification included in italicized font."/>
      </w:tblPr>
      <w:tblGrid>
        <w:gridCol w:w="8910"/>
        <w:gridCol w:w="805"/>
      </w:tblGrid>
      <w:tr w:rsidR="00CF6C8E" w14:paraId="37630D8C" w14:textId="77777777" w:rsidTr="006227D0">
        <w:trPr>
          <w:tblHeader/>
        </w:trPr>
        <w:tc>
          <w:tcPr>
            <w:tcW w:w="8910" w:type="dxa"/>
          </w:tcPr>
          <w:p w14:paraId="66F0A887" w14:textId="05C8E67A" w:rsidR="00CF6C8E" w:rsidRDefault="00F272A8" w:rsidP="003C1A17">
            <w:pPr>
              <w:rPr>
                <w:b/>
                <w:bCs/>
              </w:rPr>
            </w:pPr>
            <w:r>
              <w:rPr>
                <w:b/>
                <w:bCs/>
              </w:rPr>
              <w:t xml:space="preserve">Category 1 </w:t>
            </w:r>
            <w:r w:rsidR="00CF6C8E">
              <w:rPr>
                <w:b/>
                <w:bCs/>
              </w:rPr>
              <w:t>Requirement</w:t>
            </w:r>
          </w:p>
        </w:tc>
        <w:tc>
          <w:tcPr>
            <w:tcW w:w="805" w:type="dxa"/>
            <w:vAlign w:val="center"/>
          </w:tcPr>
          <w:p w14:paraId="397E2520" w14:textId="1CBA9982" w:rsidR="00CF6C8E" w:rsidRDefault="00CF6C8E" w:rsidP="006227D0">
            <w:pPr>
              <w:jc w:val="center"/>
              <w:rPr>
                <w:b/>
                <w:bCs/>
              </w:rPr>
            </w:pPr>
            <w:r>
              <w:rPr>
                <w:b/>
                <w:bCs/>
              </w:rPr>
              <w:t>Met</w:t>
            </w:r>
          </w:p>
        </w:tc>
      </w:tr>
      <w:tr w:rsidR="00CF6C8E" w14:paraId="64455BF1" w14:textId="77777777" w:rsidTr="006227D0">
        <w:tc>
          <w:tcPr>
            <w:tcW w:w="8910" w:type="dxa"/>
          </w:tcPr>
          <w:p w14:paraId="6E0B944A" w14:textId="2BF4C533" w:rsidR="00CF6C8E" w:rsidRDefault="00F272A8" w:rsidP="003C1A17">
            <w:pPr>
              <w:rPr>
                <w:b/>
                <w:bCs/>
              </w:rPr>
            </w:pPr>
            <w:r>
              <w:t>The drug is lawfully marketed in the United States.</w:t>
            </w:r>
          </w:p>
        </w:tc>
        <w:sdt>
          <w:sdtPr>
            <w:alias w:val="The drug is lawfully marketed in the United States - Requirement Met"/>
            <w:tag w:val="The drug is lawfully marketed in the United States - Requirement Met"/>
            <w:id w:val="-1850486151"/>
            <w14:checkbox>
              <w14:checked w14:val="0"/>
              <w14:checkedState w14:val="2612" w14:font="MS Gothic"/>
              <w14:uncheckedState w14:val="2610" w14:font="MS Gothic"/>
            </w14:checkbox>
          </w:sdtPr>
          <w:sdtEndPr/>
          <w:sdtContent>
            <w:tc>
              <w:tcPr>
                <w:tcW w:w="805" w:type="dxa"/>
                <w:vAlign w:val="center"/>
              </w:tcPr>
              <w:p w14:paraId="4D44D251" w14:textId="08439542" w:rsidR="00CF6C8E" w:rsidRPr="006227D0" w:rsidRDefault="006227D0" w:rsidP="006227D0">
                <w:pPr>
                  <w:jc w:val="center"/>
                </w:pPr>
                <w:r>
                  <w:rPr>
                    <w:rFonts w:ascii="MS Gothic" w:eastAsia="MS Gothic" w:hAnsi="MS Gothic" w:hint="eastAsia"/>
                  </w:rPr>
                  <w:t>☐</w:t>
                </w:r>
              </w:p>
            </w:tc>
          </w:sdtContent>
        </w:sdt>
      </w:tr>
      <w:tr w:rsidR="00CF6C8E" w14:paraId="668737E4" w14:textId="77777777" w:rsidTr="006227D0">
        <w:tc>
          <w:tcPr>
            <w:tcW w:w="8910" w:type="dxa"/>
          </w:tcPr>
          <w:p w14:paraId="024034BE" w14:textId="77777777" w:rsidR="00F272A8" w:rsidRDefault="00F272A8" w:rsidP="00F272A8">
            <w:pPr>
              <w:spacing w:before="40" w:after="40"/>
              <w:ind w:left="-24"/>
            </w:pPr>
            <w:r>
              <w:t>The research is not intended to be reported to the FDA as a well-controlled study in support of a new indication for use nor is it intended to be used to support any significant change in the drug labeling.</w:t>
            </w:r>
          </w:p>
          <w:p w14:paraId="53E529AE" w14:textId="74340329" w:rsidR="00CF6C8E" w:rsidRPr="00F272A8" w:rsidRDefault="00F272A8" w:rsidP="00F272A8">
            <w:pPr>
              <w:ind w:left="340"/>
              <w:rPr>
                <w:b/>
                <w:bCs/>
                <w:i/>
                <w:iCs/>
              </w:rPr>
            </w:pPr>
            <w:r w:rsidRPr="00F272A8">
              <w:rPr>
                <w:i/>
                <w:iCs/>
              </w:rPr>
              <w:t>FDA guidance.</w:t>
            </w:r>
            <w:r w:rsidRPr="00F272A8">
              <w:rPr>
                <w:b/>
                <w:bCs/>
                <w:i/>
                <w:iCs/>
              </w:rPr>
              <w:t xml:space="preserve"> </w:t>
            </w:r>
            <w:r w:rsidRPr="00F272A8">
              <w:rPr>
                <w:i/>
                <w:iCs/>
              </w:rPr>
              <w:t>“Certain investigator-initiated research in an academic setting has the potential to influence labeling or promotion, notwithstanding the investigator’s intent (e.g., a controlled trial with an endpoint representing improvement of a serious disease)… Similarly, certain studies of effectiveness conducted by government agencies (e.g., NIH) have the potential to influence labeling. FDA strongly encourages submission of IND submissions for these types of studies.”</w:t>
            </w:r>
          </w:p>
        </w:tc>
        <w:sdt>
          <w:sdtPr>
            <w:alias w:val="The research is not intended to be reported to the FDA as a well-controlled study in support of a new indication for use nor is it intended to be used to support any significant change in the drug labeling - Requirement Met"/>
            <w:tag w:val="The research is not intended to be reported to the FDA as a well-controlled study in support of a new indication for use nor is it intended to be used to support any significant change in the drug labeling - Requirement Met"/>
            <w:id w:val="-443774429"/>
            <w14:checkbox>
              <w14:checked w14:val="0"/>
              <w14:checkedState w14:val="2612" w14:font="MS Gothic"/>
              <w14:uncheckedState w14:val="2610" w14:font="MS Gothic"/>
            </w14:checkbox>
          </w:sdtPr>
          <w:sdtEndPr/>
          <w:sdtContent>
            <w:tc>
              <w:tcPr>
                <w:tcW w:w="805" w:type="dxa"/>
                <w:vAlign w:val="center"/>
              </w:tcPr>
              <w:p w14:paraId="197CDF17" w14:textId="5E2436D4" w:rsidR="00CF6C8E" w:rsidRPr="006227D0" w:rsidRDefault="006227D0" w:rsidP="006227D0">
                <w:pPr>
                  <w:jc w:val="center"/>
                </w:pPr>
                <w:r w:rsidRPr="006227D0">
                  <w:rPr>
                    <w:rFonts w:ascii="MS Gothic" w:eastAsia="MS Gothic" w:hAnsi="MS Gothic" w:hint="eastAsia"/>
                  </w:rPr>
                  <w:t>☐</w:t>
                </w:r>
              </w:p>
            </w:tc>
          </w:sdtContent>
        </w:sdt>
      </w:tr>
      <w:tr w:rsidR="00CF6C8E" w14:paraId="293168AB" w14:textId="77777777" w:rsidTr="006227D0">
        <w:tc>
          <w:tcPr>
            <w:tcW w:w="8910" w:type="dxa"/>
          </w:tcPr>
          <w:p w14:paraId="6C780B0E" w14:textId="728CDFD3" w:rsidR="00F272A8" w:rsidRPr="00612526" w:rsidRDefault="00F272A8" w:rsidP="00612526">
            <w:r>
              <w:lastRenderedPageBreak/>
              <w:t>For research involving a prescription drug, it is not intended to support a significant change in the advertising of the drug.</w:t>
            </w:r>
            <w:r w:rsidR="00612526">
              <w:t xml:space="preserve"> If this is not applicable because the drug is not a prescription drug, check the box.</w:t>
            </w:r>
          </w:p>
        </w:tc>
        <w:sdt>
          <w:sdtPr>
            <w:alias w:val="For research involving a prescription drug, it is not intended to support a significant change in the advertising of the drug - Requirement Met"/>
            <w:tag w:val="For research involving a prescription drug, it is not intended to support a significant change in the advertising of the drug - Requirement Met"/>
            <w:id w:val="1972941457"/>
            <w14:checkbox>
              <w14:checked w14:val="0"/>
              <w14:checkedState w14:val="2612" w14:font="MS Gothic"/>
              <w14:uncheckedState w14:val="2610" w14:font="MS Gothic"/>
            </w14:checkbox>
          </w:sdtPr>
          <w:sdtEndPr/>
          <w:sdtContent>
            <w:tc>
              <w:tcPr>
                <w:tcW w:w="805" w:type="dxa"/>
                <w:vAlign w:val="center"/>
              </w:tcPr>
              <w:p w14:paraId="544D0122" w14:textId="666A44AD" w:rsidR="00CF6C8E" w:rsidRPr="006227D0" w:rsidRDefault="006227D0" w:rsidP="006227D0">
                <w:pPr>
                  <w:jc w:val="center"/>
                </w:pPr>
                <w:r w:rsidRPr="006227D0">
                  <w:rPr>
                    <w:rFonts w:ascii="MS Gothic" w:eastAsia="MS Gothic" w:hAnsi="MS Gothic" w:hint="eastAsia"/>
                  </w:rPr>
                  <w:t>☐</w:t>
                </w:r>
              </w:p>
            </w:tc>
          </w:sdtContent>
        </w:sdt>
      </w:tr>
      <w:tr w:rsidR="00CF6C8E" w14:paraId="1CBF9480" w14:textId="77777777" w:rsidTr="006227D0">
        <w:tc>
          <w:tcPr>
            <w:tcW w:w="8910" w:type="dxa"/>
          </w:tcPr>
          <w:p w14:paraId="133A47C3" w14:textId="77777777" w:rsidR="00CF6C8E" w:rsidRDefault="00F272A8" w:rsidP="003C1A17">
            <w:r>
              <w:t>The research does not involve a route of administration, dose, patient population, or other factor that significantly increases the risk (or decreases the acceptability of the risk) associated with the use of the drug</w:t>
            </w:r>
            <w:r w:rsidR="00CD7ACB">
              <w:t>.</w:t>
            </w:r>
          </w:p>
          <w:p w14:paraId="67893080" w14:textId="46276D32" w:rsidR="00CD7ACB" w:rsidRDefault="00CD7ACB" w:rsidP="00CD7ACB">
            <w:pPr>
              <w:spacing w:before="40" w:after="40"/>
              <w:ind w:left="347"/>
              <w:rPr>
                <w:b/>
                <w:bCs/>
              </w:rPr>
            </w:pPr>
            <w:r w:rsidRPr="00CD7ACB">
              <w:rPr>
                <w:i/>
                <w:iCs/>
              </w:rPr>
              <w:t>FDA guidance.</w:t>
            </w:r>
            <w:r w:rsidRPr="00CD7ACB">
              <w:rPr>
                <w:b/>
                <w:bCs/>
              </w:rPr>
              <w:t xml:space="preserve"> </w:t>
            </w:r>
            <w:r w:rsidRPr="00083579">
              <w:rPr>
                <w:i/>
                <w:iCs/>
              </w:rPr>
              <w:t>This exemption was not intended to require an investigator to use the drug in exactly the same dosage form, dosage levels, and patient populations described in the marketed labeling for the product, but rather to permit changes to the lawfully marketed drug product that do not increase risks… over the risk presented by use of the product in conformance with its marking labeling</w:t>
            </w:r>
            <w:r>
              <w:rPr>
                <w:i/>
                <w:iCs/>
              </w:rPr>
              <w:t>.</w:t>
            </w:r>
            <w:r>
              <w:t xml:space="preserve"> </w:t>
            </w:r>
            <w:r w:rsidRPr="00CD7ACB">
              <w:rPr>
                <w:sz w:val="18"/>
                <w:szCs w:val="18"/>
              </w:rPr>
              <w:t>(</w:t>
            </w:r>
            <w:r w:rsidRPr="00CD7ACB">
              <w:rPr>
                <w:i/>
                <w:iCs/>
                <w:sz w:val="18"/>
                <w:szCs w:val="18"/>
              </w:rPr>
              <w:t>52 Federal Register 8798 at 8801, March 19, 1987</w:t>
            </w:r>
            <w:r>
              <w:rPr>
                <w:i/>
                <w:iCs/>
                <w:sz w:val="18"/>
                <w:szCs w:val="18"/>
              </w:rPr>
              <w:t>)</w:t>
            </w:r>
          </w:p>
        </w:tc>
        <w:sdt>
          <w:sdtPr>
            <w:alias w:val="The research does not involve a route of administration, dose, patient population, or other factor that significantly increases the risk (or decreases the acceptability of the risk) associated with the use of the drug - Requirement Met"/>
            <w:tag w:val="The research does not involve a route of administration, dose, patient population, or other factor that significantly increases the risk (or decreases the acceptability of the risk) associated with the use of the drug - Requirement Met"/>
            <w:id w:val="1857305026"/>
            <w14:checkbox>
              <w14:checked w14:val="0"/>
              <w14:checkedState w14:val="2612" w14:font="MS Gothic"/>
              <w14:uncheckedState w14:val="2610" w14:font="MS Gothic"/>
            </w14:checkbox>
          </w:sdtPr>
          <w:sdtEndPr/>
          <w:sdtContent>
            <w:tc>
              <w:tcPr>
                <w:tcW w:w="805" w:type="dxa"/>
                <w:vAlign w:val="center"/>
              </w:tcPr>
              <w:p w14:paraId="15168A2D" w14:textId="134900F4" w:rsidR="00CF6C8E" w:rsidRPr="006227D0" w:rsidRDefault="006227D0" w:rsidP="006227D0">
                <w:pPr>
                  <w:jc w:val="center"/>
                </w:pPr>
                <w:r w:rsidRPr="006227D0">
                  <w:rPr>
                    <w:rFonts w:ascii="MS Gothic" w:eastAsia="MS Gothic" w:hAnsi="MS Gothic" w:hint="eastAsia"/>
                  </w:rPr>
                  <w:t>☐</w:t>
                </w:r>
              </w:p>
            </w:tc>
          </w:sdtContent>
        </w:sdt>
      </w:tr>
      <w:tr w:rsidR="00CF6C8E" w14:paraId="69FFC8B2" w14:textId="77777777" w:rsidTr="006227D0">
        <w:tc>
          <w:tcPr>
            <w:tcW w:w="8910" w:type="dxa"/>
          </w:tcPr>
          <w:p w14:paraId="7CB0B628" w14:textId="751AA4C7" w:rsidR="00CF6C8E" w:rsidRDefault="00CD7ACB" w:rsidP="003C1A17">
            <w:pPr>
              <w:rPr>
                <w:b/>
                <w:bCs/>
              </w:rPr>
            </w:pPr>
            <w:r>
              <w:t>The research is conducted in compliance with all of the marketing limitations described in 21 CFR 312.7, i.e., the research is not intended to promote or commercialize the drug.</w:t>
            </w:r>
          </w:p>
        </w:tc>
        <w:sdt>
          <w:sdtPr>
            <w:alias w:val="The research is conducted in compliance with all of the marketing limitations described in 21 CFR 312.7, i.e., the research is not intended to promote or commercialize the drug - Requirement Met"/>
            <w:tag w:val="The research is conducted in compliance with all of the marketing limitations described in 21 CFR 312.7, i.e., the research is not intended to promote or commercialize the drug - Requirement Met"/>
            <w:id w:val="-332299618"/>
            <w14:checkbox>
              <w14:checked w14:val="0"/>
              <w14:checkedState w14:val="2612" w14:font="MS Gothic"/>
              <w14:uncheckedState w14:val="2610" w14:font="MS Gothic"/>
            </w14:checkbox>
          </w:sdtPr>
          <w:sdtEndPr/>
          <w:sdtContent>
            <w:tc>
              <w:tcPr>
                <w:tcW w:w="805" w:type="dxa"/>
                <w:vAlign w:val="center"/>
              </w:tcPr>
              <w:p w14:paraId="22491D8F" w14:textId="24FF9FBB" w:rsidR="00CF6C8E" w:rsidRPr="006227D0" w:rsidRDefault="006227D0" w:rsidP="006227D0">
                <w:pPr>
                  <w:jc w:val="center"/>
                </w:pPr>
                <w:r w:rsidRPr="006227D0">
                  <w:rPr>
                    <w:rFonts w:ascii="MS Gothic" w:eastAsia="MS Gothic" w:hAnsi="MS Gothic" w:hint="eastAsia"/>
                  </w:rPr>
                  <w:t>☐</w:t>
                </w:r>
              </w:p>
            </w:tc>
          </w:sdtContent>
        </w:sdt>
      </w:tr>
    </w:tbl>
    <w:p w14:paraId="4F543C02" w14:textId="77777777" w:rsidR="00D96F01" w:rsidRPr="00D96F01" w:rsidRDefault="00D96F01" w:rsidP="003C1A17">
      <w:pPr>
        <w:ind w:left="90"/>
        <w:rPr>
          <w:b/>
          <w:bCs/>
        </w:rPr>
      </w:pPr>
    </w:p>
    <w:p w14:paraId="6600FC16" w14:textId="165921AF" w:rsidR="00A66D64" w:rsidRDefault="006227D0" w:rsidP="0094594C">
      <w:pPr>
        <w:pStyle w:val="Heading2"/>
        <w:spacing w:after="120"/>
      </w:pPr>
      <w:r>
        <w:t>CATEGORY 2 – In Vitro Diagnostic Biological Products [21 CFR 312.2(b)(2)</w:t>
      </w:r>
      <w:r w:rsidR="0008475F">
        <w:t xml:space="preserve"> and 21 CFR 312.160</w:t>
      </w:r>
      <w:r>
        <w:t>]</w:t>
      </w:r>
    </w:p>
    <w:p w14:paraId="25E5C630" w14:textId="3BC08BEF" w:rsidR="006227D0" w:rsidRDefault="009576E1" w:rsidP="0094594C">
      <w:pPr>
        <w:ind w:left="446"/>
        <w:rPr>
          <w:b/>
          <w:bCs/>
          <w:i/>
          <w:iCs/>
        </w:rPr>
      </w:pPr>
      <w:r>
        <w:rPr>
          <w:b/>
          <w:bCs/>
          <w:i/>
          <w:iCs/>
        </w:rPr>
        <w:t>All requirements must be met.</w:t>
      </w:r>
    </w:p>
    <w:p w14:paraId="66B0F402" w14:textId="77777777" w:rsidR="00091081" w:rsidRDefault="00091081" w:rsidP="00A66D64">
      <w:pPr>
        <w:spacing w:after="60"/>
        <w:ind w:left="450"/>
        <w:rPr>
          <w:b/>
          <w:bCs/>
          <w:i/>
          <w:iCs/>
        </w:rPr>
      </w:pPr>
    </w:p>
    <w:tbl>
      <w:tblPr>
        <w:tblStyle w:val="TableGrid"/>
        <w:tblW w:w="0" w:type="auto"/>
        <w:tblInd w:w="355" w:type="dxa"/>
        <w:tblLook w:val="04A0" w:firstRow="1" w:lastRow="0" w:firstColumn="1" w:lastColumn="0" w:noHBand="0" w:noVBand="1"/>
        <w:tblCaption w:val="Category 2 Requirements"/>
        <w:tblDescription w:val="Five requirements that must be met for the IND exemption for in vitro diangostic biological products as outlined in 21 CFR 312.2(b)(2) and 21 CFR 312.160. The first requirement can be satisfied in one of two ways."/>
      </w:tblPr>
      <w:tblGrid>
        <w:gridCol w:w="8910"/>
        <w:gridCol w:w="805"/>
      </w:tblGrid>
      <w:tr w:rsidR="009576E1" w14:paraId="4750AA3D" w14:textId="77777777" w:rsidTr="00C71162">
        <w:trPr>
          <w:tblHeader/>
        </w:trPr>
        <w:tc>
          <w:tcPr>
            <w:tcW w:w="8910" w:type="dxa"/>
          </w:tcPr>
          <w:p w14:paraId="2101F087" w14:textId="18673C7C" w:rsidR="009576E1" w:rsidRPr="009576E1" w:rsidRDefault="009576E1" w:rsidP="00A66D64">
            <w:pPr>
              <w:spacing w:after="60"/>
              <w:rPr>
                <w:b/>
                <w:bCs/>
              </w:rPr>
            </w:pPr>
            <w:r w:rsidRPr="009576E1">
              <w:rPr>
                <w:b/>
                <w:bCs/>
              </w:rPr>
              <w:t xml:space="preserve">Category 2 </w:t>
            </w:r>
            <w:r>
              <w:rPr>
                <w:b/>
                <w:bCs/>
              </w:rPr>
              <w:t>R</w:t>
            </w:r>
            <w:r w:rsidRPr="009576E1">
              <w:rPr>
                <w:b/>
                <w:bCs/>
              </w:rPr>
              <w:t>equirement</w:t>
            </w:r>
          </w:p>
        </w:tc>
        <w:tc>
          <w:tcPr>
            <w:tcW w:w="805" w:type="dxa"/>
            <w:vAlign w:val="center"/>
          </w:tcPr>
          <w:p w14:paraId="62754122" w14:textId="16C42B85" w:rsidR="009576E1" w:rsidRPr="009576E1" w:rsidRDefault="009576E1" w:rsidP="009576E1">
            <w:pPr>
              <w:spacing w:after="60"/>
              <w:jc w:val="center"/>
              <w:rPr>
                <w:b/>
                <w:bCs/>
              </w:rPr>
            </w:pPr>
            <w:r w:rsidRPr="009576E1">
              <w:rPr>
                <w:b/>
                <w:bCs/>
              </w:rPr>
              <w:t>Met</w:t>
            </w:r>
          </w:p>
        </w:tc>
      </w:tr>
      <w:tr w:rsidR="009576E1" w14:paraId="229E68E8" w14:textId="77777777" w:rsidTr="009576E1">
        <w:tc>
          <w:tcPr>
            <w:tcW w:w="8910" w:type="dxa"/>
          </w:tcPr>
          <w:p w14:paraId="3C5AE987" w14:textId="77777777" w:rsidR="009576E1" w:rsidRDefault="009576E1" w:rsidP="00A66D64">
            <w:pPr>
              <w:spacing w:after="60"/>
            </w:pPr>
            <w:r>
              <w:t xml:space="preserve">The study is an investigation for an in vitro diagnostic biological product that involves one or more of the following: </w:t>
            </w:r>
            <w:r w:rsidRPr="00D90CA2">
              <w:rPr>
                <w:b/>
                <w:bCs/>
              </w:rPr>
              <w:t xml:space="preserve">(1) </w:t>
            </w:r>
            <w:r>
              <w:t xml:space="preserve">blood grouping serum; </w:t>
            </w:r>
            <w:r w:rsidRPr="00D90CA2">
              <w:rPr>
                <w:b/>
                <w:bCs/>
              </w:rPr>
              <w:t>(2)</w:t>
            </w:r>
            <w:r>
              <w:t xml:space="preserve"> reagent red blood cells; or </w:t>
            </w:r>
            <w:r w:rsidRPr="00D90CA2">
              <w:rPr>
                <w:b/>
                <w:bCs/>
              </w:rPr>
              <w:t>(3)</w:t>
            </w:r>
            <w:r>
              <w:t xml:space="preserve"> anti-human globulin; </w:t>
            </w:r>
            <w:r>
              <w:rPr>
                <w:b/>
                <w:bCs/>
              </w:rPr>
              <w:t>OR</w:t>
            </w:r>
          </w:p>
          <w:p w14:paraId="7C9FCDC8" w14:textId="2B8A9F8C" w:rsidR="009576E1" w:rsidRPr="009576E1" w:rsidRDefault="009576E1" w:rsidP="00A66D64">
            <w:pPr>
              <w:spacing w:after="60"/>
            </w:pPr>
            <w:r>
              <w:t>The diagnostic product is intended to be used in a diagnostic procedure that confirms diagnosis made by another, medically established, diagnostic product or procedure.</w:t>
            </w:r>
          </w:p>
        </w:tc>
        <w:sdt>
          <w:sdtPr>
            <w:alias w:val="The study is an investigation for an in vitro diagnostic biological product that involves one or more of the following: (1) blood grouping serum; (2) reagent red blood cells; or (3) anti-human globulin; OR The diagnostic product is intended to be used in a diagnostic procedure that confirms diagnosis made by another, medically established, diagnostic product or procedure - Requirement Met"/>
            <w:tag w:val="The study is an investigation for an in vitro diagnostic biological product that involves one or more of the following: (1) blood grouping serum; (2) reagent red blood cells; or (3) anti-human globulin; OR The diagnostic product is intended to be used in a diagnostic procedure that confirms diagnosis made by another, medically established, diagnostic product or procedure - Category 2 requirement met"/>
            <w:id w:val="-1688671969"/>
            <w14:checkbox>
              <w14:checked w14:val="0"/>
              <w14:checkedState w14:val="2612" w14:font="MS Gothic"/>
              <w14:uncheckedState w14:val="2610" w14:font="MS Gothic"/>
            </w14:checkbox>
          </w:sdtPr>
          <w:sdtEndPr/>
          <w:sdtContent>
            <w:tc>
              <w:tcPr>
                <w:tcW w:w="805" w:type="dxa"/>
                <w:vAlign w:val="center"/>
              </w:tcPr>
              <w:p w14:paraId="19A679E1" w14:textId="7383A6DA" w:rsidR="009576E1" w:rsidRDefault="001A5942" w:rsidP="009576E1">
                <w:pPr>
                  <w:spacing w:after="60"/>
                  <w:jc w:val="center"/>
                </w:pPr>
                <w:r>
                  <w:rPr>
                    <w:rFonts w:ascii="MS Gothic" w:eastAsia="MS Gothic" w:hAnsi="MS Gothic" w:hint="eastAsia"/>
                  </w:rPr>
                  <w:t>☐</w:t>
                </w:r>
              </w:p>
            </w:tc>
          </w:sdtContent>
        </w:sdt>
      </w:tr>
      <w:tr w:rsidR="009576E1" w14:paraId="1E596C33" w14:textId="77777777" w:rsidTr="009576E1">
        <w:tc>
          <w:tcPr>
            <w:tcW w:w="8910" w:type="dxa"/>
          </w:tcPr>
          <w:p w14:paraId="322B60A7" w14:textId="3CA4DAE1" w:rsidR="009576E1" w:rsidRDefault="00091081" w:rsidP="00A66D64">
            <w:pPr>
              <w:spacing w:after="60"/>
            </w:pPr>
            <w:r>
              <w:t>The product will be shipped only if it is labeled as follows: “</w:t>
            </w:r>
            <w:r w:rsidRPr="00DD77FB">
              <w:t>CAUTION: Contains a biological product for investigational in vitro diagnostic test only.”</w:t>
            </w:r>
          </w:p>
        </w:tc>
        <w:sdt>
          <w:sdtPr>
            <w:alias w:val="The product will be shipped only if it is labeled as follows: &quot;CAUTION: Contans a biological product for investigational in vitro diagnostic test only - Requirement Met"/>
            <w:id w:val="-2043431688"/>
            <w14:checkbox>
              <w14:checked w14:val="0"/>
              <w14:checkedState w14:val="2612" w14:font="MS Gothic"/>
              <w14:uncheckedState w14:val="2610" w14:font="MS Gothic"/>
            </w14:checkbox>
          </w:sdtPr>
          <w:sdtEndPr/>
          <w:sdtContent>
            <w:tc>
              <w:tcPr>
                <w:tcW w:w="805" w:type="dxa"/>
                <w:vAlign w:val="center"/>
              </w:tcPr>
              <w:p w14:paraId="4527AE60" w14:textId="76955C83" w:rsidR="009576E1" w:rsidRDefault="001A5942" w:rsidP="009576E1">
                <w:pPr>
                  <w:spacing w:after="60"/>
                  <w:jc w:val="center"/>
                </w:pPr>
                <w:r>
                  <w:rPr>
                    <w:rFonts w:ascii="MS Gothic" w:eastAsia="MS Gothic" w:hAnsi="MS Gothic" w:hint="eastAsia"/>
                  </w:rPr>
                  <w:t>☐</w:t>
                </w:r>
              </w:p>
            </w:tc>
          </w:sdtContent>
        </w:sdt>
      </w:tr>
      <w:tr w:rsidR="009576E1" w14:paraId="51712F88" w14:textId="77777777" w:rsidTr="009576E1">
        <w:tc>
          <w:tcPr>
            <w:tcW w:w="8910" w:type="dxa"/>
          </w:tcPr>
          <w:p w14:paraId="67989367" w14:textId="4DB43974" w:rsidR="009576E1" w:rsidRDefault="00091081" w:rsidP="00A66D64">
            <w:pPr>
              <w:spacing w:after="60"/>
            </w:pPr>
            <w:r>
              <w:t>The shipper of the product will use due diligence to assure that the recipient is regularly engaged in conducting tests and that the shipment of the product will actually be used for tests in vitro.</w:t>
            </w:r>
          </w:p>
        </w:tc>
        <w:sdt>
          <w:sdtPr>
            <w:alias w:val="The shipper of the product will use due diligence to assure that the recipient is regularly engaged in conducting tests and that the shipment of the product will actually be used for tests in vitro - Requirement Met"/>
            <w:tag w:val="The shipper of the product will use due diligence to assure that the recipient is regularly engaged in conducting tests and that the shipment of the product will actually be used for tests in vitro - Requirement Met"/>
            <w:id w:val="617809016"/>
            <w14:checkbox>
              <w14:checked w14:val="0"/>
              <w14:checkedState w14:val="2612" w14:font="MS Gothic"/>
              <w14:uncheckedState w14:val="2610" w14:font="MS Gothic"/>
            </w14:checkbox>
          </w:sdtPr>
          <w:sdtEndPr/>
          <w:sdtContent>
            <w:tc>
              <w:tcPr>
                <w:tcW w:w="805" w:type="dxa"/>
                <w:vAlign w:val="center"/>
              </w:tcPr>
              <w:p w14:paraId="635BBD11" w14:textId="701B1237" w:rsidR="009576E1" w:rsidRDefault="001A5942" w:rsidP="009576E1">
                <w:pPr>
                  <w:spacing w:after="60"/>
                  <w:jc w:val="center"/>
                </w:pPr>
                <w:r>
                  <w:rPr>
                    <w:rFonts w:ascii="MS Gothic" w:eastAsia="MS Gothic" w:hAnsi="MS Gothic" w:hint="eastAsia"/>
                  </w:rPr>
                  <w:t>☐</w:t>
                </w:r>
              </w:p>
            </w:tc>
          </w:sdtContent>
        </w:sdt>
      </w:tr>
      <w:tr w:rsidR="009576E1" w14:paraId="68C99EC0" w14:textId="77777777" w:rsidTr="009576E1">
        <w:tc>
          <w:tcPr>
            <w:tcW w:w="8910" w:type="dxa"/>
          </w:tcPr>
          <w:p w14:paraId="7E3965FE" w14:textId="7FC6EE9F" w:rsidR="009576E1" w:rsidRDefault="00091081" w:rsidP="00A66D64">
            <w:pPr>
              <w:spacing w:after="60"/>
            </w:pPr>
            <w:r>
              <w:t>The shipper of the product will maintain adequate records showing the name and post office address of the expert to whom the product is shipped and the date, quantity, and batch or code mark of each shipment and delivery. Shipment records will be maintained for 2 years after the shipment and will be available for copying/verification by any properly authorized officer of employee of the FDA.</w:t>
            </w:r>
          </w:p>
        </w:tc>
        <w:sdt>
          <w:sdtPr>
            <w:alias w:val="The shipper of the product will maintain adequate records showing the name and post office address of the expert to whom the product is shipped and the date, quantity, and batch or code mark of each shipment and delivery. Shipment records will be maintained for 2 years after the shipment and will be available for copying/verification by any properly authorized officer of employee of the FDA - Requirement Met"/>
            <w:tag w:val="The shipper of the product will maintain adequate records showing the name and post office address of the expert to whom the product is shipped and the date, quantity, and batch or code mark of each shipment and delivery. Shipment records will be maintained for 2 years after the shipment and will be available for copying/verification by any properly authorized officer of employee of the FDA - Requirement Met"/>
            <w:id w:val="-754356488"/>
            <w14:checkbox>
              <w14:checked w14:val="0"/>
              <w14:checkedState w14:val="2612" w14:font="MS Gothic"/>
              <w14:uncheckedState w14:val="2610" w14:font="MS Gothic"/>
            </w14:checkbox>
          </w:sdtPr>
          <w:sdtEndPr/>
          <w:sdtContent>
            <w:tc>
              <w:tcPr>
                <w:tcW w:w="805" w:type="dxa"/>
                <w:vAlign w:val="center"/>
              </w:tcPr>
              <w:p w14:paraId="7B0ACF8F" w14:textId="34A68330" w:rsidR="009576E1" w:rsidRDefault="001D503C" w:rsidP="009576E1">
                <w:pPr>
                  <w:spacing w:after="60"/>
                  <w:jc w:val="center"/>
                </w:pPr>
                <w:r>
                  <w:rPr>
                    <w:rFonts w:ascii="MS Gothic" w:eastAsia="MS Gothic" w:hAnsi="MS Gothic" w:hint="eastAsia"/>
                  </w:rPr>
                  <w:t>☐</w:t>
                </w:r>
              </w:p>
            </w:tc>
          </w:sdtContent>
        </w:sdt>
      </w:tr>
      <w:tr w:rsidR="009576E1" w14:paraId="13E53CC4" w14:textId="77777777" w:rsidTr="009576E1">
        <w:tc>
          <w:tcPr>
            <w:tcW w:w="8910" w:type="dxa"/>
          </w:tcPr>
          <w:p w14:paraId="19DC2B0E" w14:textId="618EF56F" w:rsidR="009576E1" w:rsidRDefault="00091081" w:rsidP="00A66D64">
            <w:pPr>
              <w:spacing w:after="60"/>
            </w:pPr>
            <w:r>
              <w:t>The shipper of the product will assure the return of all unused supplies of the product from individual investigators whenever the investigation discontinues, or the investigation is terminated. This may include authorization in writing of alternative dispositions, provided this alternative does not expose humans to risks from the product, either directly or indirectly (e.g., through food producing animals) and provided that the shipper maintains records of any alternative disposition.</w:t>
            </w:r>
          </w:p>
        </w:tc>
        <w:sdt>
          <w:sdtPr>
            <w:alias w:val="The shipper of the product will assure the return of all unused supplies of the product from individual investigators whenever the investigation discontinues, or the investigation is terminated - Requirement Met"/>
            <w:tag w:val="The shipper of the product will assure the return of all unused supplies of the product from individual investigators whenever the investigation discontinues, or the investigation is terminated - Requirement Met"/>
            <w:id w:val="308758086"/>
            <w14:checkbox>
              <w14:checked w14:val="0"/>
              <w14:checkedState w14:val="2612" w14:font="MS Gothic"/>
              <w14:uncheckedState w14:val="2610" w14:font="MS Gothic"/>
            </w14:checkbox>
          </w:sdtPr>
          <w:sdtEndPr/>
          <w:sdtContent>
            <w:tc>
              <w:tcPr>
                <w:tcW w:w="805" w:type="dxa"/>
                <w:vAlign w:val="center"/>
              </w:tcPr>
              <w:p w14:paraId="2E6C82DE" w14:textId="24B2A13A" w:rsidR="009576E1" w:rsidRDefault="001D503C" w:rsidP="009576E1">
                <w:pPr>
                  <w:spacing w:after="60"/>
                  <w:jc w:val="center"/>
                </w:pPr>
                <w:r>
                  <w:rPr>
                    <w:rFonts w:ascii="MS Gothic" w:eastAsia="MS Gothic" w:hAnsi="MS Gothic" w:hint="eastAsia"/>
                  </w:rPr>
                  <w:t>☐</w:t>
                </w:r>
              </w:p>
            </w:tc>
          </w:sdtContent>
        </w:sdt>
      </w:tr>
    </w:tbl>
    <w:p w14:paraId="797AA055" w14:textId="77777777" w:rsidR="009576E1" w:rsidRDefault="009576E1" w:rsidP="00A66D64">
      <w:pPr>
        <w:spacing w:after="60"/>
        <w:ind w:left="450"/>
      </w:pPr>
    </w:p>
    <w:p w14:paraId="75634A1F" w14:textId="4B48D0E9" w:rsidR="008E3826" w:rsidRPr="009576E1" w:rsidRDefault="008E3826" w:rsidP="008E3826">
      <w:pPr>
        <w:pStyle w:val="Heading2"/>
      </w:pPr>
      <w:r>
        <w:t>Category 3 – Placebos [21 CFR 312.2(b)(5)]</w:t>
      </w:r>
    </w:p>
    <w:p w14:paraId="7E10726B" w14:textId="77777777" w:rsidR="00612526" w:rsidRDefault="00612526" w:rsidP="00A66D64">
      <w:pPr>
        <w:spacing w:after="60"/>
        <w:ind w:left="450"/>
      </w:pPr>
    </w:p>
    <w:tbl>
      <w:tblPr>
        <w:tblStyle w:val="TableGrid"/>
        <w:tblW w:w="0" w:type="auto"/>
        <w:tblInd w:w="450" w:type="dxa"/>
        <w:tblLook w:val="04A0" w:firstRow="1" w:lastRow="0" w:firstColumn="1" w:lastColumn="0" w:noHBand="0" w:noVBand="1"/>
        <w:tblCaption w:val="Category 3 Requirement"/>
        <w:tblDescription w:val="One requirement for the IND exemption for placebos outlined in 21 CFR 312.2(b)(5)"/>
      </w:tblPr>
      <w:tblGrid>
        <w:gridCol w:w="8815"/>
        <w:gridCol w:w="805"/>
      </w:tblGrid>
      <w:tr w:rsidR="008E3826" w14:paraId="71044435" w14:textId="77777777" w:rsidTr="00092973">
        <w:trPr>
          <w:tblHeader/>
        </w:trPr>
        <w:tc>
          <w:tcPr>
            <w:tcW w:w="8815" w:type="dxa"/>
          </w:tcPr>
          <w:p w14:paraId="14136656" w14:textId="45EED1B0" w:rsidR="008E3826" w:rsidRPr="008E3826" w:rsidRDefault="008E3826" w:rsidP="00A66D64">
            <w:pPr>
              <w:spacing w:after="60"/>
              <w:rPr>
                <w:b/>
                <w:bCs/>
              </w:rPr>
            </w:pPr>
            <w:r>
              <w:rPr>
                <w:b/>
                <w:bCs/>
              </w:rPr>
              <w:t>Category 3 Requirement</w:t>
            </w:r>
          </w:p>
        </w:tc>
        <w:tc>
          <w:tcPr>
            <w:tcW w:w="805" w:type="dxa"/>
            <w:vAlign w:val="center"/>
          </w:tcPr>
          <w:p w14:paraId="4749B07B" w14:textId="7F292313" w:rsidR="008E3826" w:rsidRPr="008E3826" w:rsidRDefault="008E3826" w:rsidP="008E3826">
            <w:pPr>
              <w:spacing w:after="60"/>
              <w:jc w:val="center"/>
              <w:rPr>
                <w:b/>
                <w:bCs/>
              </w:rPr>
            </w:pPr>
            <w:r>
              <w:rPr>
                <w:b/>
                <w:bCs/>
              </w:rPr>
              <w:t>Met</w:t>
            </w:r>
          </w:p>
        </w:tc>
      </w:tr>
      <w:tr w:rsidR="008E3826" w14:paraId="3863A597" w14:textId="77777777" w:rsidTr="008E3826">
        <w:tc>
          <w:tcPr>
            <w:tcW w:w="8815" w:type="dxa"/>
          </w:tcPr>
          <w:p w14:paraId="4BB9AA2D" w14:textId="4445728F" w:rsidR="008E3826" w:rsidRDefault="008E3826" w:rsidP="00A66D64">
            <w:pPr>
              <w:spacing w:after="60"/>
            </w:pPr>
            <w:r>
              <w:t>The investigation involves the use of a placebo but otherwise does not require an IND.</w:t>
            </w:r>
          </w:p>
        </w:tc>
        <w:sdt>
          <w:sdtPr>
            <w:alias w:val="The investigation involves the use of a placebo but otherwise does not require an IND - Requirement Met"/>
            <w:tag w:val="The investigation involves the use of a placebo but otherwise does not require an IND - Requirement Met"/>
            <w:id w:val="766514286"/>
            <w14:checkbox>
              <w14:checked w14:val="0"/>
              <w14:checkedState w14:val="2612" w14:font="MS Gothic"/>
              <w14:uncheckedState w14:val="2610" w14:font="MS Gothic"/>
            </w14:checkbox>
          </w:sdtPr>
          <w:sdtEndPr/>
          <w:sdtContent>
            <w:tc>
              <w:tcPr>
                <w:tcW w:w="805" w:type="dxa"/>
                <w:vAlign w:val="center"/>
              </w:tcPr>
              <w:p w14:paraId="2CC2632E" w14:textId="0D5F2C97" w:rsidR="008E3826" w:rsidRDefault="008E3826" w:rsidP="008E3826">
                <w:pPr>
                  <w:spacing w:after="60"/>
                  <w:jc w:val="center"/>
                </w:pPr>
                <w:r>
                  <w:rPr>
                    <w:rFonts w:ascii="MS Gothic" w:eastAsia="MS Gothic" w:hAnsi="MS Gothic" w:hint="eastAsia"/>
                  </w:rPr>
                  <w:t>☐</w:t>
                </w:r>
              </w:p>
            </w:tc>
          </w:sdtContent>
        </w:sdt>
      </w:tr>
    </w:tbl>
    <w:p w14:paraId="1DF7059F" w14:textId="77777777" w:rsidR="008E3826" w:rsidRDefault="008E3826" w:rsidP="00A66D64">
      <w:pPr>
        <w:spacing w:after="60"/>
        <w:ind w:left="450"/>
      </w:pPr>
    </w:p>
    <w:p w14:paraId="76100D61" w14:textId="431DF813" w:rsidR="00092973" w:rsidRDefault="0094594C" w:rsidP="0094594C">
      <w:pPr>
        <w:pStyle w:val="Heading2"/>
        <w:spacing w:after="120"/>
      </w:pPr>
      <w:r>
        <w:t>Category 4 – Bioavailability/Bioequivalence Studies [21 CFR 312.2(c); 21 CFR 320.31]</w:t>
      </w:r>
    </w:p>
    <w:p w14:paraId="4A0F3624" w14:textId="58939A5D" w:rsidR="00092973" w:rsidRPr="0094594C" w:rsidRDefault="0094594C" w:rsidP="00A66D64">
      <w:pPr>
        <w:spacing w:after="60"/>
        <w:ind w:left="450"/>
        <w:rPr>
          <w:b/>
          <w:bCs/>
          <w:i/>
          <w:iCs/>
        </w:rPr>
      </w:pPr>
      <w:r>
        <w:rPr>
          <w:b/>
          <w:bCs/>
          <w:i/>
          <w:iCs/>
        </w:rPr>
        <w:t>All requirements must be met.</w:t>
      </w:r>
    </w:p>
    <w:p w14:paraId="1C33EBDE" w14:textId="77777777" w:rsidR="0094594C" w:rsidRDefault="0094594C" w:rsidP="00A66D64">
      <w:pPr>
        <w:spacing w:after="60"/>
        <w:ind w:left="450"/>
      </w:pPr>
    </w:p>
    <w:tbl>
      <w:tblPr>
        <w:tblStyle w:val="TableGrid"/>
        <w:tblW w:w="0" w:type="auto"/>
        <w:tblInd w:w="450" w:type="dxa"/>
        <w:tblLook w:val="04A0" w:firstRow="1" w:lastRow="0" w:firstColumn="1" w:lastColumn="0" w:noHBand="0" w:noVBand="1"/>
        <w:tblCaption w:val="Category 4 Requirements"/>
        <w:tblDescription w:val="Seven requirements for the IND exemption for bioavailability/bioequivalence studies as outlined in 21 CFR 312.2(c) and 21 CFR 320.31."/>
      </w:tblPr>
      <w:tblGrid>
        <w:gridCol w:w="8815"/>
        <w:gridCol w:w="805"/>
      </w:tblGrid>
      <w:tr w:rsidR="0094594C" w14:paraId="53BB165A" w14:textId="77777777" w:rsidTr="00A16CF5">
        <w:trPr>
          <w:tblHeader/>
        </w:trPr>
        <w:tc>
          <w:tcPr>
            <w:tcW w:w="8815" w:type="dxa"/>
          </w:tcPr>
          <w:p w14:paraId="31970C04" w14:textId="0668C998" w:rsidR="0094594C" w:rsidRPr="0094594C" w:rsidRDefault="0094594C" w:rsidP="00A66D64">
            <w:pPr>
              <w:spacing w:after="60"/>
              <w:rPr>
                <w:b/>
                <w:bCs/>
              </w:rPr>
            </w:pPr>
            <w:r>
              <w:rPr>
                <w:b/>
                <w:bCs/>
              </w:rPr>
              <w:t>Category 4 Requirements</w:t>
            </w:r>
          </w:p>
        </w:tc>
        <w:tc>
          <w:tcPr>
            <w:tcW w:w="805" w:type="dxa"/>
            <w:vAlign w:val="center"/>
          </w:tcPr>
          <w:p w14:paraId="0AB4C375" w14:textId="639AE6FF" w:rsidR="0094594C" w:rsidRPr="0094594C" w:rsidRDefault="0094594C" w:rsidP="0094594C">
            <w:pPr>
              <w:spacing w:after="60"/>
              <w:jc w:val="center"/>
              <w:rPr>
                <w:b/>
                <w:bCs/>
              </w:rPr>
            </w:pPr>
            <w:r>
              <w:rPr>
                <w:b/>
                <w:bCs/>
              </w:rPr>
              <w:t>Met</w:t>
            </w:r>
          </w:p>
        </w:tc>
      </w:tr>
      <w:tr w:rsidR="0094594C" w14:paraId="1CF3CBA1" w14:textId="77777777" w:rsidTr="0094594C">
        <w:tc>
          <w:tcPr>
            <w:tcW w:w="8815" w:type="dxa"/>
          </w:tcPr>
          <w:p w14:paraId="4B555309" w14:textId="4684CB34" w:rsidR="0094594C" w:rsidRDefault="0094594C" w:rsidP="00A66D64">
            <w:pPr>
              <w:spacing w:after="60"/>
            </w:pPr>
            <w:r>
              <w:t>The active ingredient is chemically identical to the active ingredient in an FDA approved drug.</w:t>
            </w:r>
          </w:p>
        </w:tc>
        <w:sdt>
          <w:sdtPr>
            <w:alias w:val="The active ingredient is chemically identical to the active ingredient in an FDA approved drug - Requirement Met"/>
            <w:tag w:val="Requirement met - the active ingredient is chemically identical to the active ingredient in an FDA approved drug"/>
            <w:id w:val="-1121454828"/>
            <w14:checkbox>
              <w14:checked w14:val="0"/>
              <w14:checkedState w14:val="2612" w14:font="MS Gothic"/>
              <w14:uncheckedState w14:val="2610" w14:font="MS Gothic"/>
            </w14:checkbox>
          </w:sdtPr>
          <w:sdtEndPr/>
          <w:sdtContent>
            <w:tc>
              <w:tcPr>
                <w:tcW w:w="805" w:type="dxa"/>
                <w:vAlign w:val="center"/>
              </w:tcPr>
              <w:p w14:paraId="235F6008" w14:textId="3C040C7F" w:rsidR="0094594C" w:rsidRDefault="00A16CF5" w:rsidP="0094594C">
                <w:pPr>
                  <w:spacing w:after="60"/>
                  <w:jc w:val="center"/>
                </w:pPr>
                <w:r>
                  <w:rPr>
                    <w:rFonts w:ascii="MS Gothic" w:eastAsia="MS Gothic" w:hAnsi="MS Gothic" w:hint="eastAsia"/>
                  </w:rPr>
                  <w:t>☐</w:t>
                </w:r>
              </w:p>
            </w:tc>
          </w:sdtContent>
        </w:sdt>
      </w:tr>
      <w:tr w:rsidR="0094594C" w14:paraId="5B9099B5" w14:textId="77777777" w:rsidTr="0094594C">
        <w:tc>
          <w:tcPr>
            <w:tcW w:w="8815" w:type="dxa"/>
          </w:tcPr>
          <w:p w14:paraId="4FD7A638" w14:textId="76B0EAFA" w:rsidR="0094594C" w:rsidRDefault="0094594C" w:rsidP="00A66D64">
            <w:pPr>
              <w:spacing w:after="60"/>
            </w:pPr>
            <w:r>
              <w:t>The drug is not radioactively labeled.</w:t>
            </w:r>
          </w:p>
        </w:tc>
        <w:sdt>
          <w:sdtPr>
            <w:alias w:val="The drug is not radioactively labeled - Requirement Met"/>
            <w:tag w:val="Requirement met - the drug is not radioactively labeled"/>
            <w:id w:val="-28267686"/>
            <w14:checkbox>
              <w14:checked w14:val="0"/>
              <w14:checkedState w14:val="2612" w14:font="MS Gothic"/>
              <w14:uncheckedState w14:val="2610" w14:font="MS Gothic"/>
            </w14:checkbox>
          </w:sdtPr>
          <w:sdtEndPr/>
          <w:sdtContent>
            <w:tc>
              <w:tcPr>
                <w:tcW w:w="805" w:type="dxa"/>
                <w:vAlign w:val="center"/>
              </w:tcPr>
              <w:p w14:paraId="1F109E2B" w14:textId="7BA0BA04" w:rsidR="0094594C" w:rsidRDefault="00A16CF5" w:rsidP="0094594C">
                <w:pPr>
                  <w:spacing w:after="60"/>
                  <w:jc w:val="center"/>
                </w:pPr>
                <w:r>
                  <w:rPr>
                    <w:rFonts w:ascii="MS Gothic" w:eastAsia="MS Gothic" w:hAnsi="MS Gothic" w:hint="eastAsia"/>
                  </w:rPr>
                  <w:t>☐</w:t>
                </w:r>
              </w:p>
            </w:tc>
          </w:sdtContent>
        </w:sdt>
      </w:tr>
      <w:tr w:rsidR="0094594C" w14:paraId="616792A0" w14:textId="77777777" w:rsidTr="0094594C">
        <w:tc>
          <w:tcPr>
            <w:tcW w:w="8815" w:type="dxa"/>
          </w:tcPr>
          <w:p w14:paraId="55659689" w14:textId="19188A60" w:rsidR="0094594C" w:rsidRDefault="0094594C" w:rsidP="00A66D64">
            <w:pPr>
              <w:spacing w:after="60"/>
            </w:pPr>
            <w:r>
              <w:t>The drug is not cytotoxic.</w:t>
            </w:r>
          </w:p>
        </w:tc>
        <w:sdt>
          <w:sdtPr>
            <w:alias w:val="The drug is cytotoxic - Requirement Met"/>
            <w:tag w:val="The drug is cytotoxic - Requirement Met"/>
            <w:id w:val="-589318920"/>
            <w14:checkbox>
              <w14:checked w14:val="0"/>
              <w14:checkedState w14:val="2612" w14:font="MS Gothic"/>
              <w14:uncheckedState w14:val="2610" w14:font="MS Gothic"/>
            </w14:checkbox>
          </w:sdtPr>
          <w:sdtEndPr/>
          <w:sdtContent>
            <w:tc>
              <w:tcPr>
                <w:tcW w:w="805" w:type="dxa"/>
                <w:vAlign w:val="center"/>
              </w:tcPr>
              <w:p w14:paraId="354CE12F" w14:textId="76C4E48C" w:rsidR="0094594C" w:rsidRDefault="0059015E" w:rsidP="0094594C">
                <w:pPr>
                  <w:spacing w:after="60"/>
                  <w:jc w:val="center"/>
                </w:pPr>
                <w:r>
                  <w:rPr>
                    <w:rFonts w:ascii="MS Gothic" w:eastAsia="MS Gothic" w:hAnsi="MS Gothic" w:hint="eastAsia"/>
                  </w:rPr>
                  <w:t>☐</w:t>
                </w:r>
              </w:p>
            </w:tc>
          </w:sdtContent>
        </w:sdt>
      </w:tr>
      <w:tr w:rsidR="0094594C" w14:paraId="7EC04BCD" w14:textId="77777777" w:rsidTr="0094594C">
        <w:tc>
          <w:tcPr>
            <w:tcW w:w="8815" w:type="dxa"/>
          </w:tcPr>
          <w:p w14:paraId="5D70FA10" w14:textId="711B6425" w:rsidR="0094594C" w:rsidRDefault="0094594C" w:rsidP="00A66D64">
            <w:pPr>
              <w:spacing w:after="60"/>
            </w:pPr>
            <w:r>
              <w:t>The dose (single dose or total daily dose) does not exceed the dose specified in the labeling of the approved version of the drug.</w:t>
            </w:r>
          </w:p>
        </w:tc>
        <w:sdt>
          <w:sdtPr>
            <w:alias w:val="The dose (single dose or total daily dose) does not exceed the dose specified in the labeling of the approved version of the drug - Requirement Met"/>
            <w:tag w:val="The dose (single dose or total daily dose) does not exceed the dose specified in the labeling of the approved version of the drug - Requirement Met"/>
            <w:id w:val="1926772001"/>
            <w14:checkbox>
              <w14:checked w14:val="0"/>
              <w14:checkedState w14:val="2612" w14:font="MS Gothic"/>
              <w14:uncheckedState w14:val="2610" w14:font="MS Gothic"/>
            </w14:checkbox>
          </w:sdtPr>
          <w:sdtEndPr/>
          <w:sdtContent>
            <w:tc>
              <w:tcPr>
                <w:tcW w:w="805" w:type="dxa"/>
                <w:vAlign w:val="center"/>
              </w:tcPr>
              <w:p w14:paraId="52360DE8" w14:textId="46CAEDBB" w:rsidR="0094594C" w:rsidRDefault="0059015E" w:rsidP="0094594C">
                <w:pPr>
                  <w:spacing w:after="60"/>
                  <w:jc w:val="center"/>
                </w:pPr>
                <w:r>
                  <w:rPr>
                    <w:rFonts w:ascii="MS Gothic" w:eastAsia="MS Gothic" w:hAnsi="MS Gothic" w:hint="eastAsia"/>
                  </w:rPr>
                  <w:t>☐</w:t>
                </w:r>
              </w:p>
            </w:tc>
          </w:sdtContent>
        </w:sdt>
      </w:tr>
      <w:tr w:rsidR="0094594C" w14:paraId="648BB875" w14:textId="77777777" w:rsidTr="0094594C">
        <w:tc>
          <w:tcPr>
            <w:tcW w:w="8815" w:type="dxa"/>
          </w:tcPr>
          <w:p w14:paraId="32290577" w14:textId="086D67E5" w:rsidR="0094594C" w:rsidRDefault="0094594C" w:rsidP="00A66D64">
            <w:pPr>
              <w:spacing w:after="60"/>
            </w:pPr>
            <w:r>
              <w:t>For multiple dose studies of an extended-release drug: a single dose study has already been completed.</w:t>
            </w:r>
          </w:p>
        </w:tc>
        <w:sdt>
          <w:sdtPr>
            <w:alias w:val="For multiple dose studies of an extended-release drug: a single dose study has already been completed - Requirement Met"/>
            <w:tag w:val="For multiple dose studies of an extended-release drug: a single dose study has already been completed - Requirement Met"/>
            <w:id w:val="-182677119"/>
            <w14:checkbox>
              <w14:checked w14:val="0"/>
              <w14:checkedState w14:val="2612" w14:font="MS Gothic"/>
              <w14:uncheckedState w14:val="2610" w14:font="MS Gothic"/>
            </w14:checkbox>
          </w:sdtPr>
          <w:sdtEndPr/>
          <w:sdtContent>
            <w:tc>
              <w:tcPr>
                <w:tcW w:w="805" w:type="dxa"/>
                <w:vAlign w:val="center"/>
              </w:tcPr>
              <w:p w14:paraId="6AC361CC" w14:textId="2719B9B5" w:rsidR="0094594C" w:rsidRDefault="0059015E" w:rsidP="0094594C">
                <w:pPr>
                  <w:spacing w:after="60"/>
                  <w:jc w:val="center"/>
                </w:pPr>
                <w:r>
                  <w:rPr>
                    <w:rFonts w:ascii="MS Gothic" w:eastAsia="MS Gothic" w:hAnsi="MS Gothic" w:hint="eastAsia"/>
                  </w:rPr>
                  <w:t>☐</w:t>
                </w:r>
              </w:p>
            </w:tc>
          </w:sdtContent>
        </w:sdt>
      </w:tr>
      <w:tr w:rsidR="0094594C" w14:paraId="37E33A52" w14:textId="77777777" w:rsidTr="0094594C">
        <w:tc>
          <w:tcPr>
            <w:tcW w:w="8815" w:type="dxa"/>
          </w:tcPr>
          <w:p w14:paraId="5F30492D" w14:textId="53F33F1C" w:rsidR="0094594C" w:rsidRDefault="0094594C" w:rsidP="00A66D64">
            <w:pPr>
              <w:spacing w:after="60"/>
            </w:pPr>
            <w:r>
              <w:t>The sponsor will meet the requirements for retention of drug samples, as described in 21 CFR 320.31(d)(1).</w:t>
            </w:r>
          </w:p>
        </w:tc>
        <w:sdt>
          <w:sdtPr>
            <w:alias w:val="The sponsor will meet the requirements for retention of drug samples, as described in 21 CF 320.31(d)(1) - Requirement Met"/>
            <w:tag w:val="The sponsor will meet the requirements for retention of drug samples, as described in 21 CF 320.31(d)(1) - Requirement Met"/>
            <w:id w:val="20990096"/>
            <w14:checkbox>
              <w14:checked w14:val="0"/>
              <w14:checkedState w14:val="2612" w14:font="MS Gothic"/>
              <w14:uncheckedState w14:val="2610" w14:font="MS Gothic"/>
            </w14:checkbox>
          </w:sdtPr>
          <w:sdtEndPr/>
          <w:sdtContent>
            <w:tc>
              <w:tcPr>
                <w:tcW w:w="805" w:type="dxa"/>
                <w:vAlign w:val="center"/>
              </w:tcPr>
              <w:p w14:paraId="5A743A08" w14:textId="00DAD84F" w:rsidR="0094594C" w:rsidRDefault="0059015E" w:rsidP="0094594C">
                <w:pPr>
                  <w:spacing w:after="60"/>
                  <w:jc w:val="center"/>
                </w:pPr>
                <w:r>
                  <w:rPr>
                    <w:rFonts w:ascii="MS Gothic" w:eastAsia="MS Gothic" w:hAnsi="MS Gothic" w:hint="eastAsia"/>
                  </w:rPr>
                  <w:t>☐</w:t>
                </w:r>
              </w:p>
            </w:tc>
          </w:sdtContent>
        </w:sdt>
      </w:tr>
      <w:tr w:rsidR="0094594C" w14:paraId="66C257F2" w14:textId="77777777" w:rsidTr="0094594C">
        <w:tc>
          <w:tcPr>
            <w:tcW w:w="8815" w:type="dxa"/>
          </w:tcPr>
          <w:p w14:paraId="23412778" w14:textId="13102185" w:rsidR="0094594C" w:rsidRDefault="0094594C" w:rsidP="00A66D64">
            <w:pPr>
              <w:spacing w:after="60"/>
            </w:pPr>
            <w:r>
              <w:t>The sponsor (or contact research organization) will notify the FDA and all participating investigators of any serious adverse event as soon as possible but in no case later than 15 calendar days after becoming aware of its occurrence, as described in 21 CFR 320.31(d)(3).</w:t>
            </w:r>
          </w:p>
        </w:tc>
        <w:sdt>
          <w:sdtPr>
            <w:alias w:val="The sponsor (or contact research organization) will notify the FDA and all participating investigators of any serious adverse event as soon as possible but in no case later than 15 calendar days after becoming aware of its occurrence, as described in 21 CFR 320.31(d)(3) - Requirement Met"/>
            <w:tag w:val="The sponsor (or contact research organization) will notify the FDA and all participating investigators of any serious adverse event as soon as possible but in no case later than 15 calendar days after becoming aware of its occurrence, as described in 21 CFR 320.31(d)(3) - Requirement Met"/>
            <w:id w:val="-2104565526"/>
            <w14:checkbox>
              <w14:checked w14:val="0"/>
              <w14:checkedState w14:val="2612" w14:font="MS Gothic"/>
              <w14:uncheckedState w14:val="2610" w14:font="MS Gothic"/>
            </w14:checkbox>
          </w:sdtPr>
          <w:sdtEndPr/>
          <w:sdtContent>
            <w:tc>
              <w:tcPr>
                <w:tcW w:w="805" w:type="dxa"/>
                <w:vAlign w:val="center"/>
              </w:tcPr>
              <w:p w14:paraId="1593EB9B" w14:textId="75398551" w:rsidR="0094594C" w:rsidRDefault="0059015E" w:rsidP="0094594C">
                <w:pPr>
                  <w:spacing w:after="60"/>
                  <w:jc w:val="center"/>
                </w:pPr>
                <w:r>
                  <w:rPr>
                    <w:rFonts w:ascii="MS Gothic" w:eastAsia="MS Gothic" w:hAnsi="MS Gothic" w:hint="eastAsia"/>
                  </w:rPr>
                  <w:t>☐</w:t>
                </w:r>
              </w:p>
            </w:tc>
          </w:sdtContent>
        </w:sdt>
      </w:tr>
    </w:tbl>
    <w:p w14:paraId="644A2D06" w14:textId="77777777" w:rsidR="0094594C" w:rsidRDefault="0094594C" w:rsidP="00A66D64">
      <w:pPr>
        <w:spacing w:after="60"/>
        <w:ind w:left="450"/>
      </w:pPr>
    </w:p>
    <w:p w14:paraId="6DE28775" w14:textId="3CC90B42" w:rsidR="006A6D09" w:rsidRDefault="006A6D09" w:rsidP="006A6D09">
      <w:pPr>
        <w:pStyle w:val="Heading2"/>
        <w:spacing w:after="120"/>
      </w:pPr>
      <w:r>
        <w:t>Category 5 – Radioactive Drugs for Research Use [21 CFR 361.1]</w:t>
      </w:r>
    </w:p>
    <w:p w14:paraId="58B33624" w14:textId="676B312D" w:rsidR="0094594C" w:rsidRPr="006A6D09" w:rsidRDefault="006A6D09" w:rsidP="00A66D64">
      <w:pPr>
        <w:spacing w:after="60"/>
        <w:ind w:left="450"/>
        <w:rPr>
          <w:b/>
          <w:bCs/>
          <w:i/>
          <w:iCs/>
        </w:rPr>
      </w:pPr>
      <w:r w:rsidRPr="006A6D09">
        <w:rPr>
          <w:b/>
          <w:bCs/>
          <w:i/>
          <w:iCs/>
        </w:rPr>
        <w:t>Drugs meeting all four criteria are considered “safe and effective” and therefore IND requirements do not apply. This applies to radioactive versions of both approved and unapproved drugs.</w:t>
      </w:r>
    </w:p>
    <w:p w14:paraId="2CC08342" w14:textId="77777777" w:rsidR="006A6D09" w:rsidRDefault="006A6D09" w:rsidP="00A66D64">
      <w:pPr>
        <w:spacing w:after="60"/>
        <w:ind w:left="450"/>
      </w:pPr>
    </w:p>
    <w:tbl>
      <w:tblPr>
        <w:tblStyle w:val="TableGrid"/>
        <w:tblW w:w="0" w:type="auto"/>
        <w:tblInd w:w="450" w:type="dxa"/>
        <w:tblLook w:val="04A0" w:firstRow="1" w:lastRow="0" w:firstColumn="1" w:lastColumn="0" w:noHBand="0" w:noVBand="1"/>
        <w:tblCaption w:val="Category 5 Requirements"/>
        <w:tblDescription w:val="Four requirements for IND exemption for radioactive drugs for research use as outlined in 21 CFR 361.1. All four requirements must be met to meet exemption category."/>
      </w:tblPr>
      <w:tblGrid>
        <w:gridCol w:w="8815"/>
        <w:gridCol w:w="805"/>
      </w:tblGrid>
      <w:tr w:rsidR="00A16CF5" w14:paraId="1A5B0723" w14:textId="77777777" w:rsidTr="00B04654">
        <w:trPr>
          <w:tblHeader/>
        </w:trPr>
        <w:tc>
          <w:tcPr>
            <w:tcW w:w="8815" w:type="dxa"/>
          </w:tcPr>
          <w:p w14:paraId="5969E27B" w14:textId="374AD4FC" w:rsidR="00A16CF5" w:rsidRPr="00B04654" w:rsidRDefault="00B04654" w:rsidP="00A66D64">
            <w:pPr>
              <w:spacing w:after="60"/>
              <w:rPr>
                <w:b/>
                <w:bCs/>
              </w:rPr>
            </w:pPr>
            <w:r>
              <w:rPr>
                <w:b/>
                <w:bCs/>
              </w:rPr>
              <w:t>Category 5 Requirements</w:t>
            </w:r>
          </w:p>
        </w:tc>
        <w:tc>
          <w:tcPr>
            <w:tcW w:w="805" w:type="dxa"/>
            <w:vAlign w:val="center"/>
          </w:tcPr>
          <w:p w14:paraId="4E227122" w14:textId="5F38DC75" w:rsidR="00A16CF5" w:rsidRPr="00A16CF5" w:rsidRDefault="00A16CF5" w:rsidP="00A16CF5">
            <w:pPr>
              <w:spacing w:after="60"/>
              <w:jc w:val="center"/>
              <w:rPr>
                <w:b/>
                <w:bCs/>
              </w:rPr>
            </w:pPr>
            <w:r>
              <w:rPr>
                <w:b/>
                <w:bCs/>
              </w:rPr>
              <w:t>Met</w:t>
            </w:r>
          </w:p>
        </w:tc>
      </w:tr>
      <w:tr w:rsidR="00A16CF5" w14:paraId="704EB50C" w14:textId="77777777" w:rsidTr="00A16CF5">
        <w:tc>
          <w:tcPr>
            <w:tcW w:w="8815" w:type="dxa"/>
          </w:tcPr>
          <w:p w14:paraId="312D7EC4" w14:textId="63C9D2AA" w:rsidR="00A16CF5" w:rsidRDefault="00B04654" w:rsidP="00A66D64">
            <w:pPr>
              <w:spacing w:after="60"/>
            </w:pPr>
            <w:r>
              <w:t>The drug has been approved by the Radioactive Drug Research Committee as a radioactive drug for certain research uses, per the criteria described in 21 CFR 361.1(b).</w:t>
            </w:r>
          </w:p>
        </w:tc>
        <w:sdt>
          <w:sdtPr>
            <w:alias w:val="The drug has been approved by the Radioactive Drug Research Committee as a radioactive drug for certain research uses, per the criteria described in 21 CFR 361.1(b) - Requirement Met"/>
            <w:tag w:val="The drug has been approved by the Radioactive Drug Research Committee as a radioactive drug for certain research uses, per the criteria described in 21 CFR 361.1(b) - Requirement Met"/>
            <w:id w:val="-2134701319"/>
            <w14:checkbox>
              <w14:checked w14:val="0"/>
              <w14:checkedState w14:val="2612" w14:font="MS Gothic"/>
              <w14:uncheckedState w14:val="2610" w14:font="MS Gothic"/>
            </w14:checkbox>
          </w:sdtPr>
          <w:sdtEndPr/>
          <w:sdtContent>
            <w:tc>
              <w:tcPr>
                <w:tcW w:w="805" w:type="dxa"/>
                <w:vAlign w:val="center"/>
              </w:tcPr>
              <w:p w14:paraId="3964EFC2" w14:textId="233B31AC" w:rsidR="00A16CF5" w:rsidRDefault="00B04654" w:rsidP="00A16CF5">
                <w:pPr>
                  <w:spacing w:after="60"/>
                  <w:jc w:val="center"/>
                </w:pPr>
                <w:r>
                  <w:rPr>
                    <w:rFonts w:ascii="MS Gothic" w:eastAsia="MS Gothic" w:hAnsi="MS Gothic" w:hint="eastAsia"/>
                  </w:rPr>
                  <w:t>☐</w:t>
                </w:r>
              </w:p>
            </w:tc>
          </w:sdtContent>
        </w:sdt>
      </w:tr>
      <w:tr w:rsidR="00A16CF5" w14:paraId="451D3446" w14:textId="77777777" w:rsidTr="00A16CF5">
        <w:tc>
          <w:tcPr>
            <w:tcW w:w="8815" w:type="dxa"/>
          </w:tcPr>
          <w:p w14:paraId="168489D1" w14:textId="47DDF742" w:rsidR="00A16CF5" w:rsidRDefault="00B04654" w:rsidP="00A66D64">
            <w:pPr>
              <w:spacing w:after="60"/>
            </w:pPr>
            <w:r>
              <w:t>The amount of active ingredient or combination of active ingredients to be administered shall be known to not cause any clinically detectable pharmacological effects in humans.</w:t>
            </w:r>
          </w:p>
        </w:tc>
        <w:sdt>
          <w:sdtPr>
            <w:alias w:val="The amount of active ingredient or combination of active ingredients to be administered shall be known to not cause any clinically detectable pharmacological effects in humans - Requirement Met"/>
            <w:tag w:val="The amount of active ingredient or combination of active ingredients to be administered shall be known to not cause any clinically detectable pharmacological effects in humans - Requirement Met"/>
            <w:id w:val="-1828352240"/>
            <w14:checkbox>
              <w14:checked w14:val="0"/>
              <w14:checkedState w14:val="2612" w14:font="MS Gothic"/>
              <w14:uncheckedState w14:val="2610" w14:font="MS Gothic"/>
            </w14:checkbox>
          </w:sdtPr>
          <w:sdtEndPr/>
          <w:sdtContent>
            <w:tc>
              <w:tcPr>
                <w:tcW w:w="805" w:type="dxa"/>
                <w:vAlign w:val="center"/>
              </w:tcPr>
              <w:p w14:paraId="75A7E586" w14:textId="3CB597D9" w:rsidR="00A16CF5" w:rsidRDefault="00B04654" w:rsidP="00A16CF5">
                <w:pPr>
                  <w:spacing w:after="60"/>
                  <w:jc w:val="center"/>
                </w:pPr>
                <w:r>
                  <w:rPr>
                    <w:rFonts w:ascii="MS Gothic" w:eastAsia="MS Gothic" w:hAnsi="MS Gothic" w:hint="eastAsia"/>
                  </w:rPr>
                  <w:t>☐</w:t>
                </w:r>
              </w:p>
            </w:tc>
          </w:sdtContent>
        </w:sdt>
      </w:tr>
      <w:tr w:rsidR="00A16CF5" w14:paraId="3890895D" w14:textId="77777777" w:rsidTr="00A16CF5">
        <w:tc>
          <w:tcPr>
            <w:tcW w:w="8815" w:type="dxa"/>
          </w:tcPr>
          <w:p w14:paraId="0C6B3F2B" w14:textId="0DCB1F0E" w:rsidR="00A16CF5" w:rsidRDefault="00B04654" w:rsidP="00A66D64">
            <w:pPr>
              <w:spacing w:after="60"/>
            </w:pPr>
            <w:r>
              <w:t>The amount of radioactive material to be administered shall be such that the subject receives the smallest radiation dose with which it is practical to perform the study without jeopardizing the benefits to be obtained from the study.</w:t>
            </w:r>
          </w:p>
        </w:tc>
        <w:sdt>
          <w:sdtPr>
            <w:alias w:val="The amount of radioactive material to be administered shall be such that the subject receives the smallest radiation dose with which it is practical to perform the study without jeopardizing the benefits to be obtained from the study - Requirement Met"/>
            <w:tag w:val="The amount of radioactive material to be administered shall be such that the subject receives the smallest radiation dose with which it is practical to perform the study without jeopardizing the benefits to be obtained from the study - Requirement Met"/>
            <w:id w:val="-1172337748"/>
            <w14:checkbox>
              <w14:checked w14:val="0"/>
              <w14:checkedState w14:val="2612" w14:font="MS Gothic"/>
              <w14:uncheckedState w14:val="2610" w14:font="MS Gothic"/>
            </w14:checkbox>
          </w:sdtPr>
          <w:sdtEndPr/>
          <w:sdtContent>
            <w:tc>
              <w:tcPr>
                <w:tcW w:w="805" w:type="dxa"/>
                <w:vAlign w:val="center"/>
              </w:tcPr>
              <w:p w14:paraId="09631104" w14:textId="564CE2F0" w:rsidR="00A16CF5" w:rsidRDefault="00B04654" w:rsidP="00A16CF5">
                <w:pPr>
                  <w:spacing w:after="60"/>
                  <w:jc w:val="center"/>
                </w:pPr>
                <w:r>
                  <w:rPr>
                    <w:rFonts w:ascii="MS Gothic" w:eastAsia="MS Gothic" w:hAnsi="MS Gothic" w:hint="eastAsia"/>
                  </w:rPr>
                  <w:t>☐</w:t>
                </w:r>
              </w:p>
            </w:tc>
          </w:sdtContent>
        </w:sdt>
      </w:tr>
      <w:tr w:rsidR="00A16CF5" w14:paraId="1ED41705" w14:textId="77777777" w:rsidTr="00A16CF5">
        <w:tc>
          <w:tcPr>
            <w:tcW w:w="8815" w:type="dxa"/>
          </w:tcPr>
          <w:p w14:paraId="1BF2967F" w14:textId="296BD16E" w:rsidR="00A16CF5" w:rsidRDefault="00B04654" w:rsidP="00A66D64">
            <w:pPr>
              <w:spacing w:after="60"/>
            </w:pPr>
            <w:r>
              <w:t>The radiation dose to an adult research subject from a single study or cumulatively from a number of studies conducted within 1 year will not exceed the limits described in 21 CFR 361.1(b)(3).</w:t>
            </w:r>
          </w:p>
        </w:tc>
        <w:sdt>
          <w:sdtPr>
            <w:alias w:val="The radiation dose to an adult research subject from a single study or cumulatively from a number of studies conducted within 1 year will not exceed the limits described in 21 CFR 361.1(b)(3) - Requirement Met"/>
            <w:tag w:val="The radiation dose to an adult research subject from a single study or cumulatively from a number of studies conducted within 1 year will not exceed the limits described in 21 CFR 361.1(b)(3) - Requirement Met"/>
            <w:id w:val="1880972897"/>
            <w14:checkbox>
              <w14:checked w14:val="0"/>
              <w14:checkedState w14:val="2612" w14:font="MS Gothic"/>
              <w14:uncheckedState w14:val="2610" w14:font="MS Gothic"/>
            </w14:checkbox>
          </w:sdtPr>
          <w:sdtEndPr/>
          <w:sdtContent>
            <w:tc>
              <w:tcPr>
                <w:tcW w:w="805" w:type="dxa"/>
                <w:vAlign w:val="center"/>
              </w:tcPr>
              <w:p w14:paraId="44843438" w14:textId="7F8DD074" w:rsidR="00A16CF5" w:rsidRDefault="00B04654" w:rsidP="00A16CF5">
                <w:pPr>
                  <w:spacing w:after="60"/>
                  <w:jc w:val="center"/>
                </w:pPr>
                <w:r>
                  <w:rPr>
                    <w:rFonts w:ascii="MS Gothic" w:eastAsia="MS Gothic" w:hAnsi="MS Gothic" w:hint="eastAsia"/>
                  </w:rPr>
                  <w:t>☐</w:t>
                </w:r>
              </w:p>
            </w:tc>
          </w:sdtContent>
        </w:sdt>
      </w:tr>
    </w:tbl>
    <w:p w14:paraId="1F134A82" w14:textId="77777777" w:rsidR="006A6D09" w:rsidRDefault="006A6D09" w:rsidP="00A66D64">
      <w:pPr>
        <w:spacing w:after="60"/>
        <w:ind w:left="450"/>
      </w:pPr>
    </w:p>
    <w:p w14:paraId="5DE76C01" w14:textId="01B8A0B7" w:rsidR="00106A2F" w:rsidRDefault="00106A2F" w:rsidP="00106A2F">
      <w:pPr>
        <w:pStyle w:val="Heading2"/>
        <w:spacing w:after="120"/>
      </w:pPr>
      <w:r>
        <w:t>Category 6 – Cold Isotopes for Research Use</w:t>
      </w:r>
    </w:p>
    <w:p w14:paraId="4F6C94DC" w14:textId="619EF54C" w:rsidR="006A6D09" w:rsidRPr="00106A2F" w:rsidRDefault="00106A2F" w:rsidP="00A66D64">
      <w:pPr>
        <w:spacing w:after="60"/>
        <w:ind w:left="450"/>
        <w:rPr>
          <w:b/>
          <w:bCs/>
          <w:i/>
          <w:iCs/>
        </w:rPr>
      </w:pPr>
      <w:r w:rsidRPr="00106A2F">
        <w:rPr>
          <w:b/>
          <w:bCs/>
          <w:i/>
          <w:iCs/>
        </w:rPr>
        <w:t xml:space="preserve">The FDA has expressed in its 2013 guidance </w:t>
      </w:r>
      <w:hyperlink r:id="rId14" w:history="1">
        <w:r w:rsidRPr="00106A2F">
          <w:rPr>
            <w:rStyle w:val="Hyperlink"/>
            <w:b/>
            <w:bCs/>
          </w:rPr>
          <w:t>Investigational New Drug Applications (INDs) – Determining Whether Human Research Studies Can be Conducted Without an IND</w:t>
        </w:r>
      </w:hyperlink>
      <w:r w:rsidRPr="00106A2F">
        <w:rPr>
          <w:b/>
          <w:bCs/>
        </w:rPr>
        <w:t xml:space="preserve"> </w:t>
      </w:r>
      <w:r w:rsidRPr="00106A2F">
        <w:rPr>
          <w:b/>
          <w:bCs/>
          <w:i/>
          <w:iCs/>
        </w:rPr>
        <w:t>that it intends to exercise enforcement discretion when research using cold isotopes of unapproved drugs is conducted without an IND, provided that all of the four requirements are met. The requirements are based on the criteria in category 5 for studies using radiolabeled drugs [21 CFR 361.1].</w:t>
      </w:r>
    </w:p>
    <w:p w14:paraId="7A4383FD" w14:textId="77777777" w:rsidR="00106A2F" w:rsidRDefault="00106A2F" w:rsidP="00A66D64">
      <w:pPr>
        <w:spacing w:after="60"/>
        <w:ind w:left="450"/>
      </w:pPr>
    </w:p>
    <w:tbl>
      <w:tblPr>
        <w:tblStyle w:val="TableGrid"/>
        <w:tblW w:w="0" w:type="auto"/>
        <w:tblInd w:w="450" w:type="dxa"/>
        <w:tblLook w:val="04A0" w:firstRow="1" w:lastRow="0" w:firstColumn="1" w:lastColumn="0" w:noHBand="0" w:noVBand="1"/>
        <w:tblCaption w:val="Category 6 Requirements"/>
        <w:tblDescription w:val="Four requirements for category of research that the FDA has decided to treat as an IND exemption via enforcement discretion. These requirement are modeled on the requirements in Category 5. All four requirements must be met."/>
      </w:tblPr>
      <w:tblGrid>
        <w:gridCol w:w="8815"/>
        <w:gridCol w:w="805"/>
      </w:tblGrid>
      <w:tr w:rsidR="00106A2F" w14:paraId="015BB196" w14:textId="77777777" w:rsidTr="00106A2F">
        <w:trPr>
          <w:tblHeader/>
        </w:trPr>
        <w:tc>
          <w:tcPr>
            <w:tcW w:w="8815" w:type="dxa"/>
          </w:tcPr>
          <w:p w14:paraId="60DAA8AB" w14:textId="49432A0D" w:rsidR="00106A2F" w:rsidRPr="00106A2F" w:rsidRDefault="00106A2F" w:rsidP="00A66D64">
            <w:pPr>
              <w:spacing w:after="60"/>
              <w:rPr>
                <w:b/>
                <w:bCs/>
              </w:rPr>
            </w:pPr>
            <w:r>
              <w:rPr>
                <w:b/>
                <w:bCs/>
              </w:rPr>
              <w:lastRenderedPageBreak/>
              <w:t>Category 6 Requirements</w:t>
            </w:r>
          </w:p>
        </w:tc>
        <w:tc>
          <w:tcPr>
            <w:tcW w:w="805" w:type="dxa"/>
            <w:vAlign w:val="center"/>
          </w:tcPr>
          <w:p w14:paraId="3F858C14" w14:textId="15ECCC3D" w:rsidR="00106A2F" w:rsidRPr="00106A2F" w:rsidRDefault="00106A2F" w:rsidP="00106A2F">
            <w:pPr>
              <w:spacing w:after="60"/>
              <w:jc w:val="center"/>
              <w:rPr>
                <w:b/>
                <w:bCs/>
              </w:rPr>
            </w:pPr>
            <w:r>
              <w:rPr>
                <w:b/>
                <w:bCs/>
              </w:rPr>
              <w:t>Met</w:t>
            </w:r>
          </w:p>
        </w:tc>
      </w:tr>
      <w:tr w:rsidR="00106A2F" w14:paraId="70B32F0F" w14:textId="77777777" w:rsidTr="00106A2F">
        <w:tc>
          <w:tcPr>
            <w:tcW w:w="8815" w:type="dxa"/>
          </w:tcPr>
          <w:p w14:paraId="35B8848F" w14:textId="4688DD6E" w:rsidR="00106A2F" w:rsidRDefault="00106A2F" w:rsidP="00A66D64">
            <w:pPr>
              <w:spacing w:after="60"/>
            </w:pPr>
            <w:r>
              <w:t>The research is intended to obtain basic information regarding the metabolism (including kinetics, distribution, and localization) of a drug labeled with a cold isotope or regarding human physiology, pathophysiology, or biochemistry.</w:t>
            </w:r>
          </w:p>
        </w:tc>
        <w:sdt>
          <w:sdtPr>
            <w:alias w:val="The research is intended to obtain basic information regarding the metabolism (including kinetics, distribution, and localization) of a drug labeled with a cold isotope or regarding human physiology, pathophysiology, or biochemistry - Requirement Met"/>
            <w:tag w:val="The research is intended to obtain basic information regarding the metabolism (including kinetics, distribution, and localization) of a drug labeled with a cold isotope or regarding human physiology, pathophysiology, or biochemistry - Requirement Met"/>
            <w:id w:val="-66576336"/>
            <w14:checkbox>
              <w14:checked w14:val="0"/>
              <w14:checkedState w14:val="2612" w14:font="MS Gothic"/>
              <w14:uncheckedState w14:val="2610" w14:font="MS Gothic"/>
            </w14:checkbox>
          </w:sdtPr>
          <w:sdtEndPr/>
          <w:sdtContent>
            <w:tc>
              <w:tcPr>
                <w:tcW w:w="805" w:type="dxa"/>
                <w:vAlign w:val="center"/>
              </w:tcPr>
              <w:p w14:paraId="02C23D38" w14:textId="07727F37" w:rsidR="00106A2F" w:rsidRDefault="00106A2F" w:rsidP="00106A2F">
                <w:pPr>
                  <w:spacing w:after="60"/>
                  <w:jc w:val="center"/>
                </w:pPr>
                <w:r>
                  <w:rPr>
                    <w:rFonts w:ascii="MS Gothic" w:eastAsia="MS Gothic" w:hAnsi="MS Gothic" w:hint="eastAsia"/>
                  </w:rPr>
                  <w:t>☐</w:t>
                </w:r>
              </w:p>
            </w:tc>
          </w:sdtContent>
        </w:sdt>
      </w:tr>
      <w:tr w:rsidR="00106A2F" w14:paraId="4F33C7F1" w14:textId="77777777" w:rsidTr="00106A2F">
        <w:tc>
          <w:tcPr>
            <w:tcW w:w="8815" w:type="dxa"/>
          </w:tcPr>
          <w:p w14:paraId="2521489E" w14:textId="673FB6A5" w:rsidR="00106A2F" w:rsidRDefault="00106A2F" w:rsidP="00A66D64">
            <w:pPr>
              <w:spacing w:after="60"/>
            </w:pPr>
            <w:r>
              <w:t>The research is not intended for immediate therapeutic, diagnostic, or preventive benefit to the subject.</w:t>
            </w:r>
          </w:p>
        </w:tc>
        <w:sdt>
          <w:sdtPr>
            <w:alias w:val="The research is not intended for immediate therapeutic, diagnostic, or preventive benefit to the subject - Requirement Met"/>
            <w:tag w:val="The research is not intended for immediate therapeutic, diagnostic, or preventive benefit to the subject - Requirement Met"/>
            <w:id w:val="486364536"/>
            <w14:checkbox>
              <w14:checked w14:val="0"/>
              <w14:checkedState w14:val="2612" w14:font="MS Gothic"/>
              <w14:uncheckedState w14:val="2610" w14:font="MS Gothic"/>
            </w14:checkbox>
          </w:sdtPr>
          <w:sdtEndPr/>
          <w:sdtContent>
            <w:tc>
              <w:tcPr>
                <w:tcW w:w="805" w:type="dxa"/>
                <w:vAlign w:val="center"/>
              </w:tcPr>
              <w:p w14:paraId="08EB8AAD" w14:textId="10ADD73B" w:rsidR="00106A2F" w:rsidRDefault="00106A2F" w:rsidP="00106A2F">
                <w:pPr>
                  <w:spacing w:after="60"/>
                  <w:jc w:val="center"/>
                </w:pPr>
                <w:r>
                  <w:rPr>
                    <w:rFonts w:ascii="MS Gothic" w:eastAsia="MS Gothic" w:hAnsi="MS Gothic" w:hint="eastAsia"/>
                  </w:rPr>
                  <w:t>☐</w:t>
                </w:r>
              </w:p>
            </w:tc>
          </w:sdtContent>
        </w:sdt>
      </w:tr>
      <w:tr w:rsidR="00106A2F" w14:paraId="57C55E6D" w14:textId="77777777" w:rsidTr="00106A2F">
        <w:tc>
          <w:tcPr>
            <w:tcW w:w="8815" w:type="dxa"/>
          </w:tcPr>
          <w:p w14:paraId="108A5221" w14:textId="59507889" w:rsidR="00106A2F" w:rsidRDefault="00106A2F" w:rsidP="00A66D64">
            <w:pPr>
              <w:spacing w:after="60"/>
            </w:pPr>
            <w:r>
              <w:t>The dose to be administered is known to not cause any clinically detectable pharmacological effect in humans based on clinical data from published literature or other valid human studies.</w:t>
            </w:r>
          </w:p>
        </w:tc>
        <w:sdt>
          <w:sdtPr>
            <w:alias w:val="The dose to be administered is known to not cause any clinically detectable pharmacological effect in humans based on clinical data from published literature or other valid human studies - Requirement Met"/>
            <w:tag w:val="The dose to be administered is known to not cause any clinically detectable pharmacological effect in humans based on clinical data from published literature or other valid human studies - Requirement Met"/>
            <w:id w:val="276377600"/>
            <w14:checkbox>
              <w14:checked w14:val="0"/>
              <w14:checkedState w14:val="2612" w14:font="MS Gothic"/>
              <w14:uncheckedState w14:val="2610" w14:font="MS Gothic"/>
            </w14:checkbox>
          </w:sdtPr>
          <w:sdtEndPr/>
          <w:sdtContent>
            <w:tc>
              <w:tcPr>
                <w:tcW w:w="805" w:type="dxa"/>
                <w:vAlign w:val="center"/>
              </w:tcPr>
              <w:p w14:paraId="257D6CD8" w14:textId="5A718E5A" w:rsidR="00106A2F" w:rsidRDefault="00106A2F" w:rsidP="00106A2F">
                <w:pPr>
                  <w:spacing w:after="60"/>
                  <w:jc w:val="center"/>
                </w:pPr>
                <w:r>
                  <w:rPr>
                    <w:rFonts w:ascii="MS Gothic" w:eastAsia="MS Gothic" w:hAnsi="MS Gothic" w:hint="eastAsia"/>
                  </w:rPr>
                  <w:t>☐</w:t>
                </w:r>
              </w:p>
            </w:tc>
          </w:sdtContent>
        </w:sdt>
      </w:tr>
      <w:tr w:rsidR="00106A2F" w14:paraId="1DF7BDF0" w14:textId="77777777" w:rsidTr="00106A2F">
        <w:tc>
          <w:tcPr>
            <w:tcW w:w="8815" w:type="dxa"/>
          </w:tcPr>
          <w:p w14:paraId="49C47222" w14:textId="1BB23261" w:rsidR="00106A2F" w:rsidRDefault="00106A2F" w:rsidP="00A66D64">
            <w:pPr>
              <w:spacing w:after="60"/>
            </w:pPr>
            <w:r>
              <w:t>The quality of the cold isotope meets relevant quality standards.</w:t>
            </w:r>
          </w:p>
        </w:tc>
        <w:sdt>
          <w:sdtPr>
            <w:alias w:val="The quality of the cold isotope meets relevant quality standards - Requirement Met"/>
            <w:tag w:val="The quality of the cold isotope meets relevant quality standards - Requirement Met"/>
            <w:id w:val="-1423718136"/>
            <w14:checkbox>
              <w14:checked w14:val="0"/>
              <w14:checkedState w14:val="2612" w14:font="MS Gothic"/>
              <w14:uncheckedState w14:val="2610" w14:font="MS Gothic"/>
            </w14:checkbox>
          </w:sdtPr>
          <w:sdtEndPr/>
          <w:sdtContent>
            <w:tc>
              <w:tcPr>
                <w:tcW w:w="805" w:type="dxa"/>
                <w:vAlign w:val="center"/>
              </w:tcPr>
              <w:p w14:paraId="105B69D5" w14:textId="47EB1C1D" w:rsidR="00106A2F" w:rsidRDefault="00106A2F" w:rsidP="00106A2F">
                <w:pPr>
                  <w:spacing w:after="60"/>
                  <w:jc w:val="center"/>
                </w:pPr>
                <w:r>
                  <w:rPr>
                    <w:rFonts w:ascii="MS Gothic" w:eastAsia="MS Gothic" w:hAnsi="MS Gothic" w:hint="eastAsia"/>
                  </w:rPr>
                  <w:t>☐</w:t>
                </w:r>
              </w:p>
            </w:tc>
          </w:sdtContent>
        </w:sdt>
      </w:tr>
    </w:tbl>
    <w:p w14:paraId="1D055E4E" w14:textId="77777777" w:rsidR="00106A2F" w:rsidRDefault="00106A2F" w:rsidP="00A66D64">
      <w:pPr>
        <w:spacing w:after="60"/>
        <w:ind w:left="450"/>
      </w:pPr>
    </w:p>
    <w:p w14:paraId="3CF55201" w14:textId="442A8EE7" w:rsidR="006547BA" w:rsidRDefault="006547BA" w:rsidP="006547BA">
      <w:pPr>
        <w:pStyle w:val="Heading2"/>
      </w:pPr>
      <w:r>
        <w:t>Category 7 – FDA Determination</w:t>
      </w:r>
    </w:p>
    <w:p w14:paraId="06E36852" w14:textId="77777777" w:rsidR="006547BA" w:rsidRDefault="006547BA" w:rsidP="00A66D64">
      <w:pPr>
        <w:spacing w:after="60"/>
        <w:ind w:left="450"/>
      </w:pPr>
    </w:p>
    <w:tbl>
      <w:tblPr>
        <w:tblStyle w:val="TableGrid"/>
        <w:tblW w:w="0" w:type="auto"/>
        <w:tblInd w:w="450" w:type="dxa"/>
        <w:tblLook w:val="04A0" w:firstRow="1" w:lastRow="0" w:firstColumn="1" w:lastColumn="0" w:noHBand="0" w:noVBand="1"/>
        <w:tblCaption w:val="Category 7 Requirements"/>
        <w:tblDescription w:val="One requirement for IND exemption based on an issued determination for a study."/>
      </w:tblPr>
      <w:tblGrid>
        <w:gridCol w:w="8815"/>
        <w:gridCol w:w="805"/>
      </w:tblGrid>
      <w:tr w:rsidR="006547BA" w14:paraId="3EFE9868" w14:textId="77777777" w:rsidTr="006547BA">
        <w:trPr>
          <w:tblHeader/>
        </w:trPr>
        <w:tc>
          <w:tcPr>
            <w:tcW w:w="8815" w:type="dxa"/>
          </w:tcPr>
          <w:p w14:paraId="5E4DB156" w14:textId="629EE301" w:rsidR="006547BA" w:rsidRPr="006547BA" w:rsidRDefault="006547BA" w:rsidP="00A66D64">
            <w:pPr>
              <w:spacing w:after="60"/>
              <w:rPr>
                <w:b/>
                <w:bCs/>
              </w:rPr>
            </w:pPr>
            <w:r>
              <w:rPr>
                <w:b/>
                <w:bCs/>
              </w:rPr>
              <w:t>Category 7 Requirements</w:t>
            </w:r>
          </w:p>
        </w:tc>
        <w:tc>
          <w:tcPr>
            <w:tcW w:w="805" w:type="dxa"/>
            <w:vAlign w:val="center"/>
          </w:tcPr>
          <w:p w14:paraId="659923C8" w14:textId="71FA83CD" w:rsidR="006547BA" w:rsidRPr="006547BA" w:rsidRDefault="006547BA" w:rsidP="006547BA">
            <w:pPr>
              <w:spacing w:after="60"/>
              <w:jc w:val="center"/>
              <w:rPr>
                <w:b/>
                <w:bCs/>
              </w:rPr>
            </w:pPr>
            <w:r>
              <w:rPr>
                <w:b/>
                <w:bCs/>
              </w:rPr>
              <w:t>Met</w:t>
            </w:r>
          </w:p>
        </w:tc>
      </w:tr>
      <w:tr w:rsidR="006547BA" w14:paraId="44907B6E" w14:textId="77777777" w:rsidTr="006547BA">
        <w:tc>
          <w:tcPr>
            <w:tcW w:w="8815" w:type="dxa"/>
          </w:tcPr>
          <w:p w14:paraId="4829A513" w14:textId="7423ADC3" w:rsidR="006547BA" w:rsidRDefault="006547BA" w:rsidP="00A66D64">
            <w:pPr>
              <w:spacing w:after="60"/>
            </w:pPr>
            <w:r>
              <w:t>The FDA has provided a documented determination that an IND is not required for the use of this drug.</w:t>
            </w:r>
          </w:p>
        </w:tc>
        <w:sdt>
          <w:sdtPr>
            <w:alias w:val="The FDA has provided a documented determination that an IND is not required for the use of this drug - Requirement Met"/>
            <w:tag w:val="The FDA has provided a documented determination that an IND is not required for the use of this drug - Requirement Met"/>
            <w:id w:val="-1493332443"/>
            <w14:checkbox>
              <w14:checked w14:val="0"/>
              <w14:checkedState w14:val="2612" w14:font="MS Gothic"/>
              <w14:uncheckedState w14:val="2610" w14:font="MS Gothic"/>
            </w14:checkbox>
          </w:sdtPr>
          <w:sdtEndPr/>
          <w:sdtContent>
            <w:tc>
              <w:tcPr>
                <w:tcW w:w="805" w:type="dxa"/>
                <w:vAlign w:val="center"/>
              </w:tcPr>
              <w:p w14:paraId="00AE94D6" w14:textId="4238D588" w:rsidR="006547BA" w:rsidRDefault="006547BA" w:rsidP="006547BA">
                <w:pPr>
                  <w:spacing w:after="60"/>
                  <w:jc w:val="center"/>
                </w:pPr>
                <w:r>
                  <w:rPr>
                    <w:rFonts w:ascii="MS Gothic" w:eastAsia="MS Gothic" w:hAnsi="MS Gothic" w:hint="eastAsia"/>
                  </w:rPr>
                  <w:t>☐</w:t>
                </w:r>
              </w:p>
            </w:tc>
          </w:sdtContent>
        </w:sdt>
      </w:tr>
    </w:tbl>
    <w:p w14:paraId="106A9D55" w14:textId="77777777" w:rsidR="006547BA" w:rsidRDefault="006547BA" w:rsidP="00A66D64">
      <w:pPr>
        <w:spacing w:after="60"/>
        <w:ind w:left="450"/>
      </w:pPr>
    </w:p>
    <w:p w14:paraId="6843694E" w14:textId="4439CE45" w:rsidR="006547BA" w:rsidRPr="006227D0" w:rsidRDefault="006547BA" w:rsidP="006547BA">
      <w:pPr>
        <w:pStyle w:val="Heading1"/>
      </w:pPr>
      <w:r>
        <w:t>RELATED MATERIALS</w:t>
      </w:r>
    </w:p>
    <w:p w14:paraId="2E24A55A" w14:textId="05BC0877" w:rsidR="00215B3F" w:rsidRDefault="00215B3F"/>
    <w:p w14:paraId="77A2D8D4" w14:textId="717F4A4A" w:rsidR="00084EE3" w:rsidRPr="00083579" w:rsidRDefault="00084EE3" w:rsidP="004A6332">
      <w:pPr>
        <w:ind w:left="90"/>
        <w:rPr>
          <w:sz w:val="18"/>
          <w:szCs w:val="18"/>
        </w:rPr>
      </w:pPr>
      <w:r>
        <w:t xml:space="preserve">SOP FDA Regulated Research </w:t>
      </w:r>
      <w:r>
        <w:rPr>
          <w:sz w:val="18"/>
          <w:szCs w:val="18"/>
        </w:rPr>
        <w:t>[access for HSD staff only]</w:t>
      </w:r>
    </w:p>
    <w:p w14:paraId="1F9FC1F7" w14:textId="5694E74F" w:rsidR="00B51FA2" w:rsidRDefault="00084EE3" w:rsidP="004A6332">
      <w:pPr>
        <w:ind w:left="90"/>
      </w:pPr>
      <w:r>
        <w:rPr>
          <w:rStyle w:val="Hyperlink"/>
        </w:rPr>
        <w:t xml:space="preserve">WEBPAGE </w:t>
      </w:r>
      <w:hyperlink r:id="rId15" w:history="1">
        <w:r w:rsidR="004A6332" w:rsidRPr="00862A44">
          <w:rPr>
            <w:rStyle w:val="Hyperlink"/>
          </w:rPr>
          <w:t>FDA</w:t>
        </w:r>
        <w:r w:rsidR="004A6332">
          <w:rPr>
            <w:rStyle w:val="Hyperlink"/>
          </w:rPr>
          <w:t>-</w:t>
        </w:r>
        <w:r w:rsidR="004A6332" w:rsidRPr="00862A44">
          <w:rPr>
            <w:rStyle w:val="Hyperlink"/>
          </w:rPr>
          <w:t>Regulated Research</w:t>
        </w:r>
      </w:hyperlink>
      <w:r w:rsidR="00AB7D07">
        <w:rPr>
          <w:rStyle w:val="Hyperlink"/>
        </w:rPr>
        <w:t xml:space="preserve"> Guidance</w:t>
      </w:r>
    </w:p>
    <w:p w14:paraId="7D227B36" w14:textId="0AE811A5" w:rsidR="007E1BEF" w:rsidRPr="009400E5" w:rsidRDefault="007E1BEF"/>
    <w:p w14:paraId="6A677F81" w14:textId="5F4DCFE5" w:rsidR="00215B3F" w:rsidRDefault="006547BA" w:rsidP="006547BA">
      <w:pPr>
        <w:pStyle w:val="Heading1"/>
      </w:pPr>
      <w:r>
        <w:t>REFERENCES</w:t>
      </w:r>
    </w:p>
    <w:p w14:paraId="55F52FC7" w14:textId="77777777" w:rsidR="006547BA" w:rsidRDefault="006547BA">
      <w:pPr>
        <w:rPr>
          <w:b/>
          <w:bCs/>
        </w:rPr>
      </w:pPr>
    </w:p>
    <w:p w14:paraId="08CA9535" w14:textId="622EF54F" w:rsidR="00721935" w:rsidRDefault="00B51FA2" w:rsidP="003C1A17">
      <w:pPr>
        <w:ind w:left="90"/>
      </w:pPr>
      <w:r>
        <w:t>21 CFR 312</w:t>
      </w:r>
    </w:p>
    <w:p w14:paraId="3E85CE3C" w14:textId="0411C506" w:rsidR="00B51FA2" w:rsidRDefault="00B51FA2" w:rsidP="003C1A17">
      <w:pPr>
        <w:ind w:left="90"/>
      </w:pPr>
      <w:r>
        <w:t>21 CFR 320</w:t>
      </w:r>
    </w:p>
    <w:p w14:paraId="38C03C6A" w14:textId="0F1A9B38" w:rsidR="00B51FA2" w:rsidRDefault="00B51FA2" w:rsidP="003C1A17">
      <w:pPr>
        <w:ind w:left="90"/>
      </w:pPr>
      <w:r>
        <w:t>21 CFR 361</w:t>
      </w:r>
    </w:p>
    <w:p w14:paraId="0AC16BC5" w14:textId="121AAE1C" w:rsidR="00D322D9" w:rsidRDefault="00D322D9" w:rsidP="003C1A17">
      <w:pPr>
        <w:ind w:left="360" w:hanging="270"/>
      </w:pPr>
      <w:r>
        <w:t>The FDA draft guidance, “</w:t>
      </w:r>
      <w:hyperlink r:id="rId16" w:history="1">
        <w:r w:rsidRPr="00C41D25">
          <w:rPr>
            <w:rStyle w:val="Hyperlink"/>
            <w:i/>
            <w:iCs/>
          </w:rPr>
          <w:t>Investigational New Drug Applications (INDs) – Determining Whether Human Research Studies Can be Conducted Without an IND</w:t>
        </w:r>
      </w:hyperlink>
      <w:r>
        <w:t xml:space="preserve">” </w:t>
      </w:r>
      <w:r w:rsidRPr="00D322D9">
        <w:t>Sep, 2013</w:t>
      </w:r>
    </w:p>
    <w:p w14:paraId="52A8D68F" w14:textId="77777777" w:rsidR="001258D0" w:rsidRDefault="001258D0" w:rsidP="008A3BB8"/>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D870E2">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D870E2">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E478B8">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E478B8">
            <w:pPr>
              <w:pStyle w:val="NoSpacing"/>
              <w:jc w:val="center"/>
              <w:rPr>
                <w:b/>
                <w:bCs/>
                <w:color w:val="FFFFFF" w:themeColor="background1"/>
              </w:rPr>
            </w:pPr>
            <w:r w:rsidRPr="00954C91">
              <w:rPr>
                <w:b/>
                <w:bCs/>
                <w:color w:val="FFFFFF" w:themeColor="background1"/>
              </w:rPr>
              <w:t>Summary of Changes</w:t>
            </w:r>
          </w:p>
        </w:tc>
      </w:tr>
      <w:tr w:rsidR="006547BA" w:rsidRPr="00D26748" w14:paraId="4C98EBF6"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F9459C" w14:textId="1FE50D35" w:rsidR="006547BA" w:rsidRDefault="006547BA" w:rsidP="001F7DC0">
            <w:pPr>
              <w:pStyle w:val="NoSpacing"/>
              <w:jc w:val="center"/>
              <w:rPr>
                <w:rFonts w:ascii="Calibri" w:eastAsiaTheme="majorEastAsia" w:hAnsi="Calibri" w:cstheme="majorBidi"/>
                <w:szCs w:val="26"/>
              </w:rPr>
            </w:pPr>
            <w:r>
              <w:rPr>
                <w:rFonts w:ascii="Calibri" w:eastAsiaTheme="majorEastAsia" w:hAnsi="Calibri" w:cstheme="majorBidi"/>
                <w:szCs w:val="26"/>
              </w:rPr>
              <w:t>1.3</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F050FB" w14:textId="672DC692" w:rsidR="006547BA" w:rsidRDefault="00144F22" w:rsidP="001F7DC0">
            <w:pPr>
              <w:pStyle w:val="NoSpacing"/>
              <w:jc w:val="center"/>
              <w:rPr>
                <w:rFonts w:ascii="Calibri" w:eastAsiaTheme="majorEastAsia" w:hAnsi="Calibri" w:cstheme="majorBidi"/>
              </w:rPr>
            </w:pPr>
            <w:r>
              <w:rPr>
                <w:rFonts w:ascii="Calibri" w:eastAsiaTheme="majorEastAsia" w:hAnsi="Calibri" w:cstheme="majorBidi"/>
              </w:rPr>
              <w:t>04.02</w:t>
            </w:r>
            <w:r w:rsidR="006547BA">
              <w:rPr>
                <w:rFonts w:ascii="Calibri" w:eastAsiaTheme="majorEastAsia" w:hAnsi="Calibri" w:cstheme="majorBidi"/>
              </w:rPr>
              <w:t>.2026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5F88D2" w14:textId="1106F9EC" w:rsidR="006547BA" w:rsidRDefault="00144F22" w:rsidP="001F7DC0">
            <w:pPr>
              <w:pStyle w:val="NoSpacing"/>
              <w:jc w:val="center"/>
              <w:rPr>
                <w:rFonts w:ascii="Calibri" w:eastAsiaTheme="majorEastAsia" w:hAnsi="Calibri" w:cstheme="majorBidi"/>
              </w:rPr>
            </w:pPr>
            <w:r>
              <w:rPr>
                <w:rFonts w:ascii="Calibri" w:eastAsiaTheme="majorEastAsia" w:hAnsi="Calibri" w:cstheme="majorBidi"/>
              </w:rPr>
              <w:t>04.02</w:t>
            </w:r>
            <w:r w:rsidR="006547BA">
              <w:rPr>
                <w:rFonts w:ascii="Calibri" w:eastAsiaTheme="majorEastAsia" w:hAnsi="Calibri" w:cstheme="majorBidi"/>
              </w:rPr>
              <w:t>.2026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10BFBF" w14:textId="32F0371B" w:rsidR="006547BA" w:rsidRDefault="006547BA" w:rsidP="001F7DC0">
            <w:pPr>
              <w:pStyle w:val="NoSpacing"/>
              <w:rPr>
                <w:rFonts w:ascii="Calibri" w:eastAsiaTheme="majorEastAsia" w:hAnsi="Calibri" w:cstheme="majorBidi"/>
                <w:szCs w:val="26"/>
              </w:rPr>
            </w:pPr>
            <w:r>
              <w:rPr>
                <w:rFonts w:ascii="Calibri" w:eastAsiaTheme="majorEastAsia" w:hAnsi="Calibri" w:cstheme="majorBidi"/>
                <w:szCs w:val="26"/>
              </w:rPr>
              <w:t>Updates for accessibility</w:t>
            </w:r>
          </w:p>
        </w:tc>
      </w:tr>
      <w:tr w:rsidR="003C1A17" w:rsidRPr="00D26748" w14:paraId="05E8C6A9"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908795" w14:textId="4DC7E87F" w:rsidR="003C1A17" w:rsidRDefault="003C1A17" w:rsidP="001F7DC0">
            <w:pPr>
              <w:pStyle w:val="NoSpacing"/>
              <w:jc w:val="center"/>
              <w:rPr>
                <w:rFonts w:ascii="Calibri" w:eastAsiaTheme="majorEastAsia" w:hAnsi="Calibri" w:cstheme="majorBidi"/>
                <w:szCs w:val="26"/>
              </w:rPr>
            </w:pPr>
            <w:r>
              <w:rPr>
                <w:rFonts w:ascii="Calibri" w:eastAsiaTheme="majorEastAsia" w:hAnsi="Calibri" w:cstheme="majorBidi"/>
                <w:szCs w:val="26"/>
              </w:rPr>
              <w:t>1.2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AE4422" w14:textId="38738231" w:rsidR="003C1A17" w:rsidRDefault="00BC380B" w:rsidP="001F7DC0">
            <w:pPr>
              <w:pStyle w:val="NoSpacing"/>
              <w:jc w:val="center"/>
              <w:rPr>
                <w:rFonts w:ascii="Calibri" w:eastAsiaTheme="majorEastAsia" w:hAnsi="Calibri" w:cstheme="majorBidi"/>
              </w:rPr>
            </w:pPr>
            <w:r>
              <w:rPr>
                <w:rFonts w:ascii="Calibri" w:eastAsiaTheme="majorEastAsia" w:hAnsi="Calibri" w:cstheme="majorBidi"/>
              </w:rPr>
              <w:t>08.31</w:t>
            </w:r>
            <w:r w:rsidR="003C1A17">
              <w:rPr>
                <w:rFonts w:ascii="Calibri" w:eastAsiaTheme="majorEastAsia" w:hAnsi="Calibri" w:cstheme="majorBidi"/>
              </w:rPr>
              <w:t>.2023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78A07F" w14:textId="551D16BF" w:rsidR="003C1A17" w:rsidRDefault="00BC380B" w:rsidP="001F7DC0">
            <w:pPr>
              <w:pStyle w:val="NoSpacing"/>
              <w:jc w:val="center"/>
              <w:rPr>
                <w:rFonts w:ascii="Calibri" w:eastAsiaTheme="majorEastAsia" w:hAnsi="Calibri" w:cstheme="majorBidi"/>
              </w:rPr>
            </w:pPr>
            <w:r>
              <w:rPr>
                <w:rFonts w:ascii="Calibri" w:eastAsiaTheme="majorEastAsia" w:hAnsi="Calibri" w:cstheme="majorBidi"/>
              </w:rPr>
              <w:t>08.31</w:t>
            </w:r>
            <w:r w:rsidR="003C1A17">
              <w:rPr>
                <w:rFonts w:ascii="Calibri" w:eastAsiaTheme="majorEastAsia" w:hAnsi="Calibri" w:cstheme="majorBidi"/>
              </w:rPr>
              <w:t>.2023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B2014D" w14:textId="333518ED" w:rsidR="003C1A17" w:rsidRDefault="003C1A17" w:rsidP="001F7DC0">
            <w:pPr>
              <w:pStyle w:val="NoSpacing"/>
              <w:rPr>
                <w:rFonts w:ascii="Calibri" w:eastAsiaTheme="majorEastAsia" w:hAnsi="Calibri" w:cstheme="majorBidi"/>
                <w:szCs w:val="26"/>
              </w:rPr>
            </w:pPr>
            <w:r>
              <w:rPr>
                <w:rFonts w:ascii="Calibri" w:eastAsiaTheme="majorEastAsia" w:hAnsi="Calibri" w:cstheme="majorBidi"/>
                <w:szCs w:val="26"/>
              </w:rPr>
              <w:t xml:space="preserve">Update references to revised FDA </w:t>
            </w:r>
            <w:r w:rsidR="00155BE4">
              <w:rPr>
                <w:rFonts w:ascii="Calibri" w:eastAsiaTheme="majorEastAsia" w:hAnsi="Calibri" w:cstheme="majorBidi"/>
                <w:szCs w:val="26"/>
              </w:rPr>
              <w:t>suite</w:t>
            </w:r>
          </w:p>
        </w:tc>
      </w:tr>
      <w:tr w:rsidR="001F7DC0" w:rsidRPr="00D26748" w14:paraId="2DD9E8CC"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737037" w14:textId="21B8C6B0" w:rsidR="001F7DC0" w:rsidRDefault="001F7DC0" w:rsidP="001F7DC0">
            <w:pPr>
              <w:pStyle w:val="NoSpacing"/>
              <w:jc w:val="center"/>
              <w:rPr>
                <w:rFonts w:ascii="Calibri" w:eastAsiaTheme="majorEastAsia" w:hAnsi="Calibri" w:cstheme="majorBidi"/>
                <w:szCs w:val="26"/>
              </w:rPr>
            </w:pPr>
            <w:r>
              <w:rPr>
                <w:rFonts w:ascii="Calibri" w:eastAsiaTheme="majorEastAsia" w:hAnsi="Calibri" w:cstheme="majorBidi"/>
                <w:szCs w:val="26"/>
              </w:rPr>
              <w:t>1.1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4D827" w14:textId="76FF52F5" w:rsidR="001F7DC0" w:rsidRDefault="001F7DC0" w:rsidP="001F7DC0">
            <w:pPr>
              <w:pStyle w:val="NoSpacing"/>
              <w:jc w:val="center"/>
              <w:rPr>
                <w:rFonts w:ascii="Calibri" w:eastAsiaTheme="majorEastAsia" w:hAnsi="Calibri" w:cstheme="majorBidi"/>
              </w:rPr>
            </w:pPr>
            <w:r>
              <w:rPr>
                <w:rFonts w:ascii="Calibri" w:eastAsiaTheme="majorEastAsia" w:hAnsi="Calibri" w:cstheme="majorBidi"/>
              </w:rPr>
              <w:t>06.30.2022</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538D8" w14:textId="23500C46" w:rsidR="001F7DC0" w:rsidRDefault="001F7DC0" w:rsidP="001F7DC0">
            <w:pPr>
              <w:pStyle w:val="NoSpacing"/>
              <w:jc w:val="center"/>
              <w:rPr>
                <w:rFonts w:ascii="Calibri" w:eastAsiaTheme="majorEastAsia" w:hAnsi="Calibri" w:cstheme="majorBidi"/>
                <w:szCs w:val="26"/>
              </w:rPr>
            </w:pPr>
            <w:r>
              <w:rPr>
                <w:rFonts w:ascii="Calibri" w:eastAsiaTheme="majorEastAsia" w:hAnsi="Calibri" w:cstheme="majorBidi"/>
              </w:rPr>
              <w:t>06.30.2022</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6286CB" w14:textId="5FE3C1D9" w:rsidR="001F7DC0" w:rsidRDefault="001F7DC0" w:rsidP="001F7DC0">
            <w:pPr>
              <w:pStyle w:val="NoSpacing"/>
              <w:rPr>
                <w:rFonts w:ascii="Calibri" w:eastAsiaTheme="majorEastAsia" w:hAnsi="Calibri" w:cstheme="majorBidi"/>
                <w:szCs w:val="26"/>
              </w:rPr>
            </w:pPr>
            <w:r>
              <w:rPr>
                <w:rFonts w:ascii="Calibri" w:eastAsiaTheme="majorEastAsia" w:hAnsi="Calibri" w:cstheme="majorBidi"/>
                <w:szCs w:val="26"/>
              </w:rPr>
              <w:t>Move content to new TEMPLATE Worksheet; removed ‘definitions’ section; other minor updates</w:t>
            </w:r>
          </w:p>
        </w:tc>
      </w:tr>
      <w:tr w:rsidR="001F7DC0" w:rsidRPr="00D26748" w14:paraId="3DE92820"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F58BA" w14:textId="49DC9A7F" w:rsidR="001F7DC0" w:rsidRDefault="001F7DC0" w:rsidP="001F7DC0">
            <w:pPr>
              <w:pStyle w:val="NoSpacing"/>
              <w:jc w:val="center"/>
              <w:rPr>
                <w:rFonts w:ascii="Calibri" w:eastAsiaTheme="majorEastAsia" w:hAnsi="Calibri" w:cstheme="majorBidi"/>
                <w:szCs w:val="26"/>
              </w:rPr>
            </w:pPr>
            <w:r>
              <w:rPr>
                <w:rFonts w:ascii="Calibri" w:eastAsiaTheme="majorEastAsia" w:hAnsi="Calibri" w:cstheme="majorBidi"/>
                <w:szCs w:val="26"/>
              </w:rPr>
              <w:t>1.0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BD3F3" w14:textId="264E7CC7" w:rsidR="001F7DC0" w:rsidRDefault="001F7DC0" w:rsidP="001F7DC0">
            <w:pPr>
              <w:pStyle w:val="NoSpacing"/>
              <w:jc w:val="center"/>
              <w:rPr>
                <w:rFonts w:ascii="Calibri" w:eastAsiaTheme="majorEastAsia" w:hAnsi="Calibri" w:cstheme="majorBidi"/>
              </w:rPr>
            </w:pPr>
            <w:r>
              <w:rPr>
                <w:rFonts w:ascii="Calibri" w:eastAsiaTheme="majorEastAsia" w:hAnsi="Calibri" w:cstheme="majorBidi"/>
              </w:rPr>
              <w:t>11.01.2013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EFF32" w14:textId="2BA7E3FD" w:rsidR="001F7DC0" w:rsidRDefault="001F7DC0" w:rsidP="001F7DC0">
            <w:pPr>
              <w:pStyle w:val="NoSpacing"/>
              <w:jc w:val="center"/>
              <w:rPr>
                <w:rFonts w:ascii="Calibri" w:eastAsiaTheme="majorEastAsia" w:hAnsi="Calibri" w:cstheme="majorBidi"/>
                <w:szCs w:val="26"/>
              </w:rPr>
            </w:pPr>
            <w:r>
              <w:rPr>
                <w:rFonts w:ascii="Calibri" w:eastAsiaTheme="majorEastAsia" w:hAnsi="Calibri" w:cstheme="majorBidi"/>
              </w:rPr>
              <w:t>11.01.2013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D10CEA" w14:textId="3CE6BDE6" w:rsidR="001F7DC0" w:rsidRDefault="001F7DC0" w:rsidP="001F7DC0">
            <w:pPr>
              <w:pStyle w:val="NoSpacing"/>
              <w:rPr>
                <w:rFonts w:ascii="Calibri" w:eastAsiaTheme="majorEastAsia" w:hAnsi="Calibri" w:cstheme="majorBidi"/>
                <w:szCs w:val="26"/>
              </w:rPr>
            </w:pPr>
            <w:r>
              <w:rPr>
                <w:rFonts w:ascii="Calibri" w:eastAsiaTheme="majorEastAsia" w:hAnsi="Calibri" w:cstheme="majorBidi"/>
                <w:szCs w:val="26"/>
              </w:rPr>
              <w:t>Newly posted worksheet</w:t>
            </w:r>
          </w:p>
        </w:tc>
      </w:tr>
    </w:tbl>
    <w:p w14:paraId="492B8A0B" w14:textId="31D0F0C2" w:rsidR="00F06C39" w:rsidRPr="00953F29" w:rsidRDefault="00F06C39" w:rsidP="00B51FA2">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953F29">
        <w:rPr>
          <w:sz w:val="18"/>
          <w:szCs w:val="18"/>
        </w:rPr>
        <w:t>Drug; FDA</w:t>
      </w:r>
    </w:p>
    <w:sectPr w:rsidR="00F06C39" w:rsidRPr="00953F29" w:rsidSect="00EF57B9">
      <w:footerReference w:type="default" r:id="rId1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41F9" w14:textId="77777777" w:rsidR="00E21842" w:rsidRDefault="00E21842" w:rsidP="008212BD">
      <w:r>
        <w:separator/>
      </w:r>
    </w:p>
  </w:endnote>
  <w:endnote w:type="continuationSeparator" w:id="0">
    <w:p w14:paraId="14344C8E" w14:textId="77777777" w:rsidR="00E21842" w:rsidRDefault="00E21842"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E081" w14:textId="55FF3D94" w:rsidR="00612526" w:rsidRDefault="00612526" w:rsidP="00612526">
    <w:pPr>
      <w:pStyle w:val="Footer"/>
      <w:tabs>
        <w:tab w:val="clear" w:pos="4680"/>
        <w:tab w:val="clear" w:pos="9360"/>
        <w:tab w:val="center" w:pos="5310"/>
        <w:tab w:val="right" w:pos="10800"/>
      </w:tabs>
    </w:pPr>
    <w:r w:rsidRPr="005031DB">
      <w:rPr>
        <w:rFonts w:cs="Calibri"/>
        <w:sz w:val="18"/>
        <w:szCs w:val="18"/>
      </w:rPr>
      <w:t xml:space="preserve">Date Posted </w:t>
    </w:r>
    <w:r w:rsidR="007E0BFC">
      <w:rPr>
        <w:rFonts w:cs="Calibri"/>
        <w:sz w:val="18"/>
        <w:szCs w:val="18"/>
      </w:rPr>
      <w:t>04.02</w:t>
    </w:r>
    <w:r>
      <w:rPr>
        <w:rFonts w:cs="Calibri"/>
        <w:sz w:val="18"/>
        <w:szCs w:val="18"/>
      </w:rPr>
      <w:t>.2026</w:t>
    </w:r>
  </w:p>
  <w:p w14:paraId="09B89F57" w14:textId="77777777" w:rsidR="00612526" w:rsidRDefault="00612526" w:rsidP="00612526">
    <w:pPr>
      <w:pStyle w:val="Footer"/>
      <w:tabs>
        <w:tab w:val="clear" w:pos="4680"/>
        <w:tab w:val="clear" w:pos="9360"/>
        <w:tab w:val="center" w:pos="5310"/>
        <w:tab w:val="right" w:pos="10800"/>
      </w:tabs>
      <w:rPr>
        <w:rFonts w:cs="Calibri"/>
        <w:sz w:val="18"/>
        <w:szCs w:val="18"/>
      </w:rPr>
    </w:pPr>
    <w:r>
      <w:rPr>
        <w:rFonts w:cs="Calibri"/>
        <w:sz w:val="18"/>
        <w:szCs w:val="18"/>
      </w:rPr>
      <w:t>WORKSHEET FDA Drugs and the IND Requirement</w:t>
    </w:r>
  </w:p>
  <w:p w14:paraId="0AC5845B" w14:textId="77777777" w:rsidR="00612526" w:rsidRDefault="00612526" w:rsidP="00612526">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1.3</w:t>
    </w:r>
  </w:p>
  <w:p w14:paraId="4580C1FB" w14:textId="56734FEE" w:rsidR="00E478B8" w:rsidRDefault="00612526" w:rsidP="00612526">
    <w:pPr>
      <w:pStyle w:val="Foote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4</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D7F02" w14:textId="77777777" w:rsidR="00E21842" w:rsidRDefault="00E21842" w:rsidP="008212BD">
      <w:r>
        <w:separator/>
      </w:r>
    </w:p>
  </w:footnote>
  <w:footnote w:type="continuationSeparator" w:id="0">
    <w:p w14:paraId="6E3EC6AF" w14:textId="77777777" w:rsidR="00E21842" w:rsidRDefault="00E21842"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65A20"/>
    <w:multiLevelType w:val="hybridMultilevel"/>
    <w:tmpl w:val="7970420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5E95CCF"/>
    <w:multiLevelType w:val="hybridMultilevel"/>
    <w:tmpl w:val="65863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03633"/>
    <w:multiLevelType w:val="hybridMultilevel"/>
    <w:tmpl w:val="25EC32F2"/>
    <w:lvl w:ilvl="0" w:tplc="0409000F">
      <w:start w:val="1"/>
      <w:numFmt w:val="decimal"/>
      <w:lvlText w:val="%1."/>
      <w:lvlJc w:val="left"/>
      <w:pPr>
        <w:ind w:left="1326" w:hanging="360"/>
      </w:pPr>
    </w:lvl>
    <w:lvl w:ilvl="1" w:tplc="04090019" w:tentative="1">
      <w:start w:val="1"/>
      <w:numFmt w:val="lowerLetter"/>
      <w:lvlText w:val="%2."/>
      <w:lvlJc w:val="left"/>
      <w:pPr>
        <w:ind w:left="2046" w:hanging="360"/>
      </w:pPr>
    </w:lvl>
    <w:lvl w:ilvl="2" w:tplc="0409001B" w:tentative="1">
      <w:start w:val="1"/>
      <w:numFmt w:val="lowerRoman"/>
      <w:lvlText w:val="%3."/>
      <w:lvlJc w:val="right"/>
      <w:pPr>
        <w:ind w:left="2766" w:hanging="180"/>
      </w:pPr>
    </w:lvl>
    <w:lvl w:ilvl="3" w:tplc="0409000F" w:tentative="1">
      <w:start w:val="1"/>
      <w:numFmt w:val="decimal"/>
      <w:lvlText w:val="%4."/>
      <w:lvlJc w:val="left"/>
      <w:pPr>
        <w:ind w:left="3486" w:hanging="360"/>
      </w:pPr>
    </w:lvl>
    <w:lvl w:ilvl="4" w:tplc="04090019" w:tentative="1">
      <w:start w:val="1"/>
      <w:numFmt w:val="lowerLetter"/>
      <w:lvlText w:val="%5."/>
      <w:lvlJc w:val="left"/>
      <w:pPr>
        <w:ind w:left="4206" w:hanging="360"/>
      </w:pPr>
    </w:lvl>
    <w:lvl w:ilvl="5" w:tplc="0409001B" w:tentative="1">
      <w:start w:val="1"/>
      <w:numFmt w:val="lowerRoman"/>
      <w:lvlText w:val="%6."/>
      <w:lvlJc w:val="right"/>
      <w:pPr>
        <w:ind w:left="4926" w:hanging="180"/>
      </w:pPr>
    </w:lvl>
    <w:lvl w:ilvl="6" w:tplc="0409000F" w:tentative="1">
      <w:start w:val="1"/>
      <w:numFmt w:val="decimal"/>
      <w:lvlText w:val="%7."/>
      <w:lvlJc w:val="left"/>
      <w:pPr>
        <w:ind w:left="5646" w:hanging="360"/>
      </w:pPr>
    </w:lvl>
    <w:lvl w:ilvl="7" w:tplc="04090019" w:tentative="1">
      <w:start w:val="1"/>
      <w:numFmt w:val="lowerLetter"/>
      <w:lvlText w:val="%8."/>
      <w:lvlJc w:val="left"/>
      <w:pPr>
        <w:ind w:left="6366" w:hanging="360"/>
      </w:pPr>
    </w:lvl>
    <w:lvl w:ilvl="8" w:tplc="0409001B" w:tentative="1">
      <w:start w:val="1"/>
      <w:numFmt w:val="lowerRoman"/>
      <w:lvlText w:val="%9."/>
      <w:lvlJc w:val="right"/>
      <w:pPr>
        <w:ind w:left="7086" w:hanging="180"/>
      </w:pPr>
    </w:lvl>
  </w:abstractNum>
  <w:abstractNum w:abstractNumId="4" w15:restartNumberingAfterBreak="0">
    <w:nsid w:val="08CC280F"/>
    <w:multiLevelType w:val="hybridMultilevel"/>
    <w:tmpl w:val="2FE23FEA"/>
    <w:lvl w:ilvl="0" w:tplc="3F642D4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03DA9"/>
    <w:multiLevelType w:val="hybridMultilevel"/>
    <w:tmpl w:val="BC26AB6A"/>
    <w:lvl w:ilvl="0" w:tplc="7C147C9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C06EFA"/>
    <w:multiLevelType w:val="hybridMultilevel"/>
    <w:tmpl w:val="FAAAEBBE"/>
    <w:lvl w:ilvl="0" w:tplc="04090005">
      <w:start w:val="1"/>
      <w:numFmt w:val="bullet"/>
      <w:lvlText w:val=""/>
      <w:lvlJc w:val="left"/>
      <w:pPr>
        <w:ind w:left="975" w:hanging="360"/>
      </w:pPr>
      <w:rPr>
        <w:rFonts w:ascii="Wingdings" w:hAnsi="Wingdings"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13"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04B"/>
    <w:multiLevelType w:val="hybridMultilevel"/>
    <w:tmpl w:val="87E27C68"/>
    <w:lvl w:ilvl="0" w:tplc="2E086F9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AC27F5"/>
    <w:multiLevelType w:val="hybridMultilevel"/>
    <w:tmpl w:val="F1BA366A"/>
    <w:lvl w:ilvl="0" w:tplc="FE34AD0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015AB2"/>
    <w:multiLevelType w:val="hybridMultilevel"/>
    <w:tmpl w:val="2C448A2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733C9"/>
    <w:multiLevelType w:val="hybridMultilevel"/>
    <w:tmpl w:val="35CC4F24"/>
    <w:lvl w:ilvl="0" w:tplc="9D8EE23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28" w15:restartNumberingAfterBreak="0">
    <w:nsid w:val="760D251C"/>
    <w:multiLevelType w:val="hybridMultilevel"/>
    <w:tmpl w:val="2182D434"/>
    <w:lvl w:ilvl="0" w:tplc="76B6A18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009BF"/>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EEF754B"/>
    <w:multiLevelType w:val="hybridMultilevel"/>
    <w:tmpl w:val="71C02BAC"/>
    <w:lvl w:ilvl="0" w:tplc="C934887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99679198">
    <w:abstractNumId w:val="18"/>
  </w:num>
  <w:num w:numId="2" w16cid:durableId="1130511089">
    <w:abstractNumId w:val="13"/>
  </w:num>
  <w:num w:numId="3" w16cid:durableId="715742871">
    <w:abstractNumId w:val="25"/>
  </w:num>
  <w:num w:numId="4" w16cid:durableId="289634564">
    <w:abstractNumId w:val="31"/>
  </w:num>
  <w:num w:numId="5" w16cid:durableId="1894925807">
    <w:abstractNumId w:val="0"/>
  </w:num>
  <w:num w:numId="6" w16cid:durableId="1556969644">
    <w:abstractNumId w:val="21"/>
  </w:num>
  <w:num w:numId="7" w16cid:durableId="2134782946">
    <w:abstractNumId w:val="6"/>
  </w:num>
  <w:num w:numId="8" w16cid:durableId="279191256">
    <w:abstractNumId w:val="11"/>
  </w:num>
  <w:num w:numId="9" w16cid:durableId="891648552">
    <w:abstractNumId w:val="8"/>
  </w:num>
  <w:num w:numId="10" w16cid:durableId="1891844436">
    <w:abstractNumId w:val="16"/>
  </w:num>
  <w:num w:numId="11" w16cid:durableId="1454398113">
    <w:abstractNumId w:val="19"/>
  </w:num>
  <w:num w:numId="12" w16cid:durableId="1476801004">
    <w:abstractNumId w:val="17"/>
  </w:num>
  <w:num w:numId="13" w16cid:durableId="1970547978">
    <w:abstractNumId w:val="27"/>
  </w:num>
  <w:num w:numId="14" w16cid:durableId="1128864828">
    <w:abstractNumId w:val="14"/>
  </w:num>
  <w:num w:numId="15" w16cid:durableId="2016417160">
    <w:abstractNumId w:val="10"/>
  </w:num>
  <w:num w:numId="16" w16cid:durableId="1384523965">
    <w:abstractNumId w:val="20"/>
  </w:num>
  <w:num w:numId="17" w16cid:durableId="1574926011">
    <w:abstractNumId w:val="5"/>
  </w:num>
  <w:num w:numId="18" w16cid:durableId="1387484388">
    <w:abstractNumId w:val="22"/>
  </w:num>
  <w:num w:numId="19" w16cid:durableId="1134979078">
    <w:abstractNumId w:val="9"/>
  </w:num>
  <w:num w:numId="20" w16cid:durableId="600069857">
    <w:abstractNumId w:val="29"/>
  </w:num>
  <w:num w:numId="21" w16cid:durableId="1361321954">
    <w:abstractNumId w:val="1"/>
  </w:num>
  <w:num w:numId="22" w16cid:durableId="1495758339">
    <w:abstractNumId w:val="7"/>
  </w:num>
  <w:num w:numId="23" w16cid:durableId="1893156447">
    <w:abstractNumId w:val="15"/>
  </w:num>
  <w:num w:numId="24" w16cid:durableId="1427917396">
    <w:abstractNumId w:val="26"/>
  </w:num>
  <w:num w:numId="25" w16cid:durableId="2125297783">
    <w:abstractNumId w:val="30"/>
  </w:num>
  <w:num w:numId="26" w16cid:durableId="804586844">
    <w:abstractNumId w:val="4"/>
  </w:num>
  <w:num w:numId="27" w16cid:durableId="247662685">
    <w:abstractNumId w:val="23"/>
  </w:num>
  <w:num w:numId="28" w16cid:durableId="993753248">
    <w:abstractNumId w:val="28"/>
  </w:num>
  <w:num w:numId="29" w16cid:durableId="1331719465">
    <w:abstractNumId w:val="3"/>
  </w:num>
  <w:num w:numId="30" w16cid:durableId="405029949">
    <w:abstractNumId w:val="12"/>
  </w:num>
  <w:num w:numId="31" w16cid:durableId="1851021830">
    <w:abstractNumId w:val="24"/>
  </w:num>
  <w:num w:numId="32" w16cid:durableId="1680737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16C61"/>
    <w:rsid w:val="00017A31"/>
    <w:rsid w:val="00021B70"/>
    <w:rsid w:val="00024BA1"/>
    <w:rsid w:val="00025715"/>
    <w:rsid w:val="000305D4"/>
    <w:rsid w:val="00031C71"/>
    <w:rsid w:val="00034501"/>
    <w:rsid w:val="0005362F"/>
    <w:rsid w:val="00056160"/>
    <w:rsid w:val="00056D3E"/>
    <w:rsid w:val="00057763"/>
    <w:rsid w:val="0006009F"/>
    <w:rsid w:val="000616CA"/>
    <w:rsid w:val="000625F2"/>
    <w:rsid w:val="00072281"/>
    <w:rsid w:val="00073813"/>
    <w:rsid w:val="00083579"/>
    <w:rsid w:val="0008475F"/>
    <w:rsid w:val="00084EE3"/>
    <w:rsid w:val="00091081"/>
    <w:rsid w:val="00092973"/>
    <w:rsid w:val="000B0C16"/>
    <w:rsid w:val="000B1C08"/>
    <w:rsid w:val="000C3FEE"/>
    <w:rsid w:val="000D18CF"/>
    <w:rsid w:val="000E74CC"/>
    <w:rsid w:val="000F2EC9"/>
    <w:rsid w:val="00102BB7"/>
    <w:rsid w:val="00104A02"/>
    <w:rsid w:val="00106A2F"/>
    <w:rsid w:val="001258D0"/>
    <w:rsid w:val="00143E29"/>
    <w:rsid w:val="00144F22"/>
    <w:rsid w:val="0015137A"/>
    <w:rsid w:val="00155BE4"/>
    <w:rsid w:val="00164EAF"/>
    <w:rsid w:val="001744BE"/>
    <w:rsid w:val="001A253A"/>
    <w:rsid w:val="001A5942"/>
    <w:rsid w:val="001B2FD6"/>
    <w:rsid w:val="001C1F68"/>
    <w:rsid w:val="001C27DB"/>
    <w:rsid w:val="001C3219"/>
    <w:rsid w:val="001D22E5"/>
    <w:rsid w:val="001D32D3"/>
    <w:rsid w:val="001D3884"/>
    <w:rsid w:val="001D44BD"/>
    <w:rsid w:val="001D503C"/>
    <w:rsid w:val="001D7421"/>
    <w:rsid w:val="001D79FC"/>
    <w:rsid w:val="001E191D"/>
    <w:rsid w:val="001F37AF"/>
    <w:rsid w:val="001F417A"/>
    <w:rsid w:val="001F602D"/>
    <w:rsid w:val="001F7DC0"/>
    <w:rsid w:val="00207336"/>
    <w:rsid w:val="00215B3F"/>
    <w:rsid w:val="00243A0D"/>
    <w:rsid w:val="00244B9F"/>
    <w:rsid w:val="00245ADB"/>
    <w:rsid w:val="00247F4C"/>
    <w:rsid w:val="00247FD3"/>
    <w:rsid w:val="00254EEF"/>
    <w:rsid w:val="00260527"/>
    <w:rsid w:val="002714CF"/>
    <w:rsid w:val="002805AE"/>
    <w:rsid w:val="002842C8"/>
    <w:rsid w:val="002A31F0"/>
    <w:rsid w:val="002A472C"/>
    <w:rsid w:val="002A4FC6"/>
    <w:rsid w:val="002A7061"/>
    <w:rsid w:val="002B5406"/>
    <w:rsid w:val="002D2379"/>
    <w:rsid w:val="002E26E6"/>
    <w:rsid w:val="002E5EF1"/>
    <w:rsid w:val="002E7E2D"/>
    <w:rsid w:val="002F00CF"/>
    <w:rsid w:val="002F08FE"/>
    <w:rsid w:val="00300E7F"/>
    <w:rsid w:val="00304D8D"/>
    <w:rsid w:val="00314F77"/>
    <w:rsid w:val="00324B59"/>
    <w:rsid w:val="00326662"/>
    <w:rsid w:val="003356DC"/>
    <w:rsid w:val="00354B0F"/>
    <w:rsid w:val="003769D7"/>
    <w:rsid w:val="00376B3A"/>
    <w:rsid w:val="003834FE"/>
    <w:rsid w:val="003A06FA"/>
    <w:rsid w:val="003C1A17"/>
    <w:rsid w:val="003C1E3C"/>
    <w:rsid w:val="003C56B4"/>
    <w:rsid w:val="003D2674"/>
    <w:rsid w:val="0040301C"/>
    <w:rsid w:val="004301DE"/>
    <w:rsid w:val="00450944"/>
    <w:rsid w:val="004513AB"/>
    <w:rsid w:val="00466244"/>
    <w:rsid w:val="00486010"/>
    <w:rsid w:val="004A1C89"/>
    <w:rsid w:val="004A5B52"/>
    <w:rsid w:val="004A6332"/>
    <w:rsid w:val="004C0295"/>
    <w:rsid w:val="004D360F"/>
    <w:rsid w:val="004E7E43"/>
    <w:rsid w:val="004F7585"/>
    <w:rsid w:val="00500B02"/>
    <w:rsid w:val="005030EA"/>
    <w:rsid w:val="00514240"/>
    <w:rsid w:val="005402AD"/>
    <w:rsid w:val="00555B89"/>
    <w:rsid w:val="00561CEA"/>
    <w:rsid w:val="005809E9"/>
    <w:rsid w:val="0059015E"/>
    <w:rsid w:val="005B4D8D"/>
    <w:rsid w:val="005C532F"/>
    <w:rsid w:val="005C5DDA"/>
    <w:rsid w:val="005E22E3"/>
    <w:rsid w:val="00612526"/>
    <w:rsid w:val="00613A6B"/>
    <w:rsid w:val="006227D0"/>
    <w:rsid w:val="00624042"/>
    <w:rsid w:val="00627DEF"/>
    <w:rsid w:val="00633217"/>
    <w:rsid w:val="006454D9"/>
    <w:rsid w:val="006547BA"/>
    <w:rsid w:val="00656A4C"/>
    <w:rsid w:val="00673A7A"/>
    <w:rsid w:val="00675387"/>
    <w:rsid w:val="006A6D09"/>
    <w:rsid w:val="006A79C3"/>
    <w:rsid w:val="006D0168"/>
    <w:rsid w:val="006D46ED"/>
    <w:rsid w:val="006F756F"/>
    <w:rsid w:val="00710429"/>
    <w:rsid w:val="00721935"/>
    <w:rsid w:val="00722AB1"/>
    <w:rsid w:val="00725EA7"/>
    <w:rsid w:val="00735BFD"/>
    <w:rsid w:val="00752787"/>
    <w:rsid w:val="0078488A"/>
    <w:rsid w:val="00786B32"/>
    <w:rsid w:val="00795F6C"/>
    <w:rsid w:val="00796DF8"/>
    <w:rsid w:val="007C4328"/>
    <w:rsid w:val="007E0BFC"/>
    <w:rsid w:val="007E100C"/>
    <w:rsid w:val="007E1BEF"/>
    <w:rsid w:val="007E2BA5"/>
    <w:rsid w:val="007E784E"/>
    <w:rsid w:val="0080700A"/>
    <w:rsid w:val="00820B6D"/>
    <w:rsid w:val="008212BD"/>
    <w:rsid w:val="008458C5"/>
    <w:rsid w:val="008601F4"/>
    <w:rsid w:val="00861E44"/>
    <w:rsid w:val="00862A44"/>
    <w:rsid w:val="008639D4"/>
    <w:rsid w:val="008675B6"/>
    <w:rsid w:val="00885832"/>
    <w:rsid w:val="00894E5E"/>
    <w:rsid w:val="008A0F42"/>
    <w:rsid w:val="008A3BB8"/>
    <w:rsid w:val="008B6D0F"/>
    <w:rsid w:val="008D6EBD"/>
    <w:rsid w:val="008E3826"/>
    <w:rsid w:val="00903811"/>
    <w:rsid w:val="00923354"/>
    <w:rsid w:val="0093251D"/>
    <w:rsid w:val="0093336F"/>
    <w:rsid w:val="009400E5"/>
    <w:rsid w:val="0094577D"/>
    <w:rsid w:val="0094594C"/>
    <w:rsid w:val="00953F29"/>
    <w:rsid w:val="009576E1"/>
    <w:rsid w:val="00961369"/>
    <w:rsid w:val="009618B6"/>
    <w:rsid w:val="00977B9D"/>
    <w:rsid w:val="0098273F"/>
    <w:rsid w:val="009A048D"/>
    <w:rsid w:val="009B4302"/>
    <w:rsid w:val="009B666D"/>
    <w:rsid w:val="009E7CAE"/>
    <w:rsid w:val="009F1778"/>
    <w:rsid w:val="00A02692"/>
    <w:rsid w:val="00A110DD"/>
    <w:rsid w:val="00A13878"/>
    <w:rsid w:val="00A16CF5"/>
    <w:rsid w:val="00A62865"/>
    <w:rsid w:val="00A62F41"/>
    <w:rsid w:val="00A66D64"/>
    <w:rsid w:val="00A67127"/>
    <w:rsid w:val="00A70BD9"/>
    <w:rsid w:val="00A71C6D"/>
    <w:rsid w:val="00A8082D"/>
    <w:rsid w:val="00A86708"/>
    <w:rsid w:val="00A96E33"/>
    <w:rsid w:val="00AA3F9D"/>
    <w:rsid w:val="00AB1AE1"/>
    <w:rsid w:val="00AB7D07"/>
    <w:rsid w:val="00AD050B"/>
    <w:rsid w:val="00AD0514"/>
    <w:rsid w:val="00AE201A"/>
    <w:rsid w:val="00AE3E7F"/>
    <w:rsid w:val="00AF4EDC"/>
    <w:rsid w:val="00B04654"/>
    <w:rsid w:val="00B06CB1"/>
    <w:rsid w:val="00B22690"/>
    <w:rsid w:val="00B36AE0"/>
    <w:rsid w:val="00B51C61"/>
    <w:rsid w:val="00B51DFA"/>
    <w:rsid w:val="00B51FA2"/>
    <w:rsid w:val="00B70BBA"/>
    <w:rsid w:val="00B71101"/>
    <w:rsid w:val="00B76CE9"/>
    <w:rsid w:val="00BA68ED"/>
    <w:rsid w:val="00BA6C3C"/>
    <w:rsid w:val="00BA72DA"/>
    <w:rsid w:val="00BB6E5F"/>
    <w:rsid w:val="00BC380B"/>
    <w:rsid w:val="00BE05E5"/>
    <w:rsid w:val="00BF4486"/>
    <w:rsid w:val="00C031A5"/>
    <w:rsid w:val="00C104BC"/>
    <w:rsid w:val="00C41D25"/>
    <w:rsid w:val="00C71162"/>
    <w:rsid w:val="00C72040"/>
    <w:rsid w:val="00C753E4"/>
    <w:rsid w:val="00C909FF"/>
    <w:rsid w:val="00C97DCA"/>
    <w:rsid w:val="00CB7D54"/>
    <w:rsid w:val="00CD1B9C"/>
    <w:rsid w:val="00CD7ACB"/>
    <w:rsid w:val="00CE20EC"/>
    <w:rsid w:val="00CF6C51"/>
    <w:rsid w:val="00CF6C8E"/>
    <w:rsid w:val="00D129F9"/>
    <w:rsid w:val="00D15A48"/>
    <w:rsid w:val="00D21284"/>
    <w:rsid w:val="00D240B3"/>
    <w:rsid w:val="00D322D9"/>
    <w:rsid w:val="00D50A92"/>
    <w:rsid w:val="00D53333"/>
    <w:rsid w:val="00D74A9C"/>
    <w:rsid w:val="00D86821"/>
    <w:rsid w:val="00D870E2"/>
    <w:rsid w:val="00D90665"/>
    <w:rsid w:val="00D90CA2"/>
    <w:rsid w:val="00D96C6B"/>
    <w:rsid w:val="00D96F01"/>
    <w:rsid w:val="00DA4115"/>
    <w:rsid w:val="00DB2819"/>
    <w:rsid w:val="00DB67AF"/>
    <w:rsid w:val="00DB7700"/>
    <w:rsid w:val="00DD17C0"/>
    <w:rsid w:val="00DD2270"/>
    <w:rsid w:val="00DD3321"/>
    <w:rsid w:val="00DD5560"/>
    <w:rsid w:val="00DD77FB"/>
    <w:rsid w:val="00DF7A2E"/>
    <w:rsid w:val="00E0014F"/>
    <w:rsid w:val="00E07225"/>
    <w:rsid w:val="00E21842"/>
    <w:rsid w:val="00E25596"/>
    <w:rsid w:val="00E412BA"/>
    <w:rsid w:val="00E44CBF"/>
    <w:rsid w:val="00E478B8"/>
    <w:rsid w:val="00E53B6C"/>
    <w:rsid w:val="00E73686"/>
    <w:rsid w:val="00E75748"/>
    <w:rsid w:val="00E836B9"/>
    <w:rsid w:val="00EB32CB"/>
    <w:rsid w:val="00EC22F3"/>
    <w:rsid w:val="00EC78AC"/>
    <w:rsid w:val="00ED03DA"/>
    <w:rsid w:val="00EF57B9"/>
    <w:rsid w:val="00EF6D15"/>
    <w:rsid w:val="00F06C39"/>
    <w:rsid w:val="00F23C4F"/>
    <w:rsid w:val="00F2600A"/>
    <w:rsid w:val="00F272A8"/>
    <w:rsid w:val="00F51D7A"/>
    <w:rsid w:val="00F57845"/>
    <w:rsid w:val="00FB2B2B"/>
    <w:rsid w:val="00FD7679"/>
    <w:rsid w:val="00FE0C21"/>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612526"/>
    <w:pPr>
      <w:shd w:val="clear" w:color="auto" w:fill="33006F"/>
      <w:ind w:firstLine="180"/>
      <w:outlineLvl w:val="0"/>
    </w:pPr>
    <w:rPr>
      <w:b/>
      <w:bCs/>
    </w:rPr>
  </w:style>
  <w:style w:type="paragraph" w:styleId="Heading2">
    <w:name w:val="heading 2"/>
    <w:basedOn w:val="Normal"/>
    <w:next w:val="Normal"/>
    <w:link w:val="Heading2Char"/>
    <w:uiPriority w:val="9"/>
    <w:unhideWhenUsed/>
    <w:qFormat/>
    <w:rsid w:val="00CF6C8E"/>
    <w:pPr>
      <w:shd w:val="clear" w:color="auto" w:fill="5200A4"/>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6C8E"/>
    <w:rPr>
      <w:rFonts w:ascii="Calibri" w:eastAsia="Calibri" w:hAnsi="Calibri" w:cs="Times New Roman"/>
      <w:b/>
      <w:bCs/>
      <w:shd w:val="clear" w:color="auto" w:fill="5200A4"/>
    </w:rPr>
  </w:style>
  <w:style w:type="character" w:customStyle="1" w:styleId="Heading1Char">
    <w:name w:val="Heading 1 Char"/>
    <w:basedOn w:val="DefaultParagraphFont"/>
    <w:link w:val="Heading1"/>
    <w:uiPriority w:val="9"/>
    <w:rsid w:val="00612526"/>
    <w:rPr>
      <w:rFonts w:ascii="Calibri" w:eastAsia="Calibri" w:hAnsi="Calibri" w:cs="Times New Roman"/>
      <w:b/>
      <w:bCs/>
      <w:shd w:val="clear" w:color="auto" w:fill="3300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regulatory-information/search-fda-guidance-documents/investigational-new-drug-applications-inds-determining-whether-human-research-studies-ca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shington.edu/research/hsd/guidance/fd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da.gov/regulatory-information/search-fda-guidance-documents/investigational-new-drug-applications-inds-determining-whether-human-research-studies-can-b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shington.edu/research/hsd/guidance/fd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da.gov/regulatory-information/search-fda-guidance-documents/investigational-new-drug-applications-inds-determining-whether-human-research-studies-can-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Update references to revised FDA suite</Change_x0020_Notes>
    <Posted_x0020_Date xmlns="7c9d0ed2-8163-4b50-bae4-466292e5dd21">2023-08-31T07:00:00+00:00</Posted_x0020_Date>
    <Taxonomy0 xmlns="7c9d0ed2-8163-4b50-bae4-466292e5dd21">
      <Value>Worksheet</Value>
    </Taxonomy0>
    <Version_x0020_Number xmlns="7c9d0ed2-8163-4b50-bae4-466292e5dd21">1.2</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https://www.washington.edu/research/forms-and-templates/worksheet-fda-drugs-and-the-ind-requirement/</Url>
      <Description>https://www.washington.edu/research/forms-and-templates/worksheet-fda-drugs-and-the-ind-requirement/</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6668A-9EA3-4206-9474-FDB78B10D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3.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9A74E6FD-2528-4C4D-BE68-BD95505BF8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1630</Words>
  <Characters>8543</Characters>
  <Application>Microsoft Office Word</Application>
  <DocSecurity>0</DocSecurity>
  <Lines>305</Lines>
  <Paragraphs>109</Paragraphs>
  <ScaleCrop>false</ScaleCrop>
  <HeadingPairs>
    <vt:vector size="2" baseType="variant">
      <vt:variant>
        <vt:lpstr>Title</vt:lpstr>
      </vt:variant>
      <vt:variant>
        <vt:i4>1</vt:i4>
      </vt:variant>
    </vt:vector>
  </HeadingPairs>
  <TitlesOfParts>
    <vt:vector size="1" baseType="lpstr">
      <vt:lpstr>WORKSHEET_FDA_Drugs_IND_v1.2_2023.08.31</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WORKSHEET_FDA_Drugs_IND_v1.2_2023.08.31</dc:title>
  <dc:subject/>
  <dc:creator>Sherry Edwards</dc:creator>
  <cp:keywords>;#Drug;#FDA;#</cp:keywords>
  <dc:description/>
  <cp:lastModifiedBy>Jenny Maki</cp:lastModifiedBy>
  <cp:revision>4</cp:revision>
  <dcterms:created xsi:type="dcterms:W3CDTF">2026-03-20T16:26:00Z</dcterms:created>
  <dcterms:modified xsi:type="dcterms:W3CDTF">2026-04-02T15:21:00Z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