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A975" w14:textId="6F6D563C" w:rsidR="00BA68ED" w:rsidRDefault="0026635F" w:rsidP="0026635F">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2A5B7FDA" wp14:editId="1344A8C9">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Expedited Review</w:t>
      </w:r>
    </w:p>
    <w:p w14:paraId="6AF84E7C" w14:textId="77777777" w:rsidR="003C1000" w:rsidRDefault="003C1000" w:rsidP="003C1000">
      <w:pPr>
        <w:tabs>
          <w:tab w:val="left" w:pos="2504"/>
        </w:tabs>
      </w:pPr>
    </w:p>
    <w:p w14:paraId="42DBF220" w14:textId="77777777" w:rsidR="0026635F" w:rsidRDefault="0026635F" w:rsidP="007E1BEF">
      <w:pPr>
        <w:shd w:val="clear" w:color="auto" w:fill="33006F"/>
        <w:tabs>
          <w:tab w:val="left" w:pos="2504"/>
        </w:tabs>
      </w:pPr>
    </w:p>
    <w:p w14:paraId="67B02204" w14:textId="77777777" w:rsidR="0026635F" w:rsidRDefault="0026635F"/>
    <w:p w14:paraId="40DB8C1D" w14:textId="3BCE74A8" w:rsidR="0026635F" w:rsidRDefault="0026635F" w:rsidP="0026635F">
      <w:pPr>
        <w:pStyle w:val="Heading1"/>
      </w:pPr>
      <w:r>
        <w:t>PURPOSE</w:t>
      </w:r>
    </w:p>
    <w:p w14:paraId="1ABEB47A" w14:textId="77777777" w:rsidR="005440A5" w:rsidRDefault="005440A5" w:rsidP="005440A5"/>
    <w:p w14:paraId="03DFFEEA" w14:textId="442DCFE1" w:rsidR="00F27A2B" w:rsidRDefault="00ED7C12" w:rsidP="00C20E6B">
      <w:pPr>
        <w:ind w:left="180"/>
      </w:pPr>
      <w:r>
        <w:t xml:space="preserve">This Worksheet is used by HSD staff and IRB members to determine whether an item needing IRB review meets the eligibility criteria for expedited review. It is also intended as a reference for investigators. It is not required to be completed or retained. </w:t>
      </w:r>
    </w:p>
    <w:p w14:paraId="64D49F04" w14:textId="268E18CC" w:rsidR="009400E5" w:rsidRDefault="00C20E6B" w:rsidP="00C20E6B">
      <w:pPr>
        <w:pStyle w:val="Heading1"/>
      </w:pPr>
      <w:r>
        <w:t xml:space="preserve">GUIDANCE </w:t>
      </w:r>
    </w:p>
    <w:p w14:paraId="26FDCA2B" w14:textId="77777777" w:rsidR="005440A5" w:rsidRDefault="005440A5" w:rsidP="005440A5">
      <w:pPr>
        <w:rPr>
          <w:b/>
          <w:bCs/>
        </w:rPr>
      </w:pPr>
    </w:p>
    <w:p w14:paraId="70286B87" w14:textId="4C7131E2" w:rsidR="007E1BEF" w:rsidRDefault="00FA5B29" w:rsidP="005D2AAD">
      <w:pPr>
        <w:ind w:left="180"/>
      </w:pPr>
      <w:r>
        <w:rPr>
          <w:b/>
          <w:bCs/>
        </w:rPr>
        <w:t xml:space="preserve">Eligibility assessment. </w:t>
      </w:r>
      <w:r>
        <w:t>HSD staff assess eligibility for expedited review as part of the pre-review process</w:t>
      </w:r>
      <w:r w:rsidR="007F6076">
        <w:t xml:space="preserve"> (</w:t>
      </w:r>
      <w:r w:rsidR="007F6076">
        <w:rPr>
          <w:b/>
          <w:bCs/>
        </w:rPr>
        <w:t>SOP Pre-Review</w:t>
      </w:r>
      <w:r w:rsidR="007F6076">
        <w:t>) an</w:t>
      </w:r>
      <w:r w:rsidR="00E84DC4">
        <w:t>d</w:t>
      </w:r>
      <w:r w:rsidR="007F6076">
        <w:t xml:space="preserve"> </w:t>
      </w:r>
      <w:proofErr w:type="gramStart"/>
      <w:r w:rsidR="007F6076">
        <w:t>using</w:t>
      </w:r>
      <w:proofErr w:type="gramEnd"/>
      <w:r w:rsidR="007F6076">
        <w:t xml:space="preserve"> the eligibility criteria described below. The pre-reviewer may obtain a consultation from an IRB </w:t>
      </w:r>
      <w:r w:rsidR="00E84DC4">
        <w:t>member or non-IRB member consultant with relevant expertise or from a member of HSD Leadership if there is uncertainty about whether the submission is eligible for expedited review. Research must undergo review by the convened IRB if, at any time, it is deter</w:t>
      </w:r>
      <w:r w:rsidR="00AB4286">
        <w:t>mined by the pre-reviewer, designated review</w:t>
      </w:r>
      <w:r w:rsidR="005D2AAD">
        <w:t>er</w:t>
      </w:r>
      <w:r w:rsidR="00AB4286">
        <w:t xml:space="preserve">, or a consultant that the research is not eligible for expedited review. </w:t>
      </w:r>
    </w:p>
    <w:p w14:paraId="66CE7983" w14:textId="1A18966C" w:rsidR="00AB4286" w:rsidRDefault="00AB4286" w:rsidP="005D2AAD">
      <w:pPr>
        <w:ind w:left="180"/>
      </w:pPr>
    </w:p>
    <w:p w14:paraId="3C4F5C11" w14:textId="5D4700AC" w:rsidR="00AB4286" w:rsidRDefault="001043DB" w:rsidP="005D2AAD">
      <w:pPr>
        <w:ind w:left="180"/>
      </w:pPr>
      <w:r>
        <w:rPr>
          <w:b/>
          <w:bCs/>
        </w:rPr>
        <w:t>Conducting expedited review.</w:t>
      </w:r>
      <w:r>
        <w:t xml:space="preserve"> Expedited reviews may be carried out by the IRB Chair or an IRB member designated by the IRB Chair to conduct expedited </w:t>
      </w:r>
      <w:proofErr w:type="gramStart"/>
      <w:r>
        <w:t>review</w:t>
      </w:r>
      <w:proofErr w:type="gramEnd"/>
      <w:r>
        <w:t xml:space="preserve">. At the UW IRB, expedited reviews are most often carried out by an HSD staff person who is also a member of the IRB. The reviewer evaluates the materials provided by the investigator and performs the review as described in the </w:t>
      </w:r>
      <w:r>
        <w:rPr>
          <w:b/>
          <w:bCs/>
        </w:rPr>
        <w:t>SOP IRB Review</w:t>
      </w:r>
      <w:r>
        <w:t>, using the applicable criteria for approval (</w:t>
      </w:r>
      <w:r>
        <w:rPr>
          <w:b/>
          <w:bCs/>
        </w:rPr>
        <w:t>WORKSHEET Criteria for Approval</w:t>
      </w:r>
      <w:r>
        <w:t xml:space="preserve">). </w:t>
      </w:r>
    </w:p>
    <w:p w14:paraId="07F1C125" w14:textId="608B692E" w:rsidR="001043DB" w:rsidRDefault="001043DB" w:rsidP="005D2AAD">
      <w:pPr>
        <w:ind w:left="180"/>
      </w:pPr>
    </w:p>
    <w:p w14:paraId="5F4EE127" w14:textId="086EAB07" w:rsidR="001043DB" w:rsidRDefault="001043DB" w:rsidP="005D2AAD">
      <w:pPr>
        <w:ind w:left="180"/>
      </w:pPr>
      <w:r>
        <w:rPr>
          <w:b/>
          <w:bCs/>
        </w:rPr>
        <w:t>Deception.</w:t>
      </w:r>
      <w:r>
        <w:t xml:space="preserve"> It is </w:t>
      </w:r>
      <w:r>
        <w:rPr>
          <w:b/>
          <w:bCs/>
        </w:rPr>
        <w:t>HSD policy</w:t>
      </w:r>
      <w:r>
        <w:t xml:space="preserve"> that the use of deception in research does not automatically disqualify a project from expedited review. </w:t>
      </w:r>
    </w:p>
    <w:p w14:paraId="7D7BBCFA" w14:textId="77777777" w:rsidR="00C20E6B" w:rsidRDefault="00C20E6B" w:rsidP="005D2AAD">
      <w:pPr>
        <w:ind w:left="180"/>
      </w:pPr>
    </w:p>
    <w:p w14:paraId="1FB3D452" w14:textId="5EC07F1A" w:rsidR="005D2AAD" w:rsidRDefault="00C20E6B" w:rsidP="008671D7">
      <w:pPr>
        <w:pStyle w:val="Heading1"/>
      </w:pPr>
      <w:r>
        <w:t xml:space="preserve">TABLE A: ELIGIBILITY FOR EXPEDITED REVIEW, INITIAL REVIEW </w:t>
      </w:r>
    </w:p>
    <w:p w14:paraId="3302FE73" w14:textId="77777777" w:rsidR="008671D7" w:rsidRPr="008671D7" w:rsidRDefault="008671D7" w:rsidP="008671D7"/>
    <w:tbl>
      <w:tblPr>
        <w:tblStyle w:val="TableGrid"/>
        <w:tblW w:w="10080" w:type="dxa"/>
        <w:tblInd w:w="-5" w:type="dxa"/>
        <w:tblLayout w:type="fixed"/>
        <w:tblLook w:val="04A0" w:firstRow="1" w:lastRow="0" w:firstColumn="1" w:lastColumn="0" w:noHBand="0" w:noVBand="1"/>
        <w:tblCaption w:val="TABLE A: ELIGIBILITY FOR EXPEDITED REVIEW, INITIAL REVIEW "/>
      </w:tblPr>
      <w:tblGrid>
        <w:gridCol w:w="9171"/>
        <w:gridCol w:w="909"/>
      </w:tblGrid>
      <w:tr w:rsidR="008E1EBA" w14:paraId="6ADB5B31" w14:textId="62E5C50E" w:rsidTr="008671D7">
        <w:tc>
          <w:tcPr>
            <w:tcW w:w="9171" w:type="dxa"/>
            <w:shd w:val="clear" w:color="auto" w:fill="5200A4"/>
            <w:vAlign w:val="center"/>
          </w:tcPr>
          <w:p w14:paraId="1D5A8B93" w14:textId="065F4BE4" w:rsidR="008E1EBA" w:rsidRPr="00166743" w:rsidRDefault="008E1EBA" w:rsidP="00166743">
            <w:pPr>
              <w:spacing w:before="60"/>
              <w:rPr>
                <w:b/>
                <w:bCs/>
              </w:rPr>
            </w:pPr>
            <w:r w:rsidRPr="00166743">
              <w:rPr>
                <w:b/>
                <w:bCs/>
              </w:rPr>
              <w:t>Requirements</w:t>
            </w:r>
          </w:p>
          <w:p w14:paraId="44147B37" w14:textId="19031550" w:rsidR="008E1EBA" w:rsidRPr="00410B2E" w:rsidRDefault="008E1EBA" w:rsidP="00166743">
            <w:pPr>
              <w:spacing w:after="60"/>
              <w:rPr>
                <w:i/>
                <w:iCs/>
              </w:rPr>
            </w:pPr>
            <w:proofErr w:type="gramStart"/>
            <w:r>
              <w:rPr>
                <w:i/>
                <w:iCs/>
              </w:rPr>
              <w:t>All of</w:t>
            </w:r>
            <w:proofErr w:type="gramEnd"/>
            <w:r>
              <w:rPr>
                <w:i/>
                <w:iCs/>
              </w:rPr>
              <w:t xml:space="preserve"> the requirements must be “Met”.</w:t>
            </w:r>
          </w:p>
        </w:tc>
        <w:tc>
          <w:tcPr>
            <w:tcW w:w="909" w:type="dxa"/>
            <w:shd w:val="clear" w:color="auto" w:fill="5200A4"/>
          </w:tcPr>
          <w:p w14:paraId="23C591DD" w14:textId="03AC5A8F" w:rsidR="008E1EBA" w:rsidRDefault="008E1EBA" w:rsidP="008F2875">
            <w:pPr>
              <w:jc w:val="center"/>
              <w:rPr>
                <w:b/>
                <w:bCs/>
              </w:rPr>
            </w:pPr>
            <w:r>
              <w:rPr>
                <w:b/>
                <w:bCs/>
              </w:rPr>
              <w:t>Met</w:t>
            </w:r>
          </w:p>
        </w:tc>
      </w:tr>
      <w:tr w:rsidR="008E1EBA" w14:paraId="0F1394A2" w14:textId="15E33D05" w:rsidTr="008671D7">
        <w:trPr>
          <w:trHeight w:val="638"/>
        </w:trPr>
        <w:tc>
          <w:tcPr>
            <w:tcW w:w="9171" w:type="dxa"/>
            <w:vAlign w:val="center"/>
          </w:tcPr>
          <w:p w14:paraId="320A58A2" w14:textId="3EC82011" w:rsidR="008E1EBA" w:rsidRDefault="008E1EBA" w:rsidP="008E1EBA">
            <w:pPr>
              <w:pStyle w:val="ListParagraph"/>
              <w:numPr>
                <w:ilvl w:val="0"/>
                <w:numId w:val="33"/>
              </w:numPr>
              <w:spacing w:before="60" w:after="60"/>
            </w:pPr>
            <w:r>
              <w:t>Any involvement of prisoners is limited to research activities that do not include interaction, intervention, or direct observation of prisoners (</w:t>
            </w:r>
            <w:r w:rsidRPr="008E1EBA">
              <w:rPr>
                <w:b/>
                <w:bCs/>
              </w:rPr>
              <w:t>HSD policy</w:t>
            </w:r>
            <w:r>
              <w:t xml:space="preserve">; review </w:t>
            </w:r>
            <w:r w:rsidRPr="008E1EBA">
              <w:rPr>
                <w:b/>
                <w:bCs/>
              </w:rPr>
              <w:t>GUIDANCE</w:t>
            </w:r>
            <w:r>
              <w:t xml:space="preserve"> </w:t>
            </w:r>
            <w:r w:rsidRPr="008E1EBA">
              <w:rPr>
                <w:b/>
                <w:bCs/>
              </w:rPr>
              <w:t>Prisoners</w:t>
            </w:r>
            <w:r>
              <w:t xml:space="preserve">). </w:t>
            </w:r>
          </w:p>
        </w:tc>
        <w:tc>
          <w:tcPr>
            <w:tcW w:w="909" w:type="dxa"/>
            <w:vAlign w:val="center"/>
          </w:tcPr>
          <w:p w14:paraId="49A8B8C4" w14:textId="5F8E5BBF" w:rsidR="008E1EBA" w:rsidRDefault="00A00837" w:rsidP="00912EB3">
            <w:pPr>
              <w:jc w:val="center"/>
            </w:pPr>
            <w:sdt>
              <w:sdtPr>
                <w:alias w:val="1. Any involvement of prisoners is limited to research activities that do not include interaction, intervention, or direct observation of prisoners "/>
                <w:tag w:val="1. Any involvement of prisoners is limited to research activities that do not include interaction, intervention, or direct observation of prisoners "/>
                <w:id w:val="-1930654371"/>
                <w14:checkbox>
                  <w14:checked w14:val="0"/>
                  <w14:checkedState w14:val="2612" w14:font="MS Gothic"/>
                  <w14:uncheckedState w14:val="2610" w14:font="MS Gothic"/>
                </w14:checkbox>
              </w:sdtPr>
              <w:sdtEndPr/>
              <w:sdtContent>
                <w:r w:rsidR="008E1EBA">
                  <w:rPr>
                    <w:rFonts w:ascii="MS Gothic" w:eastAsia="MS Gothic" w:hAnsi="MS Gothic" w:hint="eastAsia"/>
                  </w:rPr>
                  <w:t>☐</w:t>
                </w:r>
              </w:sdtContent>
            </w:sdt>
          </w:p>
        </w:tc>
      </w:tr>
      <w:tr w:rsidR="008E1EBA" w14:paraId="402C643D" w14:textId="3BAAEE1E" w:rsidTr="008671D7">
        <w:trPr>
          <w:trHeight w:val="2249"/>
        </w:trPr>
        <w:tc>
          <w:tcPr>
            <w:tcW w:w="9171" w:type="dxa"/>
            <w:tcBorders>
              <w:bottom w:val="single" w:sz="4" w:space="0" w:color="auto"/>
            </w:tcBorders>
            <w:vAlign w:val="center"/>
          </w:tcPr>
          <w:p w14:paraId="6F832AB4" w14:textId="13B60B65" w:rsidR="008E1EBA" w:rsidRDefault="008E1EBA" w:rsidP="008E1EBA">
            <w:pPr>
              <w:pStyle w:val="ListParagraph"/>
              <w:numPr>
                <w:ilvl w:val="0"/>
                <w:numId w:val="33"/>
              </w:numPr>
              <w:spacing w:before="60"/>
            </w:pPr>
            <w:r>
              <w:t xml:space="preserve">The research activities present no more than </w:t>
            </w:r>
            <w:hyperlink r:id="rId12" w:history="1">
              <w:r w:rsidRPr="00274D06">
                <w:rPr>
                  <w:rStyle w:val="Hyperlink"/>
                </w:rPr>
                <w:t>minimal risk</w:t>
              </w:r>
            </w:hyperlink>
            <w:r w:rsidRPr="008E1EBA">
              <w:rPr>
                <w:rStyle w:val="Hyperlink"/>
                <w:u w:val="none"/>
              </w:rPr>
              <w:t xml:space="preserve"> </w:t>
            </w:r>
            <w:r>
              <w:t xml:space="preserve">to subjects. </w:t>
            </w:r>
          </w:p>
          <w:p w14:paraId="160A3A2C" w14:textId="77777777" w:rsidR="008E1EBA" w:rsidRDefault="008E1EBA" w:rsidP="008E1EBA">
            <w:pPr>
              <w:spacing w:before="120"/>
              <w:ind w:left="1440"/>
            </w:pPr>
            <w:r>
              <w:t xml:space="preserve">This assessment </w:t>
            </w:r>
            <w:proofErr w:type="gramStart"/>
            <w:r>
              <w:t>takes into account</w:t>
            </w:r>
            <w:proofErr w:type="gramEnd"/>
            <w:r>
              <w:t xml:space="preserve"> any measures that will mitigate risks related to invasion of privacy and breach of confidentiality for research in which identification of subjects and/or their responses would reasonably place subjects at risk of criminal or civil liability or be damaging to their financial standing, employability, insurability, reputation, or be stigmatizing. </w:t>
            </w:r>
          </w:p>
          <w:p w14:paraId="2A72B7C2" w14:textId="4473C61B" w:rsidR="008E1EBA" w:rsidRDefault="008E1EBA" w:rsidP="008E1EBA">
            <w:pPr>
              <w:spacing w:before="120" w:after="60"/>
              <w:ind w:left="1440"/>
            </w:pPr>
            <w:r>
              <w:t xml:space="preserve">For research involving prisoners, the Subpart C definition of </w:t>
            </w:r>
            <w:hyperlink r:id="rId13" w:history="1">
              <w:r w:rsidRPr="00274D06">
                <w:rPr>
                  <w:rStyle w:val="Hyperlink"/>
                </w:rPr>
                <w:t>minimal risk</w:t>
              </w:r>
            </w:hyperlink>
            <w:r w:rsidRPr="00A652A5">
              <w:rPr>
                <w:rStyle w:val="Hyperlink"/>
                <w:u w:val="none"/>
              </w:rPr>
              <w:t xml:space="preserve"> </w:t>
            </w:r>
            <w:r>
              <w:t xml:space="preserve">is applied. </w:t>
            </w:r>
          </w:p>
        </w:tc>
        <w:tc>
          <w:tcPr>
            <w:tcW w:w="909" w:type="dxa"/>
            <w:vAlign w:val="center"/>
          </w:tcPr>
          <w:p w14:paraId="277DC526" w14:textId="18458D6E" w:rsidR="008E1EBA" w:rsidRDefault="00A00837" w:rsidP="00912EB3">
            <w:pPr>
              <w:jc w:val="center"/>
            </w:pPr>
            <w:sdt>
              <w:sdtPr>
                <w:alias w:val="2. The research activities present no more than minimal risk to subjects. "/>
                <w:tag w:val="2. The research activities present no more than minimal risk to subjects. "/>
                <w:id w:val="-1944760212"/>
                <w14:checkbox>
                  <w14:checked w14:val="0"/>
                  <w14:checkedState w14:val="2612" w14:font="MS Gothic"/>
                  <w14:uncheckedState w14:val="2610" w14:font="MS Gothic"/>
                </w14:checkbox>
              </w:sdtPr>
              <w:sdtEndPr/>
              <w:sdtContent>
                <w:r w:rsidR="008E1EBA">
                  <w:rPr>
                    <w:rFonts w:ascii="MS Gothic" w:eastAsia="MS Gothic" w:hAnsi="MS Gothic" w:hint="eastAsia"/>
                  </w:rPr>
                  <w:t>☐</w:t>
                </w:r>
              </w:sdtContent>
            </w:sdt>
          </w:p>
        </w:tc>
      </w:tr>
      <w:tr w:rsidR="008E1EBA" w14:paraId="17C83D34" w14:textId="00C4D357" w:rsidTr="008671D7">
        <w:trPr>
          <w:trHeight w:val="359"/>
        </w:trPr>
        <w:tc>
          <w:tcPr>
            <w:tcW w:w="9171" w:type="dxa"/>
            <w:tcBorders>
              <w:bottom w:val="single" w:sz="4" w:space="0" w:color="auto"/>
            </w:tcBorders>
            <w:vAlign w:val="center"/>
          </w:tcPr>
          <w:p w14:paraId="3403FB30" w14:textId="60C8C8C9" w:rsidR="008E1EBA" w:rsidRDefault="008E1EBA" w:rsidP="008E1EBA">
            <w:pPr>
              <w:pStyle w:val="ListParagraph"/>
              <w:numPr>
                <w:ilvl w:val="0"/>
                <w:numId w:val="33"/>
              </w:numPr>
              <w:spacing w:before="60" w:after="60"/>
            </w:pPr>
            <w:r>
              <w:t xml:space="preserve">The research falls into one or more of the </w:t>
            </w:r>
            <w:proofErr w:type="gramStart"/>
            <w:r>
              <w:t>federally-defined</w:t>
            </w:r>
            <w:proofErr w:type="gramEnd"/>
            <w:r>
              <w:t xml:space="preserve"> expedited categories (</w:t>
            </w:r>
            <w:hyperlink w:anchor="_TABLE_D:_EXPEDITED" w:history="1">
              <w:r w:rsidR="00E4241D">
                <w:rPr>
                  <w:rStyle w:val="Hyperlink"/>
                </w:rPr>
                <w:t>TABLE D</w:t>
              </w:r>
            </w:hyperlink>
            <w:r>
              <w:t xml:space="preserve">). </w:t>
            </w:r>
          </w:p>
        </w:tc>
        <w:tc>
          <w:tcPr>
            <w:tcW w:w="909" w:type="dxa"/>
            <w:vAlign w:val="center"/>
          </w:tcPr>
          <w:p w14:paraId="19EC72C5" w14:textId="4FFE52B8" w:rsidR="008E1EBA" w:rsidRDefault="00A00837" w:rsidP="00912EB3">
            <w:pPr>
              <w:jc w:val="center"/>
            </w:pPr>
            <w:sdt>
              <w:sdtPr>
                <w:alias w:val="3. The research falls into one or more of the federally-defined expedited categories (TABLE D). "/>
                <w:tag w:val="3. The research falls into one or more of the federally-defined expedited categories (TABLE D). "/>
                <w:id w:val="1469087079"/>
                <w14:checkbox>
                  <w14:checked w14:val="0"/>
                  <w14:checkedState w14:val="2612" w14:font="MS Gothic"/>
                  <w14:uncheckedState w14:val="2610" w14:font="MS Gothic"/>
                </w14:checkbox>
              </w:sdtPr>
              <w:sdtEndPr/>
              <w:sdtContent>
                <w:r w:rsidR="003B06D5">
                  <w:rPr>
                    <w:rFonts w:ascii="MS Gothic" w:eastAsia="MS Gothic" w:hAnsi="MS Gothic" w:hint="eastAsia"/>
                  </w:rPr>
                  <w:t>☐</w:t>
                </w:r>
              </w:sdtContent>
            </w:sdt>
          </w:p>
        </w:tc>
      </w:tr>
      <w:tr w:rsidR="008E1EBA" w14:paraId="4F2DE390" w14:textId="07713BE8" w:rsidTr="008671D7">
        <w:trPr>
          <w:trHeight w:val="701"/>
        </w:trPr>
        <w:tc>
          <w:tcPr>
            <w:tcW w:w="9171" w:type="dxa"/>
            <w:tcBorders>
              <w:bottom w:val="single" w:sz="4" w:space="0" w:color="auto"/>
            </w:tcBorders>
            <w:vAlign w:val="center"/>
          </w:tcPr>
          <w:p w14:paraId="0BB8E4CA" w14:textId="0EBAAFE0" w:rsidR="008E1EBA" w:rsidRDefault="008E1EBA" w:rsidP="003B06D5">
            <w:pPr>
              <w:pStyle w:val="ListParagraph"/>
              <w:numPr>
                <w:ilvl w:val="0"/>
                <w:numId w:val="33"/>
              </w:numPr>
              <w:spacing w:before="60" w:after="60"/>
            </w:pPr>
            <w:r>
              <w:lastRenderedPageBreak/>
              <w:t xml:space="preserve">The research does not involve the use or generation of classified or controlled unclassified information. </w:t>
            </w:r>
          </w:p>
        </w:tc>
        <w:tc>
          <w:tcPr>
            <w:tcW w:w="909" w:type="dxa"/>
            <w:vAlign w:val="center"/>
          </w:tcPr>
          <w:p w14:paraId="1E13D959" w14:textId="5503FDFA" w:rsidR="008E1EBA" w:rsidRDefault="00A00837" w:rsidP="00912EB3">
            <w:pPr>
              <w:jc w:val="center"/>
            </w:pPr>
            <w:sdt>
              <w:sdtPr>
                <w:alias w:val="4. The research does not involve the use or generation of classified or controlled unclassified information. "/>
                <w:tag w:val="4. The research does not involve the use or generation of classified or controlled unclassified information. "/>
                <w:id w:val="-483166449"/>
                <w14:checkbox>
                  <w14:checked w14:val="0"/>
                  <w14:checkedState w14:val="2612" w14:font="MS Gothic"/>
                  <w14:uncheckedState w14:val="2610" w14:font="MS Gothic"/>
                </w14:checkbox>
              </w:sdtPr>
              <w:sdtEndPr/>
              <w:sdtContent>
                <w:r w:rsidR="003B06D5">
                  <w:rPr>
                    <w:rFonts w:ascii="MS Gothic" w:eastAsia="MS Gothic" w:hAnsi="MS Gothic" w:hint="eastAsia"/>
                  </w:rPr>
                  <w:t>☐</w:t>
                </w:r>
              </w:sdtContent>
            </w:sdt>
          </w:p>
        </w:tc>
      </w:tr>
    </w:tbl>
    <w:p w14:paraId="39392F26" w14:textId="77777777" w:rsidR="00CB05D3" w:rsidRDefault="00CB05D3">
      <w:pPr>
        <w:spacing w:after="160" w:line="259" w:lineRule="auto"/>
      </w:pPr>
    </w:p>
    <w:p w14:paraId="37A774A8" w14:textId="0555FC4B" w:rsidR="00CB05D3" w:rsidRDefault="00CB05D3" w:rsidP="00CB05D3">
      <w:pPr>
        <w:pStyle w:val="Heading1"/>
      </w:pPr>
      <w:r>
        <w:t xml:space="preserve">TABLE B: ELIGIBILITY FOR EXPEDITED REVIEW, CONTINUING REVIEW </w:t>
      </w:r>
    </w:p>
    <w:p w14:paraId="5380B843" w14:textId="77777777" w:rsidR="00CB05D3" w:rsidRPr="00CB05D3" w:rsidRDefault="00CB05D3" w:rsidP="00CB05D3"/>
    <w:tbl>
      <w:tblPr>
        <w:tblStyle w:val="TableGrid"/>
        <w:tblW w:w="10080" w:type="dxa"/>
        <w:tblInd w:w="-5" w:type="dxa"/>
        <w:tblLayout w:type="fixed"/>
        <w:tblLook w:val="04A0" w:firstRow="1" w:lastRow="0" w:firstColumn="1" w:lastColumn="0" w:noHBand="0" w:noVBand="1"/>
        <w:tblCaption w:val="Table B Eligiblity for Expedited Review, Continuing Review"/>
        <w:tblDescription w:val="Table describes the eligilibity critiera for reviewing a continuing review as expedited."/>
      </w:tblPr>
      <w:tblGrid>
        <w:gridCol w:w="9171"/>
        <w:gridCol w:w="909"/>
      </w:tblGrid>
      <w:tr w:rsidR="008671D7" w:rsidRPr="00B06D96" w14:paraId="14D84455" w14:textId="77777777" w:rsidTr="008671D7">
        <w:tc>
          <w:tcPr>
            <w:tcW w:w="9171" w:type="dxa"/>
            <w:shd w:val="clear" w:color="auto" w:fill="5200A4"/>
            <w:vAlign w:val="center"/>
          </w:tcPr>
          <w:p w14:paraId="1486B2F7" w14:textId="77777777" w:rsidR="008671D7" w:rsidRDefault="008671D7" w:rsidP="00166743">
            <w:pPr>
              <w:spacing w:before="60"/>
              <w:rPr>
                <w:b/>
                <w:bCs/>
              </w:rPr>
            </w:pPr>
            <w:r w:rsidRPr="00B06D96">
              <w:rPr>
                <w:b/>
                <w:bCs/>
              </w:rPr>
              <w:t>Requirement</w:t>
            </w:r>
            <w:r>
              <w:rPr>
                <w:b/>
                <w:bCs/>
              </w:rPr>
              <w:t>s</w:t>
            </w:r>
          </w:p>
          <w:p w14:paraId="51C35ACA" w14:textId="2F03657B" w:rsidR="008671D7" w:rsidRDefault="008671D7" w:rsidP="00410B2E">
            <w:pPr>
              <w:rPr>
                <w:i/>
                <w:iCs/>
              </w:rPr>
            </w:pPr>
            <w:r>
              <w:rPr>
                <w:i/>
                <w:iCs/>
              </w:rPr>
              <w:t>Requirement 4 must be “Met” for Humanitarian Use Device (HUD) studies.</w:t>
            </w:r>
          </w:p>
          <w:p w14:paraId="5A449D30" w14:textId="0E63BDA1" w:rsidR="008671D7" w:rsidRPr="00410B2E" w:rsidRDefault="008671D7" w:rsidP="00166743">
            <w:pPr>
              <w:spacing w:after="60"/>
              <w:rPr>
                <w:i/>
                <w:iCs/>
              </w:rPr>
            </w:pPr>
            <w:r>
              <w:rPr>
                <w:i/>
                <w:iCs/>
              </w:rPr>
              <w:t>Requirements 1-3 must be “Met” for all other studies.</w:t>
            </w:r>
          </w:p>
        </w:tc>
        <w:tc>
          <w:tcPr>
            <w:tcW w:w="909" w:type="dxa"/>
            <w:shd w:val="clear" w:color="auto" w:fill="5200A4"/>
            <w:vAlign w:val="center"/>
          </w:tcPr>
          <w:p w14:paraId="154F0DFC" w14:textId="77777777" w:rsidR="008671D7" w:rsidRPr="00B06D96" w:rsidRDefault="008671D7" w:rsidP="007C55DE">
            <w:pPr>
              <w:jc w:val="center"/>
              <w:rPr>
                <w:b/>
                <w:bCs/>
              </w:rPr>
            </w:pPr>
            <w:r w:rsidRPr="00B06D96">
              <w:rPr>
                <w:b/>
                <w:bCs/>
              </w:rPr>
              <w:t>Met</w:t>
            </w:r>
          </w:p>
        </w:tc>
      </w:tr>
      <w:tr w:rsidR="008671D7" w:rsidRPr="00B06D96" w14:paraId="3829EAAB" w14:textId="77777777" w:rsidTr="008671D7">
        <w:trPr>
          <w:trHeight w:val="1880"/>
        </w:trPr>
        <w:tc>
          <w:tcPr>
            <w:tcW w:w="9171" w:type="dxa"/>
            <w:vAlign w:val="center"/>
          </w:tcPr>
          <w:p w14:paraId="28035465" w14:textId="73D12B11" w:rsidR="008671D7" w:rsidRDefault="008671D7" w:rsidP="008671D7">
            <w:pPr>
              <w:pStyle w:val="ListParagraph"/>
              <w:numPr>
                <w:ilvl w:val="0"/>
                <w:numId w:val="34"/>
              </w:numPr>
              <w:spacing w:before="60"/>
            </w:pPr>
            <w:r w:rsidRPr="00B06D96">
              <w:t>Any involvement of prisoners is limited to research activities that do not include interaction, intervention, or direct observation of prisoners (</w:t>
            </w:r>
            <w:r w:rsidRPr="008671D7">
              <w:rPr>
                <w:b/>
                <w:bCs/>
              </w:rPr>
              <w:t>HSD policy</w:t>
            </w:r>
            <w:r>
              <w:t xml:space="preserve">) </w:t>
            </w:r>
            <w:r w:rsidRPr="008671D7">
              <w:rPr>
                <w:b/>
                <w:bCs/>
              </w:rPr>
              <w:t>– OR –</w:t>
            </w:r>
            <w:r>
              <w:t xml:space="preserve"> </w:t>
            </w:r>
          </w:p>
          <w:p w14:paraId="7E0AC7F3" w14:textId="20F06BCA" w:rsidR="008671D7" w:rsidRPr="00B06D96" w:rsidRDefault="008671D7" w:rsidP="008671D7">
            <w:pPr>
              <w:spacing w:before="120" w:after="60"/>
              <w:ind w:left="720"/>
            </w:pPr>
            <w:r>
              <w:t xml:space="preserve">The prisoner research was reviewed by the convened IRB </w:t>
            </w:r>
            <w:proofErr w:type="gramStart"/>
            <w:r>
              <w:t xml:space="preserve">and: </w:t>
            </w:r>
            <w:r w:rsidRPr="005D2AAD">
              <w:rPr>
                <w:b/>
                <w:bCs/>
              </w:rPr>
              <w:t>(</w:t>
            </w:r>
            <w:proofErr w:type="gramEnd"/>
            <w:r w:rsidRPr="005D2AAD">
              <w:rPr>
                <w:b/>
                <w:bCs/>
              </w:rPr>
              <w:t xml:space="preserve">1) </w:t>
            </w:r>
            <w:r>
              <w:t xml:space="preserve">the IRB determined that the research is no greater than minimal risk (using the prisoner definition of minimal risk) and future reviews may be conducted by the expedited process; </w:t>
            </w:r>
            <w:r w:rsidRPr="005D2AAD">
              <w:rPr>
                <w:b/>
                <w:bCs/>
              </w:rPr>
              <w:t>or (2)</w:t>
            </w:r>
            <w:r>
              <w:t xml:space="preserve"> the research presently qualifies for expedited category 8b or 8c. </w:t>
            </w:r>
          </w:p>
        </w:tc>
        <w:tc>
          <w:tcPr>
            <w:tcW w:w="909" w:type="dxa"/>
            <w:vAlign w:val="center"/>
          </w:tcPr>
          <w:p w14:paraId="7EA5C2AA" w14:textId="68CE93EA" w:rsidR="008671D7" w:rsidRPr="00B06D96" w:rsidRDefault="00A00837" w:rsidP="00BF0571">
            <w:pPr>
              <w:jc w:val="center"/>
            </w:pPr>
            <w:sdt>
              <w:sdtPr>
                <w:alias w:val="1. Any involvement of prisoners is limited to research activities that do not include interaction, intervention, or direct observation of prisoners (HSD policy) – OR – The prisoner research was reviewed by the convened IRB and: (1) the IRB determined that the research is no greater than minimal risk (using the prisoner definition of minimal risk) and future reviews may be conducted by the expedited process; or (2) the research presently qualifies for expedited category 8b or 8c."/>
                <w:tag w:val="1. Any involvement of prisoners is limited to research activities that do not include interaction, intervention, or direct observation of prisoners (HSD policy) – OR – The prisoner research was reviewed by the convened IRB and: (1) the IRB determined that the research is no greater than minimal risk (using the prisoner definition of minimal risk) and future reviews may be conducted by the expedited process; or (2) the research presently qualifies for expedited category 8b or 8c."/>
                <w:id w:val="-1450933729"/>
                <w14:checkbox>
                  <w14:checked w14:val="0"/>
                  <w14:checkedState w14:val="2612" w14:font="MS Gothic"/>
                  <w14:uncheckedState w14:val="2610" w14:font="MS Gothic"/>
                </w14:checkbox>
              </w:sdtPr>
              <w:sdtEndPr/>
              <w:sdtContent>
                <w:r w:rsidR="002E33A6">
                  <w:rPr>
                    <w:rFonts w:ascii="MS Gothic" w:eastAsia="MS Gothic" w:hAnsi="MS Gothic" w:hint="eastAsia"/>
                  </w:rPr>
                  <w:t>☐</w:t>
                </w:r>
              </w:sdtContent>
            </w:sdt>
          </w:p>
        </w:tc>
      </w:tr>
      <w:tr w:rsidR="008671D7" w:rsidRPr="00B06D96" w14:paraId="2F4AEB06" w14:textId="77777777" w:rsidTr="008671D7">
        <w:trPr>
          <w:trHeight w:val="449"/>
        </w:trPr>
        <w:tc>
          <w:tcPr>
            <w:tcW w:w="9171" w:type="dxa"/>
            <w:tcBorders>
              <w:bottom w:val="single" w:sz="4" w:space="0" w:color="auto"/>
            </w:tcBorders>
            <w:vAlign w:val="center"/>
          </w:tcPr>
          <w:p w14:paraId="32E072FB" w14:textId="712BFDFF" w:rsidR="008671D7" w:rsidRPr="00B06D96" w:rsidRDefault="008671D7" w:rsidP="008671D7">
            <w:pPr>
              <w:pStyle w:val="ListParagraph"/>
              <w:numPr>
                <w:ilvl w:val="0"/>
                <w:numId w:val="34"/>
              </w:numPr>
              <w:spacing w:before="60" w:after="60"/>
            </w:pPr>
            <w:r w:rsidRPr="00B06D96">
              <w:t xml:space="preserve">The research falls into one or more of the </w:t>
            </w:r>
            <w:proofErr w:type="gramStart"/>
            <w:r w:rsidRPr="00B06D96">
              <w:t>federally-defined</w:t>
            </w:r>
            <w:proofErr w:type="gramEnd"/>
            <w:r w:rsidRPr="00B06D96">
              <w:t xml:space="preserve"> expedited categories (</w:t>
            </w:r>
            <w:hyperlink w:anchor="_EXPEDITED_REVIEW_CATEGORIES" w:history="1">
              <w:r w:rsidR="00E4241D">
                <w:rPr>
                  <w:rStyle w:val="Hyperlink"/>
                </w:rPr>
                <w:t>TABLE D</w:t>
              </w:r>
            </w:hyperlink>
            <w:r w:rsidRPr="00B06D96">
              <w:t>).</w:t>
            </w:r>
          </w:p>
        </w:tc>
        <w:tc>
          <w:tcPr>
            <w:tcW w:w="909" w:type="dxa"/>
            <w:vAlign w:val="center"/>
          </w:tcPr>
          <w:p w14:paraId="67A7E6B7" w14:textId="24A3FB77" w:rsidR="008671D7" w:rsidRPr="00B06D96" w:rsidRDefault="00A00837" w:rsidP="00BF0571">
            <w:pPr>
              <w:jc w:val="center"/>
            </w:pPr>
            <w:sdt>
              <w:sdtPr>
                <w:alias w:val="2. The research falls into one or more of the federally-defined expedited categories (TABLE D)."/>
                <w:tag w:val="2. The research falls into one or more of the federally-defined expedited categories (TABLE D)."/>
                <w:id w:val="787701593"/>
                <w14:checkbox>
                  <w14:checked w14:val="0"/>
                  <w14:checkedState w14:val="2612" w14:font="MS Gothic"/>
                  <w14:uncheckedState w14:val="2610" w14:font="MS Gothic"/>
                </w14:checkbox>
              </w:sdtPr>
              <w:sdtEndPr/>
              <w:sdtContent>
                <w:r w:rsidR="002E33A6">
                  <w:rPr>
                    <w:rFonts w:ascii="MS Gothic" w:eastAsia="MS Gothic" w:hAnsi="MS Gothic" w:hint="eastAsia"/>
                  </w:rPr>
                  <w:t>☐</w:t>
                </w:r>
              </w:sdtContent>
            </w:sdt>
          </w:p>
        </w:tc>
      </w:tr>
      <w:tr w:rsidR="008671D7" w:rsidRPr="00B06D96" w14:paraId="13778C74" w14:textId="77777777" w:rsidTr="008671D7">
        <w:trPr>
          <w:trHeight w:val="620"/>
        </w:trPr>
        <w:tc>
          <w:tcPr>
            <w:tcW w:w="9171" w:type="dxa"/>
            <w:tcBorders>
              <w:bottom w:val="single" w:sz="4" w:space="0" w:color="auto"/>
            </w:tcBorders>
            <w:vAlign w:val="center"/>
          </w:tcPr>
          <w:p w14:paraId="3EDB2021" w14:textId="00A4D21D" w:rsidR="008671D7" w:rsidRPr="00B06D96" w:rsidRDefault="008671D7" w:rsidP="008671D7">
            <w:pPr>
              <w:pStyle w:val="ListParagraph"/>
              <w:numPr>
                <w:ilvl w:val="0"/>
                <w:numId w:val="34"/>
              </w:numPr>
              <w:spacing w:before="60" w:after="60"/>
            </w:pPr>
            <w:r w:rsidRPr="00B06D96">
              <w:t>The research does not involve the use or generation of classified or controlled unclassified information.</w:t>
            </w:r>
          </w:p>
        </w:tc>
        <w:tc>
          <w:tcPr>
            <w:tcW w:w="909" w:type="dxa"/>
            <w:vAlign w:val="center"/>
          </w:tcPr>
          <w:p w14:paraId="776C5EA3" w14:textId="77777777" w:rsidR="008671D7" w:rsidRPr="00B06D96" w:rsidRDefault="00A00837" w:rsidP="00BF0571">
            <w:pPr>
              <w:jc w:val="center"/>
            </w:pPr>
            <w:sdt>
              <w:sdtPr>
                <w:alias w:val="3. The research does not involve the use or generation of classified or controlled unclassified information."/>
                <w:tag w:val="3. The research does not involve the use or generation of classified or controlled unclassified information."/>
                <w:id w:val="775673083"/>
                <w14:checkbox>
                  <w14:checked w14:val="0"/>
                  <w14:checkedState w14:val="2612" w14:font="MS Gothic"/>
                  <w14:uncheckedState w14:val="2610" w14:font="MS Gothic"/>
                </w14:checkbox>
              </w:sdtPr>
              <w:sdtEndPr/>
              <w:sdtContent>
                <w:r w:rsidR="008671D7" w:rsidRPr="00B06D96">
                  <w:rPr>
                    <w:rFonts w:ascii="Segoe UI Symbol" w:hAnsi="Segoe UI Symbol" w:cs="Segoe UI Symbol"/>
                  </w:rPr>
                  <w:t>☐</w:t>
                </w:r>
              </w:sdtContent>
            </w:sdt>
          </w:p>
        </w:tc>
      </w:tr>
      <w:tr w:rsidR="008671D7" w:rsidRPr="00B06D96" w14:paraId="6A53D8F5" w14:textId="77777777" w:rsidTr="008671D7">
        <w:trPr>
          <w:trHeight w:val="989"/>
        </w:trPr>
        <w:tc>
          <w:tcPr>
            <w:tcW w:w="9171" w:type="dxa"/>
            <w:tcBorders>
              <w:bottom w:val="single" w:sz="4" w:space="0" w:color="auto"/>
            </w:tcBorders>
            <w:vAlign w:val="center"/>
          </w:tcPr>
          <w:p w14:paraId="6AD392CB" w14:textId="55639573" w:rsidR="008671D7" w:rsidRPr="00B06D96" w:rsidRDefault="008671D7" w:rsidP="008671D7">
            <w:pPr>
              <w:pStyle w:val="ListParagraph"/>
              <w:numPr>
                <w:ilvl w:val="0"/>
                <w:numId w:val="34"/>
              </w:numPr>
              <w:spacing w:before="60" w:after="60"/>
            </w:pPr>
            <w:r w:rsidRPr="008671D7">
              <w:rPr>
                <w:b/>
                <w:bCs/>
              </w:rPr>
              <w:t>Humanitarian Use Device-specific:</w:t>
            </w:r>
            <w:r>
              <w:t xml:space="preserve"> Continuing review of the use of a HUD may be conducted by the expedited process when the device is used solely for clinical purposes and the convened IRB had previously determined that expedited continuing review is appropriate. </w:t>
            </w:r>
          </w:p>
        </w:tc>
        <w:tc>
          <w:tcPr>
            <w:tcW w:w="909" w:type="dxa"/>
            <w:vAlign w:val="center"/>
          </w:tcPr>
          <w:p w14:paraId="51B365C3" w14:textId="77777777" w:rsidR="008671D7" w:rsidRPr="00B06D96" w:rsidRDefault="00A00837" w:rsidP="00BF0571">
            <w:pPr>
              <w:jc w:val="center"/>
            </w:pPr>
            <w:sdt>
              <w:sdtPr>
                <w:alias w:val="4. Humanitarian Use Device-specific: Continuing review of the use of a HUD may be conducted by the expedited process when the device is used solely for clinical purposes and the convened IRB had previously determined that expedited continuing review is appropriate. "/>
                <w:tag w:val="4. Humanitarian Use Device-specific: Continuing review of the use of a HUD may be conducted by the expedited process when the device is used solely for clinical purposes and the convened IRB had previously determined that expedited continuing review is appropriate. "/>
                <w:id w:val="246077107"/>
                <w14:checkbox>
                  <w14:checked w14:val="0"/>
                  <w14:checkedState w14:val="2612" w14:font="MS Gothic"/>
                  <w14:uncheckedState w14:val="2610" w14:font="MS Gothic"/>
                </w14:checkbox>
              </w:sdtPr>
              <w:sdtEndPr/>
              <w:sdtContent>
                <w:r w:rsidR="008671D7" w:rsidRPr="00B06D96">
                  <w:rPr>
                    <w:rFonts w:ascii="Segoe UI Symbol" w:hAnsi="Segoe UI Symbol" w:cs="Segoe UI Symbol"/>
                  </w:rPr>
                  <w:t>☐</w:t>
                </w:r>
              </w:sdtContent>
            </w:sdt>
          </w:p>
        </w:tc>
      </w:tr>
    </w:tbl>
    <w:p w14:paraId="54943AD8" w14:textId="3D476633" w:rsidR="00751DA4" w:rsidRDefault="00751DA4" w:rsidP="00751DA4">
      <w:pPr>
        <w:spacing w:after="60"/>
        <w:rPr>
          <w:b/>
          <w:bCs/>
          <w:sz w:val="24"/>
          <w:szCs w:val="24"/>
        </w:rPr>
      </w:pPr>
    </w:p>
    <w:p w14:paraId="690B74B3" w14:textId="69BD271C" w:rsidR="00CB05D3" w:rsidRDefault="00CB05D3" w:rsidP="00CB05D3">
      <w:pPr>
        <w:pStyle w:val="Heading1"/>
      </w:pPr>
      <w:r>
        <w:t xml:space="preserve">TABLE C: ELIGIBILITY FOR EXPEDITED REVIEW, MODIFICATION REVIEW </w:t>
      </w:r>
    </w:p>
    <w:p w14:paraId="7B18BF19" w14:textId="77777777" w:rsidR="00CB05D3" w:rsidRPr="00CB05D3" w:rsidRDefault="00CB05D3" w:rsidP="00CB05D3"/>
    <w:tbl>
      <w:tblPr>
        <w:tblStyle w:val="TableGrid"/>
        <w:tblW w:w="10080" w:type="dxa"/>
        <w:tblInd w:w="-5" w:type="dxa"/>
        <w:tblLayout w:type="fixed"/>
        <w:tblLook w:val="04A0" w:firstRow="1" w:lastRow="0" w:firstColumn="1" w:lastColumn="0" w:noHBand="0" w:noVBand="1"/>
        <w:tblCaption w:val="Table C Eligiblity for Expedited Review, Modification Review"/>
        <w:tblDescription w:val="Table describes the eligilibity critiera for reviewing a modification as expedited."/>
      </w:tblPr>
      <w:tblGrid>
        <w:gridCol w:w="9171"/>
        <w:gridCol w:w="909"/>
      </w:tblGrid>
      <w:tr w:rsidR="002E33A6" w:rsidRPr="00B06D96" w14:paraId="112BCBA5" w14:textId="77777777" w:rsidTr="002E33A6">
        <w:tc>
          <w:tcPr>
            <w:tcW w:w="9171" w:type="dxa"/>
            <w:shd w:val="clear" w:color="auto" w:fill="5200A4"/>
            <w:vAlign w:val="center"/>
          </w:tcPr>
          <w:p w14:paraId="22B7B8A5" w14:textId="77777777" w:rsidR="002E33A6" w:rsidRDefault="002E33A6" w:rsidP="00B527B9">
            <w:pPr>
              <w:spacing w:before="60"/>
              <w:rPr>
                <w:b/>
                <w:bCs/>
              </w:rPr>
            </w:pPr>
            <w:r w:rsidRPr="00B06D96">
              <w:rPr>
                <w:b/>
                <w:bCs/>
              </w:rPr>
              <w:t>Requirement</w:t>
            </w:r>
            <w:r>
              <w:rPr>
                <w:b/>
                <w:bCs/>
              </w:rPr>
              <w:t>s</w:t>
            </w:r>
          </w:p>
          <w:p w14:paraId="500EF317" w14:textId="3058F7A7" w:rsidR="002E33A6" w:rsidRPr="00B06D96" w:rsidRDefault="002E33A6" w:rsidP="00B527B9">
            <w:pPr>
              <w:spacing w:after="60"/>
              <w:rPr>
                <w:b/>
                <w:bCs/>
              </w:rPr>
            </w:pPr>
            <w:proofErr w:type="gramStart"/>
            <w:r>
              <w:rPr>
                <w:i/>
                <w:iCs/>
              </w:rPr>
              <w:t>All of</w:t>
            </w:r>
            <w:proofErr w:type="gramEnd"/>
            <w:r>
              <w:rPr>
                <w:i/>
                <w:iCs/>
              </w:rPr>
              <w:t xml:space="preserve"> the requirements must be “Met”.</w:t>
            </w:r>
          </w:p>
        </w:tc>
        <w:tc>
          <w:tcPr>
            <w:tcW w:w="909" w:type="dxa"/>
            <w:shd w:val="clear" w:color="auto" w:fill="5200A4"/>
            <w:vAlign w:val="center"/>
          </w:tcPr>
          <w:p w14:paraId="6890AC38" w14:textId="77777777" w:rsidR="002E33A6" w:rsidRPr="00B06D96" w:rsidRDefault="002E33A6" w:rsidP="006D6D32">
            <w:pPr>
              <w:jc w:val="center"/>
              <w:rPr>
                <w:b/>
                <w:bCs/>
              </w:rPr>
            </w:pPr>
            <w:r w:rsidRPr="00B06D96">
              <w:rPr>
                <w:b/>
                <w:bCs/>
              </w:rPr>
              <w:t>Met</w:t>
            </w:r>
          </w:p>
        </w:tc>
      </w:tr>
      <w:tr w:rsidR="002E33A6" w:rsidRPr="00B06D96" w14:paraId="3F96BBB8" w14:textId="77777777" w:rsidTr="002E33A6">
        <w:trPr>
          <w:trHeight w:val="2519"/>
        </w:trPr>
        <w:tc>
          <w:tcPr>
            <w:tcW w:w="9171" w:type="dxa"/>
            <w:vAlign w:val="center"/>
          </w:tcPr>
          <w:p w14:paraId="4BC5CF4D" w14:textId="33145EE0" w:rsidR="002E33A6" w:rsidRDefault="002E33A6" w:rsidP="002E33A6">
            <w:pPr>
              <w:pStyle w:val="ListParagraph"/>
              <w:numPr>
                <w:ilvl w:val="0"/>
                <w:numId w:val="35"/>
              </w:numPr>
              <w:spacing w:before="60"/>
            </w:pPr>
            <w:r w:rsidRPr="00B06D96">
              <w:t>Any involvement of prisoners is limited to research activities that do not include interaction, intervention, or direct observation of prisoners (</w:t>
            </w:r>
            <w:r w:rsidRPr="002E33A6">
              <w:rPr>
                <w:b/>
                <w:bCs/>
              </w:rPr>
              <w:t>HSD policy</w:t>
            </w:r>
            <w:r>
              <w:t xml:space="preserve">) </w:t>
            </w:r>
            <w:r w:rsidRPr="002E33A6">
              <w:rPr>
                <w:b/>
                <w:bCs/>
              </w:rPr>
              <w:t>– OR –</w:t>
            </w:r>
          </w:p>
          <w:p w14:paraId="47BC0845" w14:textId="6FA4B1F9" w:rsidR="002E33A6" w:rsidRDefault="002E33A6" w:rsidP="002E33A6">
            <w:pPr>
              <w:spacing w:before="120"/>
              <w:ind w:left="720"/>
            </w:pPr>
            <w:r>
              <w:t>The convened IRB determined that the research is no greater than minimal risk (using the prisoner definition of minimal risk) and future reviews may be conducted by the expedited process (</w:t>
            </w:r>
            <w:r>
              <w:rPr>
                <w:b/>
                <w:bCs/>
              </w:rPr>
              <w:t>HSD policy</w:t>
            </w:r>
            <w:r>
              <w:t xml:space="preserve">) </w:t>
            </w:r>
            <w:r w:rsidRPr="00D84367">
              <w:rPr>
                <w:b/>
                <w:bCs/>
              </w:rPr>
              <w:t>– OR –</w:t>
            </w:r>
          </w:p>
          <w:p w14:paraId="7EAE95C2" w14:textId="2E64C8D6" w:rsidR="002E33A6" w:rsidRPr="00B06D96" w:rsidRDefault="002E33A6" w:rsidP="002E33A6">
            <w:pPr>
              <w:spacing w:before="120" w:after="60"/>
              <w:ind w:left="720"/>
            </w:pPr>
            <w:r>
              <w:t>The modification is a minor change that does not change the IRB’s assessment of the prisoner-related criteria for approval (</w:t>
            </w:r>
            <w:r>
              <w:rPr>
                <w:b/>
                <w:bCs/>
              </w:rPr>
              <w:t>WORKSHEET Prisoners</w:t>
            </w:r>
            <w:r>
              <w:t xml:space="preserve">) and that (for Subpart C-regulated research) does not change the category of permissible research.  </w:t>
            </w:r>
          </w:p>
        </w:tc>
        <w:tc>
          <w:tcPr>
            <w:tcW w:w="909" w:type="dxa"/>
            <w:vAlign w:val="center"/>
          </w:tcPr>
          <w:p w14:paraId="0AB43D0C" w14:textId="3CD2344B" w:rsidR="002E33A6" w:rsidRPr="00B06D96" w:rsidRDefault="00A00837" w:rsidP="006D6D32">
            <w:pPr>
              <w:jc w:val="center"/>
            </w:pPr>
            <w:sdt>
              <w:sdtPr>
                <w:alias w:val="1. Any involvement of prisoners is limited to research activities that do not include interaction, intervention, or direct observation of prisoners (HSD policy) – OR –  The convened IRB determined that the research is no greater than minimal risk (using the prisoner definition of minimal risk) and future reviews may be conducted by the expedited process (HSD policy) – OR – The modification is a minor change that does not change the IRB’s assessment of the prisoner-related criteria for approval (WORKSHEET Prisoners) and that (for Subpart C-regulated research) does not change the category of permissible research.  "/>
                <w:tag w:val="1. Any involvement of prisoners is limited to research activities that do not include interaction, intervention, or direct observation of prisoners (HSD policy) – OR –  The convened IRB determined that the research is no greater than minimal risk (using the prisoner definition of minimal risk) and future reviews may be conducted by the expedited process (HSD policy) – OR – The modification is a minor change that does not change the IRB’s assessment of the prisoner-related criteria for approval (WORKSHEET Prisoners) and that (for Subpart C-regulated research) does not change the category of permissible research.  "/>
                <w:id w:val="-482855124"/>
                <w14:checkbox>
                  <w14:checked w14:val="0"/>
                  <w14:checkedState w14:val="2612" w14:font="MS Gothic"/>
                  <w14:uncheckedState w14:val="2610" w14:font="MS Gothic"/>
                </w14:checkbox>
              </w:sdtPr>
              <w:sdtEndPr/>
              <w:sdtContent>
                <w:r w:rsidR="004B0EDE">
                  <w:rPr>
                    <w:rFonts w:ascii="MS Gothic" w:eastAsia="MS Gothic" w:hAnsi="MS Gothic" w:hint="eastAsia"/>
                  </w:rPr>
                  <w:t>☐</w:t>
                </w:r>
              </w:sdtContent>
            </w:sdt>
          </w:p>
        </w:tc>
      </w:tr>
      <w:tr w:rsidR="002E33A6" w:rsidRPr="00B06D96" w14:paraId="44564065" w14:textId="77777777" w:rsidTr="002E33A6">
        <w:trPr>
          <w:trHeight w:val="2213"/>
        </w:trPr>
        <w:tc>
          <w:tcPr>
            <w:tcW w:w="9171" w:type="dxa"/>
            <w:tcBorders>
              <w:bottom w:val="single" w:sz="4" w:space="0" w:color="auto"/>
            </w:tcBorders>
            <w:vAlign w:val="center"/>
          </w:tcPr>
          <w:p w14:paraId="10BB9773" w14:textId="7CA0A6A5" w:rsidR="002E33A6" w:rsidRDefault="002E33A6" w:rsidP="002E33A6">
            <w:pPr>
              <w:pStyle w:val="ListParagraph"/>
              <w:numPr>
                <w:ilvl w:val="0"/>
                <w:numId w:val="35"/>
              </w:numPr>
              <w:spacing w:before="60"/>
            </w:pPr>
            <w:r w:rsidRPr="00B06D96">
              <w:lastRenderedPageBreak/>
              <w:t xml:space="preserve">The </w:t>
            </w:r>
            <w:r>
              <w:t>new or modified research procedures fall</w:t>
            </w:r>
            <w:r w:rsidRPr="00B06D96">
              <w:t xml:space="preserve"> into one or more of the federally-defined expedited categories (</w:t>
            </w:r>
            <w:hyperlink w:anchor="_EXPEDITED_REVIEW_CATEGORIES" w:history="1">
              <w:r w:rsidR="00E4241D">
                <w:rPr>
                  <w:rStyle w:val="Hyperlink"/>
                </w:rPr>
                <w:t>TABLE D</w:t>
              </w:r>
            </w:hyperlink>
            <w:r w:rsidRPr="00B06D96">
              <w:t>)</w:t>
            </w:r>
            <w:r>
              <w:t xml:space="preserve"> </w:t>
            </w:r>
            <w:r w:rsidRPr="002E33A6">
              <w:rPr>
                <w:b/>
                <w:bCs/>
              </w:rPr>
              <w:t>AND</w:t>
            </w:r>
            <w:r>
              <w:t xml:space="preserve"> the study is currently approved under categories 1-7 </w:t>
            </w:r>
            <w:r w:rsidRPr="002E33A6">
              <w:rPr>
                <w:b/>
                <w:bCs/>
              </w:rPr>
              <w:t>– AND/OR –</w:t>
            </w:r>
          </w:p>
          <w:p w14:paraId="30BF5758" w14:textId="42E87E65" w:rsidR="002E33A6" w:rsidRPr="00B06D96" w:rsidRDefault="002E33A6" w:rsidP="002E33A6">
            <w:pPr>
              <w:spacing w:before="120" w:after="60"/>
              <w:ind w:left="720"/>
            </w:pPr>
            <w:r>
              <w:t xml:space="preserve">The modification meets the definition of a </w:t>
            </w:r>
            <w:hyperlink r:id="rId14" w:history="1">
              <w:r w:rsidRPr="00DC21E7">
                <w:rPr>
                  <w:rStyle w:val="Hyperlink"/>
                </w:rPr>
                <w:t>minor change</w:t>
              </w:r>
            </w:hyperlink>
            <w:r>
              <w:t>. This includes (per OHRP guidance) any change that does not materially affect the assessment of a study’s risks or materially affect the assessment of a study’s benefits</w:t>
            </w:r>
            <w:r w:rsidRPr="00D84367">
              <w:rPr>
                <w:b/>
                <w:bCs/>
              </w:rPr>
              <w:t xml:space="preserve"> AND</w:t>
            </w:r>
            <w:r>
              <w:t xml:space="preserve"> that does not affect the IRB’s previous determination that the study met the criteria for approval. NOTE: For FDA-regulated studies, </w:t>
            </w:r>
            <w:r>
              <w:rPr>
                <w:b/>
                <w:bCs/>
              </w:rPr>
              <w:t>any</w:t>
            </w:r>
            <w:r>
              <w:t xml:space="preserve"> change that increases risks cannot be considered a minor change. </w:t>
            </w:r>
          </w:p>
        </w:tc>
        <w:tc>
          <w:tcPr>
            <w:tcW w:w="909" w:type="dxa"/>
            <w:vAlign w:val="center"/>
          </w:tcPr>
          <w:p w14:paraId="3786AAE1" w14:textId="3ED0D610" w:rsidR="002E33A6" w:rsidRPr="00B06D96" w:rsidRDefault="00A00837" w:rsidP="006D6D32">
            <w:pPr>
              <w:jc w:val="center"/>
            </w:pPr>
            <w:sdt>
              <w:sdtPr>
                <w:alias w:val="2. The new or modified research procedures fall into one or more of the federally-defined expedited categories (TABLE D) AND the study is currently approved under categories 1-7 – AND/OR – The modification meets the definition of a minor change. This includes (per OHRP guidance) any change that does not materially affect the assessment of a study’s risks or materially affect the assessment of a study’s benefits AND that does not affect the IRB’s previous determination that the study met the criteria for approval. NOTE: For FDA-regulated studies, any change that increases risks cannot be considered a minor change. "/>
                <w:tag w:val="2. The new or modified research procedures fall into one or more of the federally-defined expedited categories (TABLE D) AND the study is currently approved under categories 1-7 – AND/OR – The modification meets the definition of a minor change. This includes (per OHRP guidance) any change that does not materially affect the assessment of a study’s risks or materially affect the assessment of a study’s benefits AND that does not affect the IRB’s previous determination that the study met the criteria for approval. NOTE: For FDA-regulated studies, any change that increases risks cannot be considered a minor change. "/>
                <w:id w:val="-347716743"/>
                <w14:checkbox>
                  <w14:checked w14:val="0"/>
                  <w14:checkedState w14:val="2612" w14:font="MS Gothic"/>
                  <w14:uncheckedState w14:val="2610" w14:font="MS Gothic"/>
                </w14:checkbox>
              </w:sdtPr>
              <w:sdtEndPr/>
              <w:sdtContent>
                <w:r w:rsidR="00813A5D">
                  <w:rPr>
                    <w:rFonts w:ascii="MS Gothic" w:eastAsia="MS Gothic" w:hAnsi="MS Gothic" w:hint="eastAsia"/>
                  </w:rPr>
                  <w:t>☐</w:t>
                </w:r>
              </w:sdtContent>
            </w:sdt>
          </w:p>
        </w:tc>
      </w:tr>
      <w:tr w:rsidR="002E33A6" w:rsidRPr="00B06D96" w14:paraId="2217B811" w14:textId="77777777" w:rsidTr="002E33A6">
        <w:trPr>
          <w:trHeight w:val="710"/>
        </w:trPr>
        <w:tc>
          <w:tcPr>
            <w:tcW w:w="9171" w:type="dxa"/>
            <w:tcBorders>
              <w:bottom w:val="single" w:sz="4" w:space="0" w:color="auto"/>
            </w:tcBorders>
            <w:vAlign w:val="center"/>
          </w:tcPr>
          <w:p w14:paraId="32528C11" w14:textId="112CCDE1" w:rsidR="002E33A6" w:rsidRPr="00B06D96" w:rsidRDefault="002E33A6" w:rsidP="002E33A6">
            <w:pPr>
              <w:pStyle w:val="ListParagraph"/>
              <w:numPr>
                <w:ilvl w:val="0"/>
                <w:numId w:val="35"/>
              </w:numPr>
              <w:spacing w:before="60" w:after="60"/>
            </w:pPr>
            <w:r w:rsidRPr="00B06D96">
              <w:t>The research does not involve the use or generation of classified or controlled unclassified information.</w:t>
            </w:r>
          </w:p>
        </w:tc>
        <w:tc>
          <w:tcPr>
            <w:tcW w:w="909" w:type="dxa"/>
            <w:vAlign w:val="center"/>
          </w:tcPr>
          <w:p w14:paraId="23D44996" w14:textId="11C03E28" w:rsidR="002E33A6" w:rsidRPr="00B06D96" w:rsidRDefault="00A00837" w:rsidP="006D6D32">
            <w:pPr>
              <w:jc w:val="center"/>
            </w:pPr>
            <w:sdt>
              <w:sdtPr>
                <w:alias w:val="3. The research does not involve the use or generation of classified or controlled unclassified information."/>
                <w:tag w:val="3. The research does not involve the use or generation of classified or controlled unclassified information."/>
                <w:id w:val="-641885786"/>
                <w14:checkbox>
                  <w14:checked w14:val="0"/>
                  <w14:checkedState w14:val="2612" w14:font="MS Gothic"/>
                  <w14:uncheckedState w14:val="2610" w14:font="MS Gothic"/>
                </w14:checkbox>
              </w:sdtPr>
              <w:sdtEndPr/>
              <w:sdtContent>
                <w:r w:rsidR="00813A5D">
                  <w:rPr>
                    <w:rFonts w:ascii="MS Gothic" w:eastAsia="MS Gothic" w:hAnsi="MS Gothic" w:hint="eastAsia"/>
                  </w:rPr>
                  <w:t>☐</w:t>
                </w:r>
              </w:sdtContent>
            </w:sdt>
          </w:p>
        </w:tc>
      </w:tr>
    </w:tbl>
    <w:p w14:paraId="7509FE43" w14:textId="1B6C4767" w:rsidR="007C55DE" w:rsidRDefault="007C55DE"/>
    <w:p w14:paraId="5B3EFA93" w14:textId="6E173760" w:rsidR="00CB05D3" w:rsidRDefault="00E4241D" w:rsidP="00CB05D3">
      <w:pPr>
        <w:pStyle w:val="Heading1"/>
      </w:pPr>
      <w:bookmarkStart w:id="0" w:name="_EXPEDITED_REVIEW_CATEGORIES"/>
      <w:bookmarkStart w:id="1" w:name="_TABLE_D:_EXPEDITED"/>
      <w:bookmarkEnd w:id="0"/>
      <w:bookmarkEnd w:id="1"/>
      <w:r>
        <w:t xml:space="preserve">TABLE D: </w:t>
      </w:r>
      <w:r w:rsidR="00CB05D3">
        <w:t xml:space="preserve">EXPEDITED REVIEW CATEGORIES </w:t>
      </w:r>
    </w:p>
    <w:p w14:paraId="7330C5E4" w14:textId="77777777" w:rsidR="00CB05D3" w:rsidRPr="00CB05D3" w:rsidRDefault="00CB05D3" w:rsidP="00CB05D3"/>
    <w:tbl>
      <w:tblPr>
        <w:tblStyle w:val="TableGrid"/>
        <w:tblW w:w="10080" w:type="dxa"/>
        <w:tblInd w:w="-5" w:type="dxa"/>
        <w:tblLayout w:type="fixed"/>
        <w:tblLook w:val="04A0" w:firstRow="1" w:lastRow="0" w:firstColumn="1" w:lastColumn="0" w:noHBand="0" w:noVBand="1"/>
        <w:tblCaption w:val="Table D Expedited Review Categories"/>
        <w:tblDescription w:val="Table lists the expedited review categories."/>
      </w:tblPr>
      <w:tblGrid>
        <w:gridCol w:w="540"/>
        <w:gridCol w:w="9540"/>
      </w:tblGrid>
      <w:tr w:rsidR="003C53BA" w:rsidRPr="00B06D96" w14:paraId="23C726B8" w14:textId="77777777" w:rsidTr="00E4241D">
        <w:tc>
          <w:tcPr>
            <w:tcW w:w="540" w:type="dxa"/>
            <w:shd w:val="clear" w:color="auto" w:fill="5200A4"/>
            <w:vAlign w:val="center"/>
          </w:tcPr>
          <w:p w14:paraId="2E70BDFA" w14:textId="77777777" w:rsidR="003C53BA" w:rsidRPr="00B06D96" w:rsidRDefault="003C53BA" w:rsidP="00A616A9">
            <w:pPr>
              <w:jc w:val="center"/>
              <w:rPr>
                <w:b/>
                <w:bCs/>
              </w:rPr>
            </w:pPr>
            <w:r w:rsidRPr="00B06D96">
              <w:rPr>
                <w:b/>
                <w:bCs/>
              </w:rPr>
              <w:t>#</w:t>
            </w:r>
          </w:p>
        </w:tc>
        <w:tc>
          <w:tcPr>
            <w:tcW w:w="9540" w:type="dxa"/>
            <w:shd w:val="clear" w:color="auto" w:fill="5200A4"/>
            <w:vAlign w:val="center"/>
          </w:tcPr>
          <w:p w14:paraId="3634F204" w14:textId="1E6D8DF6" w:rsidR="003C53BA" w:rsidRPr="00166743" w:rsidRDefault="003C53BA" w:rsidP="00B527B9">
            <w:pPr>
              <w:spacing w:before="60" w:after="60"/>
              <w:rPr>
                <w:b/>
                <w:bCs/>
              </w:rPr>
            </w:pPr>
            <w:r w:rsidRPr="00166743">
              <w:rPr>
                <w:b/>
                <w:bCs/>
              </w:rPr>
              <w:t>Category</w:t>
            </w:r>
          </w:p>
        </w:tc>
      </w:tr>
      <w:tr w:rsidR="003C53BA" w:rsidRPr="00B06D96" w14:paraId="45BFD055" w14:textId="77777777" w:rsidTr="00E4241D">
        <w:trPr>
          <w:trHeight w:val="1052"/>
        </w:trPr>
        <w:tc>
          <w:tcPr>
            <w:tcW w:w="540" w:type="dxa"/>
            <w:vAlign w:val="center"/>
          </w:tcPr>
          <w:p w14:paraId="2A252F38" w14:textId="25D01B8C" w:rsidR="003C53BA" w:rsidRPr="00487053" w:rsidRDefault="003C53BA" w:rsidP="00A616A9">
            <w:pPr>
              <w:jc w:val="center"/>
              <w:rPr>
                <w:b/>
                <w:bCs/>
              </w:rPr>
            </w:pPr>
            <w:r w:rsidRPr="00487053">
              <w:rPr>
                <w:b/>
                <w:bCs/>
              </w:rPr>
              <w:t>1</w:t>
            </w:r>
            <w:r w:rsidR="00D7680E" w:rsidRPr="00487053">
              <w:rPr>
                <w:b/>
                <w:bCs/>
              </w:rPr>
              <w:t>a</w:t>
            </w:r>
          </w:p>
        </w:tc>
        <w:tc>
          <w:tcPr>
            <w:tcW w:w="9540" w:type="dxa"/>
            <w:vAlign w:val="center"/>
          </w:tcPr>
          <w:p w14:paraId="4ED7C050" w14:textId="77777777" w:rsidR="00D7680E" w:rsidRPr="00166743" w:rsidRDefault="00D7680E" w:rsidP="00B527B9">
            <w:pPr>
              <w:spacing w:before="60"/>
            </w:pPr>
            <w:r w:rsidRPr="00166743">
              <w:t xml:space="preserve">Clinical studies of drugs for which an IND is not required. </w:t>
            </w:r>
          </w:p>
          <w:p w14:paraId="586129FE" w14:textId="678BA674" w:rsidR="003C53BA" w:rsidRPr="00166743" w:rsidRDefault="00EB0969" w:rsidP="00B527B9">
            <w:pPr>
              <w:pStyle w:val="ListParagraph"/>
              <w:numPr>
                <w:ilvl w:val="0"/>
                <w:numId w:val="31"/>
              </w:numPr>
              <w:spacing w:before="60" w:after="60"/>
              <w:contextualSpacing w:val="0"/>
            </w:pPr>
            <w:r w:rsidRPr="00166743">
              <w:t xml:space="preserve">Research on marketed drugs that significantly </w:t>
            </w:r>
            <w:r w:rsidR="00487053" w:rsidRPr="00166743">
              <w:t xml:space="preserve">increases the risk or decreases the acceptability of the risks associated with the use of the product is not eligible for expedited review. </w:t>
            </w:r>
          </w:p>
        </w:tc>
      </w:tr>
      <w:tr w:rsidR="003C53BA" w:rsidRPr="00B06D96" w14:paraId="7FD447AC" w14:textId="77777777" w:rsidTr="00E4241D">
        <w:trPr>
          <w:trHeight w:val="809"/>
        </w:trPr>
        <w:tc>
          <w:tcPr>
            <w:tcW w:w="540" w:type="dxa"/>
            <w:tcBorders>
              <w:bottom w:val="single" w:sz="4" w:space="0" w:color="auto"/>
            </w:tcBorders>
            <w:vAlign w:val="center"/>
          </w:tcPr>
          <w:p w14:paraId="6AA81BB4" w14:textId="3D3D300C" w:rsidR="003C53BA" w:rsidRPr="00487053" w:rsidRDefault="00487053" w:rsidP="00A616A9">
            <w:pPr>
              <w:jc w:val="center"/>
              <w:rPr>
                <w:b/>
                <w:bCs/>
              </w:rPr>
            </w:pPr>
            <w:r w:rsidRPr="00487053">
              <w:rPr>
                <w:b/>
                <w:bCs/>
              </w:rPr>
              <w:t>1b</w:t>
            </w:r>
          </w:p>
        </w:tc>
        <w:tc>
          <w:tcPr>
            <w:tcW w:w="9540" w:type="dxa"/>
            <w:tcBorders>
              <w:bottom w:val="single" w:sz="4" w:space="0" w:color="auto"/>
            </w:tcBorders>
            <w:vAlign w:val="center"/>
          </w:tcPr>
          <w:p w14:paraId="6149FD6A" w14:textId="40E1A33C" w:rsidR="003C53BA" w:rsidRPr="00166743" w:rsidRDefault="00487053" w:rsidP="00B527B9">
            <w:pPr>
              <w:spacing w:before="60" w:after="60"/>
            </w:pPr>
            <w:r w:rsidRPr="00166743">
              <w:t xml:space="preserve">Clinical studies of medical devices for which an IDE is not required, or the medical device is cleared/approved for </w:t>
            </w:r>
            <w:proofErr w:type="gramStart"/>
            <w:r w:rsidRPr="00166743">
              <w:t>marketing</w:t>
            </w:r>
            <w:proofErr w:type="gramEnd"/>
            <w:r w:rsidRPr="00166743">
              <w:t xml:space="preserve"> and the medical device is being used in accordance with cleared/approved labeling. </w:t>
            </w:r>
            <w:r w:rsidR="003C53BA" w:rsidRPr="00166743">
              <w:t xml:space="preserve"> </w:t>
            </w:r>
          </w:p>
        </w:tc>
      </w:tr>
      <w:tr w:rsidR="003C53BA" w:rsidRPr="00B06D96" w14:paraId="115CD3C2" w14:textId="77777777" w:rsidTr="00E4241D">
        <w:trPr>
          <w:trHeight w:val="1529"/>
        </w:trPr>
        <w:tc>
          <w:tcPr>
            <w:tcW w:w="540" w:type="dxa"/>
            <w:tcBorders>
              <w:bottom w:val="single" w:sz="4" w:space="0" w:color="auto"/>
            </w:tcBorders>
            <w:vAlign w:val="center"/>
          </w:tcPr>
          <w:p w14:paraId="0DCE821B" w14:textId="2FF8CB35" w:rsidR="003C53BA" w:rsidRPr="00487053" w:rsidRDefault="00487053" w:rsidP="00A616A9">
            <w:pPr>
              <w:jc w:val="center"/>
              <w:rPr>
                <w:b/>
                <w:bCs/>
              </w:rPr>
            </w:pPr>
            <w:r>
              <w:rPr>
                <w:b/>
                <w:bCs/>
              </w:rPr>
              <w:t>2a</w:t>
            </w:r>
          </w:p>
        </w:tc>
        <w:tc>
          <w:tcPr>
            <w:tcW w:w="9540" w:type="dxa"/>
            <w:tcBorders>
              <w:bottom w:val="single" w:sz="4" w:space="0" w:color="auto"/>
            </w:tcBorders>
            <w:vAlign w:val="center"/>
          </w:tcPr>
          <w:p w14:paraId="7AEB2C1A" w14:textId="5EE463CC" w:rsidR="003C53BA" w:rsidRPr="00166743" w:rsidRDefault="00487053" w:rsidP="000451A8">
            <w:pPr>
              <w:spacing w:before="60"/>
            </w:pPr>
            <w:r w:rsidRPr="00166743">
              <w:t xml:space="preserve">Collection of blood samples by finger stick, heel stick, ear stick, or venipuncture from healthy, non-pregnant adults who weigh </w:t>
            </w:r>
            <w:r w:rsidR="00341246" w:rsidRPr="00166743">
              <w:rPr>
                <w:rFonts w:cs="Calibri"/>
              </w:rPr>
              <w:t>≥</w:t>
            </w:r>
            <w:r w:rsidR="00341246" w:rsidRPr="00166743">
              <w:t xml:space="preserve">110 pounds, where the amount drawn is </w:t>
            </w:r>
            <w:r w:rsidR="00341246" w:rsidRPr="00166743">
              <w:rPr>
                <w:rFonts w:cs="Calibri"/>
              </w:rPr>
              <w:t>≤</w:t>
            </w:r>
            <w:r w:rsidR="00341246" w:rsidRPr="00166743">
              <w:t>550mL per 8</w:t>
            </w:r>
            <w:r w:rsidR="000C7B49" w:rsidRPr="00166743">
              <w:t>-</w:t>
            </w:r>
            <w:r w:rsidR="00341246" w:rsidRPr="00166743">
              <w:t>week period and collection occurs no more than 2 times per week.</w:t>
            </w:r>
          </w:p>
          <w:p w14:paraId="4661F995" w14:textId="6D4EFB77" w:rsidR="00341246" w:rsidRPr="00166743" w:rsidRDefault="00DE70E8" w:rsidP="00B527B9">
            <w:pPr>
              <w:pStyle w:val="ListParagraph"/>
              <w:numPr>
                <w:ilvl w:val="0"/>
                <w:numId w:val="31"/>
              </w:numPr>
              <w:spacing w:before="60" w:after="60"/>
              <w:contextualSpacing w:val="0"/>
            </w:pPr>
            <w:r w:rsidRPr="00166743">
              <w:t xml:space="preserve">Multiple withdrawals of blood from an indwelling venous line </w:t>
            </w:r>
            <w:proofErr w:type="gramStart"/>
            <w:r w:rsidRPr="00166743">
              <w:t>are considered to be</w:t>
            </w:r>
            <w:proofErr w:type="gramEnd"/>
            <w:r w:rsidRPr="00166743">
              <w:t xml:space="preserve"> multiple collections. </w:t>
            </w:r>
          </w:p>
        </w:tc>
      </w:tr>
      <w:tr w:rsidR="003051E7" w:rsidRPr="00B06D96" w14:paraId="0A5AC973" w14:textId="77777777" w:rsidTr="00E4241D">
        <w:trPr>
          <w:trHeight w:val="1439"/>
        </w:trPr>
        <w:tc>
          <w:tcPr>
            <w:tcW w:w="540" w:type="dxa"/>
            <w:tcBorders>
              <w:bottom w:val="single" w:sz="4" w:space="0" w:color="auto"/>
            </w:tcBorders>
            <w:vAlign w:val="center"/>
          </w:tcPr>
          <w:p w14:paraId="230DC187" w14:textId="08141126" w:rsidR="003051E7" w:rsidRDefault="003051E7" w:rsidP="00A616A9">
            <w:pPr>
              <w:jc w:val="center"/>
              <w:rPr>
                <w:b/>
                <w:bCs/>
              </w:rPr>
            </w:pPr>
            <w:r>
              <w:rPr>
                <w:b/>
                <w:bCs/>
              </w:rPr>
              <w:t>2b</w:t>
            </w:r>
          </w:p>
        </w:tc>
        <w:tc>
          <w:tcPr>
            <w:tcW w:w="9540" w:type="dxa"/>
            <w:tcBorders>
              <w:bottom w:val="single" w:sz="4" w:space="0" w:color="auto"/>
            </w:tcBorders>
            <w:vAlign w:val="center"/>
          </w:tcPr>
          <w:p w14:paraId="6A7D2EAD" w14:textId="77777777" w:rsidR="008E4119" w:rsidRPr="00166743" w:rsidRDefault="008E4119" w:rsidP="000451A8">
            <w:pPr>
              <w:spacing w:before="60"/>
            </w:pPr>
            <w:r w:rsidRPr="00166743">
              <w:t>Collection of blood samples by finger stick, heel stick, ear stick, or venipuncture from other adults and children, considering age, weight, and health of the subjects, the collection procedure, the amount of blood to be collected, and the frequency with which it will be collected.</w:t>
            </w:r>
          </w:p>
          <w:p w14:paraId="5F749543" w14:textId="33A342D2" w:rsidR="008E4119" w:rsidRPr="00166743" w:rsidRDefault="008E4119" w:rsidP="00117054">
            <w:pPr>
              <w:spacing w:before="60"/>
            </w:pPr>
            <w:r w:rsidRPr="00166743">
              <w:t xml:space="preserve">The amount of blood drawn may not exceed the lesser of 50mL or 3mL/kg in an </w:t>
            </w:r>
            <w:r w:rsidR="000C7B49" w:rsidRPr="00166743">
              <w:t>8-week</w:t>
            </w:r>
            <w:r w:rsidRPr="00166743">
              <w:t xml:space="preserve"> period and may not occur more frequently than 2 times per week. </w:t>
            </w:r>
          </w:p>
          <w:p w14:paraId="61C62A8A" w14:textId="51A7F7B1" w:rsidR="003051E7" w:rsidRPr="00166743" w:rsidRDefault="00BC3A57" w:rsidP="00B527B9">
            <w:pPr>
              <w:pStyle w:val="ListParagraph"/>
              <w:numPr>
                <w:ilvl w:val="0"/>
                <w:numId w:val="31"/>
              </w:numPr>
              <w:spacing w:before="60" w:after="60"/>
              <w:contextualSpacing w:val="0"/>
            </w:pPr>
            <w:r w:rsidRPr="00166743">
              <w:t xml:space="preserve">Seattle Children’s IRB provides a helpful </w:t>
            </w:r>
            <w:hyperlink r:id="rId15" w:history="1">
              <w:r w:rsidRPr="00166743">
                <w:rPr>
                  <w:rStyle w:val="Hyperlink"/>
                </w:rPr>
                <w:t>reference table</w:t>
              </w:r>
            </w:hyperlink>
            <w:r w:rsidRPr="00166743">
              <w:t xml:space="preserve"> for weights and associated expeditable blood volumes.</w:t>
            </w:r>
          </w:p>
        </w:tc>
      </w:tr>
      <w:tr w:rsidR="003C53BA" w:rsidRPr="00B06D96" w14:paraId="412FB0FE" w14:textId="77777777" w:rsidTr="00E4241D">
        <w:trPr>
          <w:trHeight w:val="3455"/>
        </w:trPr>
        <w:tc>
          <w:tcPr>
            <w:tcW w:w="540" w:type="dxa"/>
            <w:vAlign w:val="center"/>
          </w:tcPr>
          <w:p w14:paraId="313462D7" w14:textId="147B9FC4" w:rsidR="003C53BA" w:rsidRPr="00487053" w:rsidRDefault="00DE70E8" w:rsidP="00A616A9">
            <w:pPr>
              <w:jc w:val="center"/>
              <w:rPr>
                <w:b/>
                <w:bCs/>
              </w:rPr>
            </w:pPr>
            <w:r>
              <w:rPr>
                <w:b/>
                <w:bCs/>
              </w:rPr>
              <w:lastRenderedPageBreak/>
              <w:t>3</w:t>
            </w:r>
          </w:p>
        </w:tc>
        <w:tc>
          <w:tcPr>
            <w:tcW w:w="9540" w:type="dxa"/>
            <w:vAlign w:val="center"/>
          </w:tcPr>
          <w:p w14:paraId="3957ADC4" w14:textId="77777777" w:rsidR="003051E7" w:rsidRPr="00166743" w:rsidRDefault="003051E7" w:rsidP="003051E7">
            <w:pPr>
              <w:spacing w:before="60"/>
            </w:pPr>
            <w:r w:rsidRPr="00166743">
              <w:t>Prospective collection of biological specimens for research purposes by noninvasive means.</w:t>
            </w:r>
          </w:p>
          <w:p w14:paraId="41C08FC6" w14:textId="28A17AF6" w:rsidR="003C53BA" w:rsidRPr="00166743" w:rsidRDefault="003051E7" w:rsidP="00B527B9">
            <w:pPr>
              <w:spacing w:before="60" w:after="60"/>
              <w:ind w:left="706"/>
            </w:pPr>
            <w:r w:rsidRPr="00166743">
              <w:rPr>
                <w:b/>
                <w:bCs/>
              </w:rPr>
              <w:t xml:space="preserve">Examples: </w:t>
            </w:r>
            <w:r w:rsidRPr="00166743">
              <w:t>vaginal swabs that do not go beyond the cervical os; rectal swabs that do not go beyond the rectum; nasal swabs that do not go beyond the nares; hair and nail clippings in a non-disfiguring manner; deciduous teeth at the time of exfoliation or deciduous/permanent teeth if routine patient care indicates the need for extraction; excreta and external secretions (including sweat); uncannulated saliva collected either unstimulated or stimulated by chewing gum-base or wax or by applying dilute citric solution to the tongue; placenta removed at delivery; amniotic fluid obtained at the time of rupture of the membrane prior to or during labor; supra- and sub-gingival dental plaque and calculus, provided the collection procedure is not more invasive than routine prophylactic scaling of the teeth and the process is accomplished in accordance with accepted prophylactic techniques; mucosal and skin cells collected by buccal scraping or swab, skin swab, or mouth washings; sputum collection after saline mist nebulization.</w:t>
            </w:r>
          </w:p>
        </w:tc>
      </w:tr>
      <w:tr w:rsidR="003051E7" w:rsidRPr="00B06D96" w14:paraId="1E9884E6" w14:textId="77777777" w:rsidTr="00E4241D">
        <w:trPr>
          <w:trHeight w:val="3068"/>
        </w:trPr>
        <w:tc>
          <w:tcPr>
            <w:tcW w:w="540" w:type="dxa"/>
            <w:vAlign w:val="center"/>
          </w:tcPr>
          <w:p w14:paraId="4FFE0578" w14:textId="511EB7B6" w:rsidR="003051E7" w:rsidRDefault="000F1877" w:rsidP="00A616A9">
            <w:pPr>
              <w:jc w:val="center"/>
              <w:rPr>
                <w:b/>
                <w:bCs/>
              </w:rPr>
            </w:pPr>
            <w:r>
              <w:rPr>
                <w:b/>
                <w:bCs/>
              </w:rPr>
              <w:t>4</w:t>
            </w:r>
          </w:p>
        </w:tc>
        <w:tc>
          <w:tcPr>
            <w:tcW w:w="9540" w:type="dxa"/>
            <w:vAlign w:val="center"/>
          </w:tcPr>
          <w:p w14:paraId="7AF84F9B" w14:textId="77777777" w:rsidR="002E3F88" w:rsidRPr="00166743" w:rsidRDefault="002E3F88" w:rsidP="002E3F88">
            <w:pPr>
              <w:spacing w:before="60"/>
            </w:pPr>
            <w:r w:rsidRPr="00166743">
              <w:t>Collection of data through noninvasive procedures (not involving general anesthesia or sedation) routinely employed in clinical practice, excluding procedures involving x-rays or microwaves. Where medical devices are employed, they must be cleared/approved for marketing.</w:t>
            </w:r>
          </w:p>
          <w:p w14:paraId="5F24B74A" w14:textId="2312E426" w:rsidR="003051E7" w:rsidRPr="00166743" w:rsidRDefault="002E3F88" w:rsidP="00B527B9">
            <w:pPr>
              <w:spacing w:before="60" w:after="60"/>
              <w:ind w:left="706"/>
            </w:pPr>
            <w:r w:rsidRPr="00166743">
              <w:rPr>
                <w:b/>
                <w:bCs/>
              </w:rPr>
              <w:t xml:space="preserve">Examples: </w:t>
            </w:r>
            <w:r w:rsidRPr="00166743">
              <w:t>physical sensors that are applied either to the surface of the body or at a distance and do not involves input of significant amounts of energy into the subject or an invasion of the subject’s privacy; weight or testing sensory acuity; magnetic resonance imaging, excluding MRI with contrast dye; electrocardiography, electroencephalography, thermograph, detection of naturally occurring radioactivity; electroretinography, ultrasound, diagnostic infrared imaging, Doppler blood flow, and echocardiography; moderate exercise, muscle strength testing, body composition assessment, and flexibility testing where appropriate given the age, weight, and health of the individual.</w:t>
            </w:r>
          </w:p>
        </w:tc>
      </w:tr>
      <w:tr w:rsidR="002E3F88" w:rsidRPr="00B06D96" w14:paraId="0DBFF3F7" w14:textId="77777777" w:rsidTr="00E4241D">
        <w:trPr>
          <w:trHeight w:val="710"/>
        </w:trPr>
        <w:tc>
          <w:tcPr>
            <w:tcW w:w="540" w:type="dxa"/>
            <w:tcBorders>
              <w:bottom w:val="single" w:sz="4" w:space="0" w:color="auto"/>
            </w:tcBorders>
            <w:vAlign w:val="center"/>
          </w:tcPr>
          <w:p w14:paraId="53EB215E" w14:textId="17FEFD9C" w:rsidR="002E3F88" w:rsidRDefault="002E3F88" w:rsidP="00A616A9">
            <w:pPr>
              <w:jc w:val="center"/>
              <w:rPr>
                <w:b/>
                <w:bCs/>
              </w:rPr>
            </w:pPr>
            <w:r>
              <w:rPr>
                <w:b/>
                <w:bCs/>
              </w:rPr>
              <w:t>5</w:t>
            </w:r>
          </w:p>
        </w:tc>
        <w:tc>
          <w:tcPr>
            <w:tcW w:w="9540" w:type="dxa"/>
            <w:tcBorders>
              <w:bottom w:val="single" w:sz="4" w:space="0" w:color="auto"/>
            </w:tcBorders>
            <w:vAlign w:val="center"/>
          </w:tcPr>
          <w:p w14:paraId="7E6BEF15" w14:textId="0680B3B6" w:rsidR="002E3F88" w:rsidRPr="00166743" w:rsidRDefault="00D96AFF" w:rsidP="00B527B9">
            <w:pPr>
              <w:spacing w:before="60" w:after="60"/>
            </w:pPr>
            <w:r w:rsidRPr="00166743">
              <w:t>Research involving materials (data, documents, records, or specimens) that have been collected for any purpose or will be collected solely for non-research purposes.</w:t>
            </w:r>
          </w:p>
        </w:tc>
      </w:tr>
      <w:tr w:rsidR="002E3F88" w:rsidRPr="00B06D96" w14:paraId="7DA49A46" w14:textId="77777777" w:rsidTr="00E4241D">
        <w:trPr>
          <w:trHeight w:val="521"/>
        </w:trPr>
        <w:tc>
          <w:tcPr>
            <w:tcW w:w="540" w:type="dxa"/>
            <w:vAlign w:val="center"/>
          </w:tcPr>
          <w:p w14:paraId="71EEB6B9" w14:textId="01CC4AEC" w:rsidR="002E3F88" w:rsidRDefault="00D96AFF" w:rsidP="00A616A9">
            <w:pPr>
              <w:jc w:val="center"/>
              <w:rPr>
                <w:b/>
                <w:bCs/>
              </w:rPr>
            </w:pPr>
            <w:r>
              <w:rPr>
                <w:b/>
                <w:bCs/>
              </w:rPr>
              <w:t>6</w:t>
            </w:r>
          </w:p>
        </w:tc>
        <w:tc>
          <w:tcPr>
            <w:tcW w:w="9540" w:type="dxa"/>
            <w:vAlign w:val="center"/>
          </w:tcPr>
          <w:p w14:paraId="6DE4CD4B" w14:textId="20EA89D4" w:rsidR="002E3F88" w:rsidRPr="00166743" w:rsidRDefault="000451A8" w:rsidP="00B527B9">
            <w:pPr>
              <w:spacing w:before="60" w:after="60"/>
            </w:pPr>
            <w:r w:rsidRPr="00166743">
              <w:t>Collection of data from voice, video, digital, or image recordings made for research purposes.</w:t>
            </w:r>
          </w:p>
        </w:tc>
      </w:tr>
      <w:tr w:rsidR="004D1DB9" w:rsidRPr="00B06D96" w14:paraId="2A658D99" w14:textId="77777777" w:rsidTr="00E4241D">
        <w:trPr>
          <w:trHeight w:val="1619"/>
        </w:trPr>
        <w:tc>
          <w:tcPr>
            <w:tcW w:w="540" w:type="dxa"/>
            <w:vAlign w:val="center"/>
          </w:tcPr>
          <w:p w14:paraId="2A53AF64" w14:textId="14F5E91F" w:rsidR="004D1DB9" w:rsidRDefault="004D1DB9" w:rsidP="004D1DB9">
            <w:pPr>
              <w:jc w:val="center"/>
              <w:rPr>
                <w:b/>
                <w:bCs/>
              </w:rPr>
            </w:pPr>
            <w:r>
              <w:rPr>
                <w:b/>
                <w:bCs/>
              </w:rPr>
              <w:t>7</w:t>
            </w:r>
          </w:p>
        </w:tc>
        <w:tc>
          <w:tcPr>
            <w:tcW w:w="9540" w:type="dxa"/>
            <w:vAlign w:val="center"/>
          </w:tcPr>
          <w:p w14:paraId="7166569E" w14:textId="77777777" w:rsidR="004D1DB9" w:rsidRPr="00166743" w:rsidRDefault="004D1DB9" w:rsidP="004D1DB9">
            <w:pPr>
              <w:spacing w:before="60"/>
            </w:pPr>
            <w:r w:rsidRPr="00166743">
              <w:t xml:space="preserve">Research or individual or group characteristics or behavior or research employing survey, interview, oral history, focus group, program evaluation, human factors evaluation, or quality assurance methodologies. </w:t>
            </w:r>
          </w:p>
          <w:p w14:paraId="677C6618" w14:textId="7E15D0C6" w:rsidR="004D1DB9" w:rsidRPr="00166743" w:rsidRDefault="004D1DB9" w:rsidP="00B527B9">
            <w:pPr>
              <w:spacing w:before="60" w:after="60"/>
              <w:ind w:left="708"/>
            </w:pPr>
            <w:r w:rsidRPr="00166743">
              <w:rPr>
                <w:b/>
                <w:bCs/>
              </w:rPr>
              <w:t xml:space="preserve">Examples: </w:t>
            </w:r>
            <w:r w:rsidRPr="00166743">
              <w:t>Research on perception, cognition, motivation, identity, language, communication, cultural beliefs or practices, and social behavior; or research employing survey, interview, oral history, focus group, program evaluation, human factors evaluation, or quality assurance methodologies.</w:t>
            </w:r>
          </w:p>
        </w:tc>
      </w:tr>
      <w:tr w:rsidR="009070F0" w:rsidRPr="00B06D96" w14:paraId="18456476" w14:textId="77777777" w:rsidTr="00E4241D">
        <w:trPr>
          <w:trHeight w:val="1781"/>
        </w:trPr>
        <w:tc>
          <w:tcPr>
            <w:tcW w:w="540" w:type="dxa"/>
            <w:vAlign w:val="center"/>
          </w:tcPr>
          <w:p w14:paraId="4C5F5342" w14:textId="2506E502" w:rsidR="009070F0" w:rsidRDefault="006735EF" w:rsidP="004D1DB9">
            <w:pPr>
              <w:jc w:val="center"/>
              <w:rPr>
                <w:b/>
                <w:bCs/>
              </w:rPr>
            </w:pPr>
            <w:r>
              <w:rPr>
                <w:b/>
                <w:bCs/>
              </w:rPr>
              <w:t>8a</w:t>
            </w:r>
          </w:p>
        </w:tc>
        <w:tc>
          <w:tcPr>
            <w:tcW w:w="9540" w:type="dxa"/>
            <w:vAlign w:val="center"/>
          </w:tcPr>
          <w:p w14:paraId="527387FE" w14:textId="77777777" w:rsidR="006735EF" w:rsidRPr="00166743" w:rsidRDefault="006735EF" w:rsidP="00611365">
            <w:pPr>
              <w:spacing w:before="60"/>
            </w:pPr>
            <w:r w:rsidRPr="00166743">
              <w:t>Continuing review of research previously approved by the convened IRB where: 1) the research is permanently closed to the enrollment of new subjects; 2) all subjects have completed all research-related interventions; and 3) the research remains active only for long-term follow-up of subjects.</w:t>
            </w:r>
          </w:p>
          <w:p w14:paraId="1B1CB327" w14:textId="77777777" w:rsidR="006735EF" w:rsidRPr="00166743" w:rsidRDefault="006735EF" w:rsidP="006735EF">
            <w:pPr>
              <w:pStyle w:val="ListParagraph"/>
              <w:numPr>
                <w:ilvl w:val="0"/>
                <w:numId w:val="7"/>
              </w:numPr>
              <w:spacing w:before="60" w:after="60"/>
            </w:pPr>
            <w:r w:rsidRPr="00166743">
              <w:t xml:space="preserve">Research for which research-related interventions are still occurring (even if </w:t>
            </w:r>
            <w:proofErr w:type="gramStart"/>
            <w:r w:rsidRPr="00166743">
              <w:t>minimal</w:t>
            </w:r>
            <w:proofErr w:type="gramEnd"/>
            <w:r w:rsidRPr="00166743">
              <w:t xml:space="preserve"> risk) does not qualify for this category.</w:t>
            </w:r>
          </w:p>
          <w:p w14:paraId="0009EFE9" w14:textId="6183DF5C" w:rsidR="009070F0" w:rsidRPr="00166743" w:rsidRDefault="006735EF" w:rsidP="006735EF">
            <w:pPr>
              <w:pStyle w:val="ListParagraph"/>
              <w:numPr>
                <w:ilvl w:val="0"/>
                <w:numId w:val="7"/>
              </w:numPr>
              <w:spacing w:before="60" w:after="60"/>
            </w:pPr>
            <w:r w:rsidRPr="00166743">
              <w:t>For a multi-center protocol, an expedited review procedure may be used by the IRB for a particular site whenever these conditions are satisfied for that site.</w:t>
            </w:r>
          </w:p>
        </w:tc>
      </w:tr>
      <w:tr w:rsidR="006735EF" w:rsidRPr="00B06D96" w14:paraId="2A3A08F1" w14:textId="77777777" w:rsidTr="00E4241D">
        <w:trPr>
          <w:trHeight w:val="962"/>
        </w:trPr>
        <w:tc>
          <w:tcPr>
            <w:tcW w:w="540" w:type="dxa"/>
            <w:vAlign w:val="center"/>
          </w:tcPr>
          <w:p w14:paraId="241FB5C9" w14:textId="35A66C6B" w:rsidR="006735EF" w:rsidRDefault="006735EF" w:rsidP="004D1DB9">
            <w:pPr>
              <w:jc w:val="center"/>
              <w:rPr>
                <w:b/>
                <w:bCs/>
              </w:rPr>
            </w:pPr>
            <w:r>
              <w:rPr>
                <w:b/>
                <w:bCs/>
              </w:rPr>
              <w:lastRenderedPageBreak/>
              <w:t>8b</w:t>
            </w:r>
          </w:p>
        </w:tc>
        <w:tc>
          <w:tcPr>
            <w:tcW w:w="9540" w:type="dxa"/>
            <w:vAlign w:val="center"/>
          </w:tcPr>
          <w:p w14:paraId="6F8DB3DD" w14:textId="307D2CD2" w:rsidR="006735EF" w:rsidRPr="00166743" w:rsidRDefault="00291A51" w:rsidP="00B527B9">
            <w:pPr>
              <w:spacing w:before="60" w:after="60"/>
            </w:pPr>
            <w:r w:rsidRPr="00166743">
              <w:t>Continuing review of research previously approved by the convened IRB where no subjects have ever been enrolled at a particular site and neither the investigator nor the IRB at a particular site has identified any additional risks from any site or other relevant source.</w:t>
            </w:r>
          </w:p>
        </w:tc>
      </w:tr>
      <w:tr w:rsidR="00291A51" w:rsidRPr="00B06D96" w14:paraId="24D1E415" w14:textId="77777777" w:rsidTr="00E4241D">
        <w:trPr>
          <w:trHeight w:val="2699"/>
        </w:trPr>
        <w:tc>
          <w:tcPr>
            <w:tcW w:w="540" w:type="dxa"/>
            <w:vAlign w:val="center"/>
          </w:tcPr>
          <w:p w14:paraId="083E36B8" w14:textId="38C5DC5F" w:rsidR="00291A51" w:rsidRDefault="00F86F05" w:rsidP="004D1DB9">
            <w:pPr>
              <w:jc w:val="center"/>
              <w:rPr>
                <w:b/>
                <w:bCs/>
              </w:rPr>
            </w:pPr>
            <w:r>
              <w:rPr>
                <w:b/>
                <w:bCs/>
              </w:rPr>
              <w:t>8c</w:t>
            </w:r>
          </w:p>
        </w:tc>
        <w:tc>
          <w:tcPr>
            <w:tcW w:w="9540" w:type="dxa"/>
            <w:vAlign w:val="center"/>
          </w:tcPr>
          <w:p w14:paraId="48B6DC08" w14:textId="77777777" w:rsidR="00A92B46" w:rsidRPr="00166743" w:rsidRDefault="00A92B46" w:rsidP="00A92B46">
            <w:pPr>
              <w:spacing w:before="60" w:after="60"/>
            </w:pPr>
            <w:r w:rsidRPr="00166743">
              <w:t xml:space="preserve">Continuing review of research previously approved by the convened IRB where the remaining research activities are limited to data analysis. </w:t>
            </w:r>
          </w:p>
          <w:p w14:paraId="136EADB9" w14:textId="77777777" w:rsidR="00A92B46" w:rsidRPr="00166743" w:rsidRDefault="00A92B46" w:rsidP="00A92B46">
            <w:pPr>
              <w:pStyle w:val="ListParagraph"/>
              <w:numPr>
                <w:ilvl w:val="0"/>
                <w:numId w:val="8"/>
              </w:numPr>
              <w:spacing w:before="60" w:after="60"/>
              <w:ind w:left="775"/>
            </w:pPr>
            <w:r w:rsidRPr="00166743">
              <w:t xml:space="preserve">The first time an application is reviewed under category 8c, the designated review includes a careful look at prior safety data, RNIs, or other information about research risks to subjects that may need to be addressed. Once this initial assessment is complete, and it is determined there are no subject safety considerations, subsequent reviews under category 8c do not require this same additional analysis. </w:t>
            </w:r>
          </w:p>
          <w:p w14:paraId="55C5EAEA" w14:textId="0D265A9B" w:rsidR="00291A51" w:rsidRPr="00166743" w:rsidRDefault="00A92B46" w:rsidP="00B527B9">
            <w:pPr>
              <w:pStyle w:val="ListParagraph"/>
              <w:numPr>
                <w:ilvl w:val="0"/>
                <w:numId w:val="8"/>
              </w:numPr>
              <w:spacing w:before="60" w:after="60"/>
              <w:ind w:left="778"/>
              <w:contextualSpacing w:val="0"/>
            </w:pPr>
            <w:r w:rsidRPr="00166743">
              <w:t>For a multi-center protocol, an expedited review procedure may be used by the IRB for a particular site whenever these conditions are satisfied for that site.</w:t>
            </w:r>
          </w:p>
        </w:tc>
      </w:tr>
      <w:tr w:rsidR="00A92B46" w:rsidRPr="00B06D96" w14:paraId="5D17423F" w14:textId="77777777" w:rsidTr="00E4241D">
        <w:trPr>
          <w:trHeight w:val="1853"/>
        </w:trPr>
        <w:tc>
          <w:tcPr>
            <w:tcW w:w="540" w:type="dxa"/>
            <w:tcBorders>
              <w:bottom w:val="single" w:sz="4" w:space="0" w:color="auto"/>
            </w:tcBorders>
            <w:vAlign w:val="center"/>
          </w:tcPr>
          <w:p w14:paraId="3435F398" w14:textId="24187C15" w:rsidR="00A92B46" w:rsidRDefault="00101E22" w:rsidP="004D1DB9">
            <w:pPr>
              <w:jc w:val="center"/>
              <w:rPr>
                <w:b/>
                <w:bCs/>
              </w:rPr>
            </w:pPr>
            <w:r>
              <w:rPr>
                <w:b/>
                <w:bCs/>
              </w:rPr>
              <w:t>9</w:t>
            </w:r>
          </w:p>
        </w:tc>
        <w:tc>
          <w:tcPr>
            <w:tcW w:w="9540" w:type="dxa"/>
            <w:tcBorders>
              <w:bottom w:val="single" w:sz="4" w:space="0" w:color="auto"/>
            </w:tcBorders>
            <w:vAlign w:val="center"/>
          </w:tcPr>
          <w:p w14:paraId="39B39197" w14:textId="34F2EBD8" w:rsidR="00101E22" w:rsidRPr="00166743" w:rsidRDefault="00101E22" w:rsidP="00101E22">
            <w:pPr>
              <w:spacing w:before="60"/>
            </w:pPr>
            <w:r w:rsidRPr="00166743">
              <w:t xml:space="preserve">Continuing review of research that: </w:t>
            </w:r>
            <w:r w:rsidR="00B527B9" w:rsidRPr="00166743">
              <w:rPr>
                <w:b/>
                <w:bCs/>
              </w:rPr>
              <w:t>(</w:t>
            </w:r>
            <w:r w:rsidRPr="00166743">
              <w:rPr>
                <w:b/>
                <w:bCs/>
              </w:rPr>
              <w:t xml:space="preserve">1) </w:t>
            </w:r>
            <w:r w:rsidRPr="00166743">
              <w:t xml:space="preserve">is not conducted under an IND or IDE; </w:t>
            </w:r>
            <w:r w:rsidR="00B527B9" w:rsidRPr="00166743">
              <w:rPr>
                <w:b/>
                <w:bCs/>
              </w:rPr>
              <w:t>(</w:t>
            </w:r>
            <w:r w:rsidRPr="00166743">
              <w:rPr>
                <w:b/>
                <w:bCs/>
              </w:rPr>
              <w:t xml:space="preserve">2) </w:t>
            </w:r>
            <w:r w:rsidRPr="00166743">
              <w:t xml:space="preserve">does not fit into expedited categories 2-8; </w:t>
            </w:r>
            <w:r w:rsidR="00B527B9" w:rsidRPr="00166743">
              <w:rPr>
                <w:b/>
                <w:bCs/>
              </w:rPr>
              <w:t>(</w:t>
            </w:r>
            <w:r w:rsidRPr="00166743">
              <w:rPr>
                <w:b/>
                <w:bCs/>
              </w:rPr>
              <w:t>3)</w:t>
            </w:r>
            <w:r w:rsidRPr="00166743">
              <w:t xml:space="preserve"> is no greater than minimal risk as documented and determined by the IRB at a convened meeting; </w:t>
            </w:r>
            <w:r w:rsidR="00B527B9" w:rsidRPr="00166743">
              <w:rPr>
                <w:b/>
                <w:bCs/>
              </w:rPr>
              <w:t>(</w:t>
            </w:r>
            <w:r w:rsidRPr="00166743">
              <w:rPr>
                <w:b/>
                <w:bCs/>
              </w:rPr>
              <w:t>4)</w:t>
            </w:r>
            <w:r w:rsidRPr="00166743">
              <w:t xml:space="preserve"> the IRB has not identified any additional risks; </w:t>
            </w:r>
            <w:r w:rsidRPr="00166743">
              <w:rPr>
                <w:b/>
                <w:bCs/>
              </w:rPr>
              <w:t xml:space="preserve">and </w:t>
            </w:r>
            <w:r w:rsidR="00B527B9" w:rsidRPr="00166743">
              <w:rPr>
                <w:b/>
                <w:bCs/>
              </w:rPr>
              <w:t>(</w:t>
            </w:r>
            <w:r w:rsidRPr="00166743">
              <w:rPr>
                <w:b/>
                <w:bCs/>
              </w:rPr>
              <w:t>5)</w:t>
            </w:r>
            <w:r w:rsidRPr="00166743">
              <w:t xml:space="preserve"> the IRB chair or designee has made a determination that no additional risks have been identified.</w:t>
            </w:r>
          </w:p>
          <w:p w14:paraId="14CED03C" w14:textId="38E51A22" w:rsidR="00A92B46" w:rsidRPr="00166743" w:rsidRDefault="00101E22" w:rsidP="00B527B9">
            <w:pPr>
              <w:pStyle w:val="ListParagraph"/>
              <w:numPr>
                <w:ilvl w:val="0"/>
                <w:numId w:val="32"/>
              </w:numPr>
              <w:spacing w:before="60" w:after="60"/>
              <w:contextualSpacing w:val="0"/>
            </w:pPr>
            <w:r w:rsidRPr="00166743">
              <w:t>Research that qualifies as expedited category 9 could be eligible for expedited review as early as the first continuing review.</w:t>
            </w:r>
          </w:p>
        </w:tc>
      </w:tr>
    </w:tbl>
    <w:p w14:paraId="15EBC22B" w14:textId="77777777" w:rsidR="00EE2A8B" w:rsidRDefault="00EE2A8B"/>
    <w:p w14:paraId="66CD4D6A" w14:textId="55535906" w:rsidR="00CB05D3" w:rsidRDefault="00CB05D3" w:rsidP="00CB05D3">
      <w:pPr>
        <w:pStyle w:val="Heading1"/>
      </w:pPr>
      <w:r>
        <w:t>RELATED MATERIALS</w:t>
      </w:r>
    </w:p>
    <w:p w14:paraId="68368A9F" w14:textId="77777777" w:rsidR="00EE2A8B" w:rsidRDefault="00EE2A8B" w:rsidP="00B527B9">
      <w:pPr>
        <w:ind w:left="180"/>
        <w:rPr>
          <w:b/>
          <w:bCs/>
        </w:rPr>
      </w:pPr>
    </w:p>
    <w:p w14:paraId="0784E428" w14:textId="77777777" w:rsidR="00E64423" w:rsidRDefault="00E64423" w:rsidP="00B527B9">
      <w:pPr>
        <w:ind w:left="180"/>
      </w:pPr>
      <w:hyperlink r:id="rId16" w:history="1">
        <w:r w:rsidRPr="006F756F">
          <w:rPr>
            <w:rStyle w:val="Hyperlink"/>
          </w:rPr>
          <w:t>SOP Pre-Review</w:t>
        </w:r>
      </w:hyperlink>
    </w:p>
    <w:p w14:paraId="10318DCE" w14:textId="77777777" w:rsidR="00E64423" w:rsidRPr="00274D06" w:rsidRDefault="00E64423" w:rsidP="00B527B9">
      <w:pPr>
        <w:ind w:left="180"/>
        <w:rPr>
          <w:color w:val="0563C1" w:themeColor="hyperlink"/>
          <w:u w:val="single"/>
        </w:rPr>
      </w:pPr>
      <w:hyperlink r:id="rId17" w:history="1">
        <w:r w:rsidRPr="006F756F">
          <w:rPr>
            <w:rStyle w:val="Hyperlink"/>
          </w:rPr>
          <w:t>SOP IRB Review</w:t>
        </w:r>
      </w:hyperlink>
    </w:p>
    <w:p w14:paraId="5819BEF3" w14:textId="77777777" w:rsidR="00E64423" w:rsidRDefault="00E64423" w:rsidP="00B527B9">
      <w:pPr>
        <w:ind w:left="180"/>
        <w:rPr>
          <w:rStyle w:val="Hyperlink"/>
        </w:rPr>
      </w:pPr>
      <w:hyperlink r:id="rId18" w:history="1">
        <w:r w:rsidRPr="006F756F">
          <w:rPr>
            <w:rStyle w:val="Hyperlink"/>
          </w:rPr>
          <w:t xml:space="preserve">WORKSHEET Criteria for </w:t>
        </w:r>
        <w:r>
          <w:rPr>
            <w:rStyle w:val="Hyperlink"/>
          </w:rPr>
          <w:t xml:space="preserve">IRB </w:t>
        </w:r>
        <w:r w:rsidRPr="006F756F">
          <w:rPr>
            <w:rStyle w:val="Hyperlink"/>
          </w:rPr>
          <w:t>Approval</w:t>
        </w:r>
      </w:hyperlink>
    </w:p>
    <w:p w14:paraId="6EBF4312" w14:textId="77777777" w:rsidR="00E64423" w:rsidRDefault="00E64423" w:rsidP="00B527B9">
      <w:pPr>
        <w:ind w:left="180"/>
      </w:pPr>
      <w:hyperlink r:id="rId19" w:history="1">
        <w:r w:rsidRPr="00274D06">
          <w:rPr>
            <w:rStyle w:val="Hyperlink"/>
          </w:rPr>
          <w:t>WORKSHEET Prisoners</w:t>
        </w:r>
      </w:hyperlink>
    </w:p>
    <w:p w14:paraId="297B7A57" w14:textId="77777777" w:rsidR="008E1EBA" w:rsidRDefault="008E1EBA" w:rsidP="00B527B9">
      <w:pPr>
        <w:ind w:left="180"/>
      </w:pPr>
    </w:p>
    <w:p w14:paraId="0B44F336" w14:textId="7D560717" w:rsidR="008E1EBA" w:rsidRPr="006F756F" w:rsidRDefault="008E1EBA" w:rsidP="008E1EBA">
      <w:pPr>
        <w:pStyle w:val="Heading1"/>
      </w:pPr>
      <w:r>
        <w:t xml:space="preserve">REGULATORY REFERENCES </w:t>
      </w:r>
    </w:p>
    <w:p w14:paraId="6A677F81" w14:textId="77777777" w:rsidR="00215B3F" w:rsidRDefault="00215B3F">
      <w:pPr>
        <w:rPr>
          <w:b/>
          <w:bCs/>
        </w:rPr>
      </w:pPr>
    </w:p>
    <w:p w14:paraId="77996B16" w14:textId="77777777" w:rsidR="00E43EC6" w:rsidRDefault="00E43EC6" w:rsidP="00B527B9">
      <w:pPr>
        <w:ind w:left="360" w:hanging="270"/>
      </w:pPr>
      <w:bookmarkStart w:id="2" w:name="_Hlk94705093"/>
      <w:r>
        <w:t>45 CFR 46.110 [pre-2018 requirements and 2018 requirements]</w:t>
      </w:r>
    </w:p>
    <w:p w14:paraId="53AE1A8F" w14:textId="77777777" w:rsidR="00E43EC6" w:rsidRDefault="00E43EC6" w:rsidP="00B527B9">
      <w:pPr>
        <w:ind w:left="360" w:hanging="270"/>
      </w:pPr>
      <w:r>
        <w:t>21 CFR 56.110</w:t>
      </w:r>
    </w:p>
    <w:p w14:paraId="593DCB9F" w14:textId="77777777" w:rsidR="00E43EC6" w:rsidRDefault="00E43EC6" w:rsidP="00B527B9">
      <w:pPr>
        <w:ind w:left="360" w:hanging="270"/>
      </w:pPr>
      <w:r>
        <w:t>OHRP email communication to UW; July 22, 2014; “Expedited Category 9”</w:t>
      </w:r>
    </w:p>
    <w:p w14:paraId="32B96D47" w14:textId="77777777" w:rsidR="00E43EC6" w:rsidRDefault="00E43EC6" w:rsidP="00B527B9">
      <w:pPr>
        <w:ind w:left="360" w:hanging="270"/>
      </w:pPr>
      <w:r>
        <w:t xml:space="preserve">OHRP, “Memorandum to the Cancer Therapy Evaluation Program (CTEP) of the National Cancer Institute Regarding IRB Review of Protocol and Informed Consent Changes”, 9/29/08 </w:t>
      </w:r>
      <w:hyperlink r:id="rId20" w:history="1">
        <w:r w:rsidRPr="008609D1">
          <w:rPr>
            <w:rStyle w:val="Hyperlink"/>
          </w:rPr>
          <w:t>link</w:t>
        </w:r>
      </w:hyperlink>
    </w:p>
    <w:p w14:paraId="0EA20075" w14:textId="0E964AE6" w:rsidR="00E43EC6" w:rsidRDefault="00E43EC6" w:rsidP="00B527B9">
      <w:pPr>
        <w:ind w:left="360" w:hanging="270"/>
      </w:pPr>
      <w:r>
        <w:t>OHRP Guidance, “Expedited Review Procedure</w:t>
      </w:r>
      <w:r w:rsidR="007F4AF8">
        <w:t>,”</w:t>
      </w:r>
      <w:r>
        <w:t xml:space="preserve"> August 11, 2003</w:t>
      </w:r>
    </w:p>
    <w:p w14:paraId="77F83CCD" w14:textId="77777777" w:rsidR="00E43EC6" w:rsidRDefault="00E43EC6" w:rsidP="00B527B9">
      <w:pPr>
        <w:ind w:left="360" w:hanging="270"/>
      </w:pPr>
      <w:r>
        <w:t>OHRP Guidance, “Clarification of non-invasive” in expedited category 3”. OHRP website, posting date not provided.</w:t>
      </w:r>
    </w:p>
    <w:p w14:paraId="09417C70" w14:textId="77777777" w:rsidR="00E43EC6" w:rsidRDefault="00E43EC6" w:rsidP="00B527B9">
      <w:pPr>
        <w:ind w:left="360" w:hanging="270"/>
      </w:pPr>
      <w:r>
        <w:t>OHRP Guidance, “Categories of Research That May Be Reviewed by the Institutional Review Board (IRB) Through and Expedited Procedures”, November 9, 1998</w:t>
      </w:r>
    </w:p>
    <w:p w14:paraId="304F80D2" w14:textId="77777777" w:rsidR="00E43EC6" w:rsidRDefault="00E43EC6" w:rsidP="00B527B9">
      <w:pPr>
        <w:ind w:left="360" w:hanging="270"/>
      </w:pPr>
      <w:r>
        <w:t>FDA, “Categories of Research That May Be Reviewed by the Institutional Review Board Through an Expedited Procedure; Federal Register; November 9, 1998; volume 63, number 216, page 60353-60356.</w:t>
      </w:r>
    </w:p>
    <w:bookmarkEnd w:id="2"/>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64534E" w:rsidRPr="00D26748" w14:paraId="485AB2AE"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67A24" w14:textId="20C0429F" w:rsidR="0064534E" w:rsidRDefault="0064534E" w:rsidP="0040109F">
            <w:pPr>
              <w:pStyle w:val="NoSpacing"/>
              <w:jc w:val="center"/>
              <w:rPr>
                <w:rFonts w:ascii="Calibri" w:eastAsiaTheme="majorEastAsia" w:hAnsi="Calibri" w:cstheme="majorBidi"/>
                <w:szCs w:val="26"/>
              </w:rPr>
            </w:pPr>
            <w:r>
              <w:rPr>
                <w:rFonts w:ascii="Calibri" w:eastAsiaTheme="majorEastAsia" w:hAnsi="Calibri" w:cstheme="majorBidi"/>
                <w:szCs w:val="26"/>
              </w:rPr>
              <w:lastRenderedPageBreak/>
              <w:t>2.3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48830E" w14:textId="57AB5CD8" w:rsidR="0064534E" w:rsidRDefault="001422CD" w:rsidP="0040109F">
            <w:pPr>
              <w:pStyle w:val="NoSpacing"/>
              <w:jc w:val="center"/>
              <w:rPr>
                <w:rFonts w:ascii="Calibri" w:eastAsiaTheme="majorEastAsia" w:hAnsi="Calibri" w:cstheme="majorBidi"/>
              </w:rPr>
            </w:pPr>
            <w:r>
              <w:rPr>
                <w:rFonts w:ascii="Calibri" w:eastAsiaTheme="majorEastAsia" w:hAnsi="Calibri" w:cstheme="majorBidi"/>
              </w:rPr>
              <w:t>04.02.2026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890F8" w14:textId="34D06859" w:rsidR="0064534E" w:rsidRDefault="001422CD" w:rsidP="0040109F">
            <w:pPr>
              <w:pStyle w:val="NoSpacing"/>
              <w:jc w:val="center"/>
              <w:rPr>
                <w:rFonts w:ascii="Calibri" w:eastAsiaTheme="majorEastAsia" w:hAnsi="Calibri" w:cstheme="majorBidi"/>
              </w:rPr>
            </w:pPr>
            <w:r>
              <w:rPr>
                <w:rFonts w:ascii="Calibri" w:eastAsiaTheme="majorEastAsia" w:hAnsi="Calibri" w:cstheme="majorBidi"/>
              </w:rPr>
              <w:t>04.02.2026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3E4E9D" w14:textId="4797AE9F" w:rsidR="0064534E" w:rsidRDefault="0064534E" w:rsidP="0040109F">
            <w:pPr>
              <w:pStyle w:val="NoSpacing"/>
              <w:rPr>
                <w:rFonts w:ascii="Calibri" w:eastAsiaTheme="majorEastAsia" w:hAnsi="Calibri" w:cstheme="majorBidi"/>
                <w:szCs w:val="26"/>
              </w:rPr>
            </w:pPr>
            <w:r>
              <w:rPr>
                <w:rFonts w:ascii="Calibri" w:eastAsiaTheme="majorEastAsia" w:hAnsi="Calibri" w:cstheme="majorBidi"/>
                <w:szCs w:val="26"/>
              </w:rPr>
              <w:t>Accessibility updates</w:t>
            </w:r>
          </w:p>
        </w:tc>
      </w:tr>
      <w:tr w:rsidR="0040109F" w:rsidRPr="00D26748" w14:paraId="4940FB9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750B4" w14:textId="2337C2D1" w:rsidR="0040109F" w:rsidRDefault="0040109F" w:rsidP="0040109F">
            <w:pPr>
              <w:pStyle w:val="NoSpacing"/>
              <w:jc w:val="center"/>
              <w:rPr>
                <w:rFonts w:ascii="Calibri" w:eastAsiaTheme="majorEastAsia" w:hAnsi="Calibri" w:cstheme="majorBidi"/>
                <w:szCs w:val="26"/>
              </w:rPr>
            </w:pPr>
            <w:r>
              <w:rPr>
                <w:rFonts w:ascii="Calibri" w:eastAsiaTheme="majorEastAsia" w:hAnsi="Calibri" w:cstheme="majorBidi"/>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FCE79" w14:textId="2D3988D8" w:rsidR="0040109F" w:rsidRPr="1301FCCD" w:rsidRDefault="0040109F" w:rsidP="0040109F">
            <w:pPr>
              <w:pStyle w:val="NoSpacing"/>
              <w:jc w:val="center"/>
              <w:rPr>
                <w:rFonts w:ascii="Calibri" w:eastAsiaTheme="majorEastAsia" w:hAnsi="Calibri" w:cstheme="majorBidi"/>
              </w:rPr>
            </w:pPr>
            <w:r>
              <w:rPr>
                <w:rFonts w:ascii="Calibri" w:eastAsiaTheme="majorEastAsia" w:hAnsi="Calibri" w:cstheme="majorBidi"/>
              </w:rPr>
              <w:t>08.26.2021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0E3ED" w14:textId="134393CC" w:rsidR="0040109F" w:rsidRDefault="0040109F" w:rsidP="0040109F">
            <w:pPr>
              <w:pStyle w:val="NoSpacing"/>
              <w:jc w:val="center"/>
              <w:rPr>
                <w:rFonts w:ascii="Calibri" w:eastAsiaTheme="majorEastAsia" w:hAnsi="Calibri" w:cstheme="majorBidi"/>
                <w:szCs w:val="26"/>
              </w:rPr>
            </w:pPr>
            <w:r>
              <w:rPr>
                <w:rFonts w:ascii="Calibri" w:eastAsiaTheme="majorEastAsia" w:hAnsi="Calibri" w:cstheme="majorBidi"/>
              </w:rPr>
              <w:t>08.26.2021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4F17D" w14:textId="2289BDF8" w:rsidR="0040109F" w:rsidRDefault="0040109F" w:rsidP="0040109F">
            <w:pPr>
              <w:pStyle w:val="NoSpacing"/>
              <w:rPr>
                <w:rFonts w:ascii="Calibri" w:eastAsiaTheme="majorEastAsia" w:hAnsi="Calibri" w:cstheme="majorBidi"/>
                <w:szCs w:val="26"/>
              </w:rPr>
            </w:pPr>
            <w:r>
              <w:rPr>
                <w:rFonts w:ascii="Calibri" w:eastAsiaTheme="majorEastAsia" w:hAnsi="Calibri" w:cstheme="majorBidi"/>
                <w:szCs w:val="26"/>
              </w:rPr>
              <w:t xml:space="preserve">Clarify expedited review eligibility for modifications </w:t>
            </w:r>
            <w:proofErr w:type="gramStart"/>
            <w:r>
              <w:rPr>
                <w:rFonts w:ascii="Calibri" w:eastAsiaTheme="majorEastAsia" w:hAnsi="Calibri" w:cstheme="majorBidi"/>
                <w:szCs w:val="26"/>
              </w:rPr>
              <w:t>to</w:t>
            </w:r>
            <w:proofErr w:type="gramEnd"/>
            <w:r>
              <w:rPr>
                <w:rFonts w:ascii="Calibri" w:eastAsiaTheme="majorEastAsia" w:hAnsi="Calibri" w:cstheme="majorBidi"/>
                <w:szCs w:val="26"/>
              </w:rPr>
              <w:t xml:space="preserve">, and continuing review of research that includes </w:t>
            </w:r>
            <w:proofErr w:type="gramStart"/>
            <w:r>
              <w:rPr>
                <w:rFonts w:ascii="Calibri" w:eastAsiaTheme="majorEastAsia" w:hAnsi="Calibri" w:cstheme="majorBidi"/>
                <w:szCs w:val="26"/>
              </w:rPr>
              <w:t>prisoner</w:t>
            </w:r>
            <w:proofErr w:type="gramEnd"/>
            <w:r>
              <w:rPr>
                <w:rFonts w:ascii="Calibri" w:eastAsiaTheme="majorEastAsia" w:hAnsi="Calibri" w:cstheme="majorBidi"/>
                <w:szCs w:val="26"/>
              </w:rPr>
              <w:t xml:space="preserve"> populations</w:t>
            </w:r>
          </w:p>
        </w:tc>
      </w:tr>
      <w:tr w:rsidR="000559F1" w:rsidRPr="00D26748" w14:paraId="2CA90ED1"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1BE79" w14:textId="59B0204D" w:rsidR="000559F1" w:rsidRDefault="000559F1" w:rsidP="000559F1">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52323" w14:textId="54D41ABD" w:rsidR="000559F1" w:rsidRDefault="000559F1" w:rsidP="000559F1">
            <w:pPr>
              <w:pStyle w:val="NoSpacing"/>
              <w:jc w:val="center"/>
              <w:rPr>
                <w:rFonts w:ascii="Calibri" w:eastAsiaTheme="majorEastAsia" w:hAnsi="Calibri" w:cstheme="majorBidi"/>
              </w:rPr>
            </w:pPr>
            <w:r>
              <w:rPr>
                <w:rFonts w:ascii="Calibri" w:eastAsiaTheme="majorEastAsia" w:hAnsi="Calibri" w:cstheme="majorBidi"/>
              </w:rPr>
              <w:t>04.29.2021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1E73C" w14:textId="6812ACA9" w:rsidR="000559F1" w:rsidRDefault="000559F1" w:rsidP="000559F1">
            <w:pPr>
              <w:pStyle w:val="NoSpacing"/>
              <w:jc w:val="center"/>
              <w:rPr>
                <w:rFonts w:ascii="Calibri" w:eastAsiaTheme="majorEastAsia" w:hAnsi="Calibri" w:cstheme="majorBidi"/>
              </w:rPr>
            </w:pPr>
            <w:r>
              <w:rPr>
                <w:rFonts w:ascii="Calibri" w:eastAsiaTheme="majorEastAsia" w:hAnsi="Calibri" w:cstheme="majorBidi"/>
              </w:rPr>
              <w:t>04.29.2021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A0A365" w14:textId="2F76ADBB" w:rsidR="000559F1" w:rsidRDefault="000559F1" w:rsidP="000559F1">
            <w:pPr>
              <w:pStyle w:val="NoSpacing"/>
              <w:rPr>
                <w:rFonts w:ascii="Calibri" w:eastAsiaTheme="majorEastAsia" w:hAnsi="Calibri" w:cstheme="majorBidi"/>
                <w:szCs w:val="26"/>
              </w:rPr>
            </w:pPr>
            <w:r>
              <w:rPr>
                <w:rFonts w:ascii="Calibri" w:eastAsiaTheme="majorEastAsia" w:hAnsi="Calibri" w:cstheme="majorBidi"/>
                <w:szCs w:val="26"/>
              </w:rPr>
              <w:t>Revisions to ‘guidance’ and sections 1-3 primarily related to prisoner research.</w:t>
            </w:r>
          </w:p>
        </w:tc>
      </w:tr>
      <w:tr w:rsidR="003016EC" w:rsidRPr="00D26748" w14:paraId="11F35387"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FABC4" w14:textId="2A3F61A5" w:rsidR="003016EC" w:rsidRDefault="003016EC" w:rsidP="003016EC">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D7124" w14:textId="5C91B4FB" w:rsidR="003016EC" w:rsidRDefault="003016EC" w:rsidP="003016EC">
            <w:pPr>
              <w:pStyle w:val="NoSpacing"/>
              <w:jc w:val="center"/>
              <w:rPr>
                <w:rFonts w:ascii="Calibri" w:eastAsiaTheme="majorEastAsia" w:hAnsi="Calibri" w:cstheme="majorBidi"/>
              </w:rPr>
            </w:pPr>
            <w:r>
              <w:rPr>
                <w:rFonts w:ascii="Calibri" w:eastAsiaTheme="majorEastAsia" w:hAnsi="Calibri" w:cstheme="majorBidi"/>
              </w:rPr>
              <w:t>06.26.2020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A647E" w14:textId="5CD8EA4E" w:rsidR="003016EC" w:rsidRDefault="003016EC" w:rsidP="003016EC">
            <w:pPr>
              <w:pStyle w:val="NoSpacing"/>
              <w:jc w:val="center"/>
              <w:rPr>
                <w:rFonts w:ascii="Calibri" w:eastAsiaTheme="majorEastAsia" w:hAnsi="Calibri" w:cstheme="majorBidi"/>
              </w:rPr>
            </w:pPr>
            <w:r>
              <w:rPr>
                <w:rFonts w:ascii="Calibri" w:eastAsiaTheme="majorEastAsia" w:hAnsi="Calibri" w:cstheme="majorBidi"/>
              </w:rPr>
              <w:t>06.26.2020</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E1D9F" w14:textId="08A1AC79" w:rsidR="003016EC" w:rsidRDefault="003016EC" w:rsidP="003016EC">
            <w:pPr>
              <w:pStyle w:val="NoSpacing"/>
              <w:rPr>
                <w:rFonts w:ascii="Calibri" w:eastAsiaTheme="majorEastAsia" w:hAnsi="Calibri" w:cstheme="majorBidi"/>
                <w:szCs w:val="26"/>
              </w:rPr>
            </w:pPr>
            <w:r>
              <w:rPr>
                <w:rFonts w:ascii="Calibri" w:eastAsiaTheme="majorEastAsia" w:hAnsi="Calibri" w:cstheme="majorBidi"/>
                <w:szCs w:val="26"/>
              </w:rPr>
              <w:t>Significant reorganization of content and addition of content from other SOPs that are being retired; update title; update formatting</w:t>
            </w:r>
          </w:p>
        </w:tc>
      </w:tr>
      <w:tr w:rsidR="00FE7C31" w:rsidRPr="00D26748" w14:paraId="74107CD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38E52" w14:textId="38A9C691" w:rsidR="00FE7C31" w:rsidRDefault="00FE7C31" w:rsidP="00FE7C31">
            <w:pPr>
              <w:pStyle w:val="NoSpacing"/>
              <w:jc w:val="center"/>
              <w:rPr>
                <w:rFonts w:ascii="Calibri" w:eastAsiaTheme="majorEastAsia" w:hAnsi="Calibri" w:cstheme="majorBidi"/>
                <w:szCs w:val="26"/>
              </w:rPr>
            </w:pPr>
            <w:r>
              <w:rPr>
                <w:rFonts w:ascii="Calibri" w:eastAsiaTheme="majorEastAsia" w:hAnsi="Calibri" w:cstheme="majorBidi"/>
                <w:color w:val="000000" w:themeColor="text1"/>
                <w:szCs w:val="26"/>
              </w:rPr>
              <w:t>1.5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7AB3E" w14:textId="64337A59" w:rsidR="00FE7C31" w:rsidRDefault="00FE7C31" w:rsidP="00FE7C31">
            <w:pPr>
              <w:pStyle w:val="NoSpacing"/>
              <w:jc w:val="center"/>
              <w:rPr>
                <w:rFonts w:ascii="Calibri" w:eastAsiaTheme="majorEastAsia" w:hAnsi="Calibri" w:cstheme="majorBidi"/>
              </w:rPr>
            </w:pPr>
            <w:r>
              <w:rPr>
                <w:rFonts w:ascii="Calibri" w:eastAsiaTheme="majorEastAsia" w:hAnsi="Calibri" w:cstheme="majorBidi"/>
                <w:color w:val="000000" w:themeColor="text1"/>
                <w:szCs w:val="26"/>
              </w:rPr>
              <w:t>01.30.2017</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13FFD" w14:textId="25E981B9" w:rsidR="00FE7C31" w:rsidRDefault="00FE7C31" w:rsidP="00FE7C31">
            <w:pPr>
              <w:pStyle w:val="NoSpacing"/>
              <w:jc w:val="center"/>
              <w:rPr>
                <w:rFonts w:ascii="Calibri" w:eastAsiaTheme="majorEastAsia" w:hAnsi="Calibri" w:cstheme="majorBidi"/>
              </w:rPr>
            </w:pPr>
            <w:r>
              <w:rPr>
                <w:rFonts w:ascii="Calibri" w:eastAsiaTheme="majorEastAsia" w:hAnsi="Calibri" w:cstheme="majorBidi"/>
                <w:color w:val="000000" w:themeColor="text1"/>
                <w:szCs w:val="26"/>
              </w:rPr>
              <w:t>01.30.2017</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0BE46" w14:textId="0A226470" w:rsidR="00FE7C31" w:rsidRDefault="00FE7C31" w:rsidP="00FE7C31">
            <w:pPr>
              <w:pStyle w:val="NoSpacing"/>
              <w:rPr>
                <w:rFonts w:ascii="Calibri" w:eastAsiaTheme="majorEastAsia" w:hAnsi="Calibri" w:cstheme="majorBidi"/>
                <w:szCs w:val="26"/>
              </w:rPr>
            </w:pPr>
            <w:r w:rsidRPr="00820B6D">
              <w:rPr>
                <w:rFonts w:ascii="Calibri" w:eastAsiaTheme="majorEastAsia" w:hAnsi="Calibri" w:cstheme="majorBidi"/>
                <w:color w:val="000000" w:themeColor="text1"/>
                <w:szCs w:val="26"/>
              </w:rPr>
              <w:t>Added explanation for question 2.3 - that the study must be currently approved under categories 1 through 7</w:t>
            </w:r>
          </w:p>
        </w:tc>
      </w:tr>
      <w:tr w:rsidR="00941A09"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941A09" w:rsidRDefault="00941A09" w:rsidP="00941A0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941A09" w:rsidRDefault="00941A09" w:rsidP="00941A09">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941A09" w:rsidRDefault="00941A09" w:rsidP="00941A09">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0BB5B499" w:rsidR="00941A09" w:rsidRPr="00135B00" w:rsidRDefault="00941A09" w:rsidP="00941A09">
            <w:pPr>
              <w:pStyle w:val="NoSpacing"/>
              <w:rPr>
                <w:rFonts w:ascii="Calibri" w:eastAsiaTheme="majorEastAsia" w:hAnsi="Calibri" w:cstheme="majorBidi"/>
                <w:color w:val="000000" w:themeColor="text1"/>
                <w:szCs w:val="26"/>
              </w:rPr>
            </w:pPr>
            <w:r>
              <w:rPr>
                <w:bCs/>
              </w:rPr>
              <w:t xml:space="preserve">For older versions: HSD Staff - see the SharePoint Document Library; Others - contact </w:t>
            </w:r>
            <w:hyperlink r:id="rId21" w:history="1">
              <w:r w:rsidRPr="005F7CAC">
                <w:rPr>
                  <w:rStyle w:val="Hyperlink"/>
                  <w:bCs/>
                </w:rPr>
                <w:t>hsdinfo@uw.edu</w:t>
              </w:r>
            </w:hyperlink>
            <w:r>
              <w:rPr>
                <w:bCs/>
              </w:rPr>
              <w:t>.</w:t>
            </w:r>
          </w:p>
        </w:tc>
      </w:tr>
    </w:tbl>
    <w:p w14:paraId="492B8A0B" w14:textId="34C3D3E9"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941A09">
        <w:rPr>
          <w:rFonts w:cs="Calibri"/>
          <w:sz w:val="18"/>
          <w:szCs w:val="18"/>
        </w:rPr>
        <w:t>Continuing review; IRB review; Modification; Prisoners</w:t>
      </w:r>
    </w:p>
    <w:sectPr w:rsidR="00F06C39" w:rsidRPr="00AA3F9D" w:rsidSect="00EF57B9">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B7E6" w14:textId="77777777" w:rsidR="00A00837" w:rsidRDefault="00A00837" w:rsidP="008212BD">
      <w:r>
        <w:separator/>
      </w:r>
    </w:p>
  </w:endnote>
  <w:endnote w:type="continuationSeparator" w:id="0">
    <w:p w14:paraId="41BD410C" w14:textId="77777777" w:rsidR="00A00837" w:rsidRDefault="00A00837"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C29C" w14:textId="6B94BF41" w:rsidR="00697E3E" w:rsidRDefault="00697E3E" w:rsidP="00697E3E">
    <w:pPr>
      <w:pStyle w:val="Footer"/>
      <w:tabs>
        <w:tab w:val="clear" w:pos="4680"/>
        <w:tab w:val="clear" w:pos="9360"/>
        <w:tab w:val="center" w:pos="5310"/>
        <w:tab w:val="right" w:pos="10800"/>
      </w:tabs>
    </w:pPr>
    <w:r w:rsidRPr="005031DB">
      <w:rPr>
        <w:rFonts w:cs="Calibri"/>
        <w:sz w:val="18"/>
        <w:szCs w:val="18"/>
      </w:rPr>
      <w:t xml:space="preserve">Date Posted </w:t>
    </w:r>
    <w:r w:rsidR="001422CD">
      <w:rPr>
        <w:rFonts w:cs="Calibri"/>
        <w:sz w:val="18"/>
        <w:szCs w:val="18"/>
      </w:rPr>
      <w:t>04.02.2026</w:t>
    </w:r>
  </w:p>
  <w:p w14:paraId="583BD794" w14:textId="10E897C4" w:rsidR="00697E3E" w:rsidRDefault="00697E3E" w:rsidP="00697E3E">
    <w:pPr>
      <w:pStyle w:val="Footer"/>
      <w:tabs>
        <w:tab w:val="clear" w:pos="4680"/>
        <w:tab w:val="clear" w:pos="9360"/>
        <w:tab w:val="center" w:pos="5310"/>
        <w:tab w:val="right" w:pos="10800"/>
      </w:tabs>
      <w:rPr>
        <w:rFonts w:cs="Calibri"/>
        <w:sz w:val="18"/>
        <w:szCs w:val="18"/>
      </w:rPr>
    </w:pPr>
    <w:r>
      <w:rPr>
        <w:rFonts w:cs="Calibri"/>
        <w:sz w:val="18"/>
        <w:szCs w:val="18"/>
      </w:rPr>
      <w:t xml:space="preserve">WORKSHEET Expedited Review </w:t>
    </w:r>
  </w:p>
  <w:p w14:paraId="0ACA1AD1" w14:textId="2CC3FAD3" w:rsidR="00697E3E" w:rsidRDefault="00697E3E" w:rsidP="00697E3E">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2.3</w:t>
    </w:r>
  </w:p>
  <w:p w14:paraId="0673736F" w14:textId="77777777" w:rsidR="00697E3E" w:rsidRPr="00A57212" w:rsidRDefault="00697E3E" w:rsidP="00697E3E">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A2A4" w14:textId="77777777" w:rsidR="00A00837" w:rsidRDefault="00A00837" w:rsidP="008212BD">
      <w:r>
        <w:separator/>
      </w:r>
    </w:p>
  </w:footnote>
  <w:footnote w:type="continuationSeparator" w:id="0">
    <w:p w14:paraId="37053BD8" w14:textId="77777777" w:rsidR="00A00837" w:rsidRDefault="00A00837"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A7F"/>
    <w:multiLevelType w:val="hybridMultilevel"/>
    <w:tmpl w:val="97BE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70741"/>
    <w:multiLevelType w:val="hybridMultilevel"/>
    <w:tmpl w:val="AF28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8276CA1"/>
    <w:multiLevelType w:val="hybridMultilevel"/>
    <w:tmpl w:val="C666E06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46F1466A"/>
    <w:multiLevelType w:val="hybridMultilevel"/>
    <w:tmpl w:val="524C954E"/>
    <w:lvl w:ilvl="0" w:tplc="71FC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B4CBD"/>
    <w:multiLevelType w:val="hybridMultilevel"/>
    <w:tmpl w:val="CD24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42DB3"/>
    <w:multiLevelType w:val="hybridMultilevel"/>
    <w:tmpl w:val="43A69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06E77"/>
    <w:multiLevelType w:val="multilevel"/>
    <w:tmpl w:val="66FE8E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D454D"/>
    <w:multiLevelType w:val="hybridMultilevel"/>
    <w:tmpl w:val="B43A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037FE"/>
    <w:multiLevelType w:val="hybridMultilevel"/>
    <w:tmpl w:val="B39E68D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5"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9"/>
  </w:num>
  <w:num w:numId="2" w16cid:durableId="56980175">
    <w:abstractNumId w:val="12"/>
  </w:num>
  <w:num w:numId="3" w16cid:durableId="1981643860">
    <w:abstractNumId w:val="33"/>
  </w:num>
  <w:num w:numId="4" w16cid:durableId="789588117">
    <w:abstractNumId w:val="35"/>
  </w:num>
  <w:num w:numId="5" w16cid:durableId="1031413638">
    <w:abstractNumId w:val="1"/>
  </w:num>
  <w:num w:numId="6" w16cid:durableId="1084113241">
    <w:abstractNumId w:val="28"/>
  </w:num>
  <w:num w:numId="7" w16cid:durableId="1153524209">
    <w:abstractNumId w:val="4"/>
  </w:num>
  <w:num w:numId="8" w16cid:durableId="1165825522">
    <w:abstractNumId w:val="8"/>
  </w:num>
  <w:num w:numId="9" w16cid:durableId="214463615">
    <w:abstractNumId w:val="5"/>
  </w:num>
  <w:num w:numId="10" w16cid:durableId="640578230">
    <w:abstractNumId w:val="16"/>
  </w:num>
  <w:num w:numId="11" w16cid:durableId="808473260">
    <w:abstractNumId w:val="21"/>
  </w:num>
  <w:num w:numId="12" w16cid:durableId="1044981425">
    <w:abstractNumId w:val="18"/>
  </w:num>
  <w:num w:numId="13" w16cid:durableId="76948576">
    <w:abstractNumId w:val="34"/>
  </w:num>
  <w:num w:numId="14" w16cid:durableId="151989050">
    <w:abstractNumId w:val="13"/>
  </w:num>
  <w:num w:numId="15" w16cid:durableId="1170216852">
    <w:abstractNumId w:val="7"/>
  </w:num>
  <w:num w:numId="16" w16cid:durableId="34160750">
    <w:abstractNumId w:val="25"/>
  </w:num>
  <w:num w:numId="17" w16cid:durableId="92091696">
    <w:abstractNumId w:val="3"/>
  </w:num>
  <w:num w:numId="18" w16cid:durableId="1814174005">
    <w:abstractNumId w:val="30"/>
  </w:num>
  <w:num w:numId="19" w16cid:durableId="855314039">
    <w:abstractNumId w:val="17"/>
  </w:num>
  <w:num w:numId="20" w16cid:durableId="140270774">
    <w:abstractNumId w:val="10"/>
  </w:num>
  <w:num w:numId="21" w16cid:durableId="1151169682">
    <w:abstractNumId w:val="6"/>
  </w:num>
  <w:num w:numId="22" w16cid:durableId="1640719368">
    <w:abstractNumId w:val="14"/>
  </w:num>
  <w:num w:numId="23" w16cid:durableId="926114417">
    <w:abstractNumId w:val="9"/>
  </w:num>
  <w:num w:numId="24" w16cid:durableId="345134893">
    <w:abstractNumId w:val="26"/>
  </w:num>
  <w:num w:numId="25" w16cid:durableId="1280182912">
    <w:abstractNumId w:val="27"/>
  </w:num>
  <w:num w:numId="26" w16cid:durableId="1491868446">
    <w:abstractNumId w:val="20"/>
  </w:num>
  <w:num w:numId="27" w16cid:durableId="1860895228">
    <w:abstractNumId w:val="32"/>
  </w:num>
  <w:num w:numId="28" w16cid:durableId="763303607">
    <w:abstractNumId w:val="11"/>
  </w:num>
  <w:num w:numId="29" w16cid:durableId="819152696">
    <w:abstractNumId w:val="31"/>
  </w:num>
  <w:num w:numId="30" w16cid:durableId="297495110">
    <w:abstractNumId w:val="22"/>
  </w:num>
  <w:num w:numId="31" w16cid:durableId="1748266736">
    <w:abstractNumId w:val="15"/>
  </w:num>
  <w:num w:numId="32" w16cid:durableId="1743526151">
    <w:abstractNumId w:val="29"/>
  </w:num>
  <w:num w:numId="33" w16cid:durableId="1041171711">
    <w:abstractNumId w:val="2"/>
  </w:num>
  <w:num w:numId="34" w16cid:durableId="68306328">
    <w:abstractNumId w:val="24"/>
  </w:num>
  <w:num w:numId="35" w16cid:durableId="2036880221">
    <w:abstractNumId w:val="0"/>
  </w:num>
  <w:num w:numId="36" w16cid:durableId="678970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114D"/>
    <w:rsid w:val="00016C61"/>
    <w:rsid w:val="00021B70"/>
    <w:rsid w:val="00024BA1"/>
    <w:rsid w:val="00025715"/>
    <w:rsid w:val="00031C71"/>
    <w:rsid w:val="00034501"/>
    <w:rsid w:val="000451A8"/>
    <w:rsid w:val="0004640F"/>
    <w:rsid w:val="0005362F"/>
    <w:rsid w:val="000559F1"/>
    <w:rsid w:val="00056D3E"/>
    <w:rsid w:val="0006009F"/>
    <w:rsid w:val="000616CA"/>
    <w:rsid w:val="00072281"/>
    <w:rsid w:val="00074432"/>
    <w:rsid w:val="000B0C16"/>
    <w:rsid w:val="000B1C08"/>
    <w:rsid w:val="000C7B49"/>
    <w:rsid w:val="000D18CF"/>
    <w:rsid w:val="000E61F3"/>
    <w:rsid w:val="000F1877"/>
    <w:rsid w:val="00101E22"/>
    <w:rsid w:val="001043DB"/>
    <w:rsid w:val="00104A02"/>
    <w:rsid w:val="0011321B"/>
    <w:rsid w:val="00117054"/>
    <w:rsid w:val="001258D0"/>
    <w:rsid w:val="00127687"/>
    <w:rsid w:val="00130298"/>
    <w:rsid w:val="001422CD"/>
    <w:rsid w:val="00143E29"/>
    <w:rsid w:val="0015137A"/>
    <w:rsid w:val="00164EAF"/>
    <w:rsid w:val="00166743"/>
    <w:rsid w:val="00170479"/>
    <w:rsid w:val="001744BE"/>
    <w:rsid w:val="00182379"/>
    <w:rsid w:val="001A253A"/>
    <w:rsid w:val="001A5B40"/>
    <w:rsid w:val="001B2FD6"/>
    <w:rsid w:val="001B6E80"/>
    <w:rsid w:val="001C1F68"/>
    <w:rsid w:val="001C27DB"/>
    <w:rsid w:val="001D22E5"/>
    <w:rsid w:val="001D32D3"/>
    <w:rsid w:val="001D44BD"/>
    <w:rsid w:val="001D79FC"/>
    <w:rsid w:val="001E191D"/>
    <w:rsid w:val="001E66E0"/>
    <w:rsid w:val="001F417A"/>
    <w:rsid w:val="001F602D"/>
    <w:rsid w:val="001F786F"/>
    <w:rsid w:val="00207336"/>
    <w:rsid w:val="00215B3F"/>
    <w:rsid w:val="00232177"/>
    <w:rsid w:val="00243A0D"/>
    <w:rsid w:val="00244B9F"/>
    <w:rsid w:val="00247A00"/>
    <w:rsid w:val="00247F4C"/>
    <w:rsid w:val="002530D6"/>
    <w:rsid w:val="00254EEF"/>
    <w:rsid w:val="0026635F"/>
    <w:rsid w:val="002714CF"/>
    <w:rsid w:val="002738A8"/>
    <w:rsid w:val="002805AE"/>
    <w:rsid w:val="00291A51"/>
    <w:rsid w:val="002A472C"/>
    <w:rsid w:val="002A4FC6"/>
    <w:rsid w:val="002B5406"/>
    <w:rsid w:val="002E26E6"/>
    <w:rsid w:val="002E33A6"/>
    <w:rsid w:val="002E3F88"/>
    <w:rsid w:val="002E5EF1"/>
    <w:rsid w:val="00300E7F"/>
    <w:rsid w:val="003016EC"/>
    <w:rsid w:val="00304D8D"/>
    <w:rsid w:val="003051E7"/>
    <w:rsid w:val="003211A1"/>
    <w:rsid w:val="00326662"/>
    <w:rsid w:val="003356DC"/>
    <w:rsid w:val="00341246"/>
    <w:rsid w:val="00344CF0"/>
    <w:rsid w:val="00354B0F"/>
    <w:rsid w:val="00357FF4"/>
    <w:rsid w:val="00364F50"/>
    <w:rsid w:val="003769D7"/>
    <w:rsid w:val="00376B3A"/>
    <w:rsid w:val="003A06FA"/>
    <w:rsid w:val="003B06D5"/>
    <w:rsid w:val="003C1000"/>
    <w:rsid w:val="003C1E3C"/>
    <w:rsid w:val="003C53BA"/>
    <w:rsid w:val="003C56B4"/>
    <w:rsid w:val="003F7536"/>
    <w:rsid w:val="0040109F"/>
    <w:rsid w:val="0040301C"/>
    <w:rsid w:val="00410B2E"/>
    <w:rsid w:val="00414618"/>
    <w:rsid w:val="004301DE"/>
    <w:rsid w:val="004409D4"/>
    <w:rsid w:val="004513AB"/>
    <w:rsid w:val="0045374B"/>
    <w:rsid w:val="00481CFB"/>
    <w:rsid w:val="00486010"/>
    <w:rsid w:val="00487053"/>
    <w:rsid w:val="00490142"/>
    <w:rsid w:val="004A1C89"/>
    <w:rsid w:val="004A576A"/>
    <w:rsid w:val="004A5B52"/>
    <w:rsid w:val="004B0EDE"/>
    <w:rsid w:val="004C0295"/>
    <w:rsid w:val="004C4E10"/>
    <w:rsid w:val="004D1DB9"/>
    <w:rsid w:val="004D360F"/>
    <w:rsid w:val="004E7E43"/>
    <w:rsid w:val="004F7585"/>
    <w:rsid w:val="005030EA"/>
    <w:rsid w:val="00514240"/>
    <w:rsid w:val="005402AD"/>
    <w:rsid w:val="005440A5"/>
    <w:rsid w:val="00546CA7"/>
    <w:rsid w:val="00551469"/>
    <w:rsid w:val="00555B89"/>
    <w:rsid w:val="005609B6"/>
    <w:rsid w:val="00561CEA"/>
    <w:rsid w:val="005809E9"/>
    <w:rsid w:val="005848FF"/>
    <w:rsid w:val="005914C6"/>
    <w:rsid w:val="005A3E50"/>
    <w:rsid w:val="005C258E"/>
    <w:rsid w:val="005C5DDA"/>
    <w:rsid w:val="005D2AAD"/>
    <w:rsid w:val="005D4C8E"/>
    <w:rsid w:val="006078D6"/>
    <w:rsid w:val="00611365"/>
    <w:rsid w:val="00613131"/>
    <w:rsid w:val="00613A6B"/>
    <w:rsid w:val="00627DEF"/>
    <w:rsid w:val="00633217"/>
    <w:rsid w:val="00636297"/>
    <w:rsid w:val="00636AF6"/>
    <w:rsid w:val="0064534E"/>
    <w:rsid w:val="006454D9"/>
    <w:rsid w:val="00656A4C"/>
    <w:rsid w:val="006633C5"/>
    <w:rsid w:val="006735EF"/>
    <w:rsid w:val="00673A7A"/>
    <w:rsid w:val="00697E3E"/>
    <w:rsid w:val="006A79C3"/>
    <w:rsid w:val="006B47FF"/>
    <w:rsid w:val="006C6C13"/>
    <w:rsid w:val="006D0168"/>
    <w:rsid w:val="006F756F"/>
    <w:rsid w:val="00707158"/>
    <w:rsid w:val="0071030F"/>
    <w:rsid w:val="00710429"/>
    <w:rsid w:val="00721935"/>
    <w:rsid w:val="00722AB1"/>
    <w:rsid w:val="0073128A"/>
    <w:rsid w:val="00735BFD"/>
    <w:rsid w:val="007367C4"/>
    <w:rsid w:val="00751DA4"/>
    <w:rsid w:val="00752787"/>
    <w:rsid w:val="00753C5C"/>
    <w:rsid w:val="00786B32"/>
    <w:rsid w:val="00796DF8"/>
    <w:rsid w:val="007C4328"/>
    <w:rsid w:val="007C55DE"/>
    <w:rsid w:val="007C7E27"/>
    <w:rsid w:val="007D09F3"/>
    <w:rsid w:val="007D448B"/>
    <w:rsid w:val="007E100C"/>
    <w:rsid w:val="007E1BEF"/>
    <w:rsid w:val="007E1E0E"/>
    <w:rsid w:val="007E2BA5"/>
    <w:rsid w:val="007E784E"/>
    <w:rsid w:val="007F4AF8"/>
    <w:rsid w:val="007F536B"/>
    <w:rsid w:val="007F6076"/>
    <w:rsid w:val="00801979"/>
    <w:rsid w:val="00813A5D"/>
    <w:rsid w:val="00820236"/>
    <w:rsid w:val="00820B6D"/>
    <w:rsid w:val="008212BD"/>
    <w:rsid w:val="008221CA"/>
    <w:rsid w:val="008458C5"/>
    <w:rsid w:val="008601F4"/>
    <w:rsid w:val="00861E44"/>
    <w:rsid w:val="008639D4"/>
    <w:rsid w:val="008671D7"/>
    <w:rsid w:val="008675B6"/>
    <w:rsid w:val="00885832"/>
    <w:rsid w:val="00894E5E"/>
    <w:rsid w:val="00895C3D"/>
    <w:rsid w:val="008A0DA1"/>
    <w:rsid w:val="008A0F42"/>
    <w:rsid w:val="008A3BB8"/>
    <w:rsid w:val="008B6D0F"/>
    <w:rsid w:val="008D60DC"/>
    <w:rsid w:val="008D6EBD"/>
    <w:rsid w:val="008E1EBA"/>
    <w:rsid w:val="008E4119"/>
    <w:rsid w:val="008F2875"/>
    <w:rsid w:val="00903811"/>
    <w:rsid w:val="009070F0"/>
    <w:rsid w:val="00911CDB"/>
    <w:rsid w:val="00912EB3"/>
    <w:rsid w:val="00917183"/>
    <w:rsid w:val="00923354"/>
    <w:rsid w:val="00925E1C"/>
    <w:rsid w:val="0093251D"/>
    <w:rsid w:val="009400E5"/>
    <w:rsid w:val="00941A09"/>
    <w:rsid w:val="00942827"/>
    <w:rsid w:val="0094577D"/>
    <w:rsid w:val="00961369"/>
    <w:rsid w:val="00977B9D"/>
    <w:rsid w:val="0098273F"/>
    <w:rsid w:val="0098595A"/>
    <w:rsid w:val="009A048D"/>
    <w:rsid w:val="009B4302"/>
    <w:rsid w:val="009B666D"/>
    <w:rsid w:val="009D21A4"/>
    <w:rsid w:val="009D5581"/>
    <w:rsid w:val="009E7CAE"/>
    <w:rsid w:val="009F1778"/>
    <w:rsid w:val="009F750C"/>
    <w:rsid w:val="00A00837"/>
    <w:rsid w:val="00A02692"/>
    <w:rsid w:val="00A07FE9"/>
    <w:rsid w:val="00A110DD"/>
    <w:rsid w:val="00A11AE3"/>
    <w:rsid w:val="00A37BCB"/>
    <w:rsid w:val="00A62865"/>
    <w:rsid w:val="00A62F41"/>
    <w:rsid w:val="00A652A5"/>
    <w:rsid w:val="00A70BD9"/>
    <w:rsid w:val="00A8082D"/>
    <w:rsid w:val="00A86708"/>
    <w:rsid w:val="00A92B46"/>
    <w:rsid w:val="00A96E33"/>
    <w:rsid w:val="00AA3F9D"/>
    <w:rsid w:val="00AB1AE1"/>
    <w:rsid w:val="00AB3329"/>
    <w:rsid w:val="00AB4286"/>
    <w:rsid w:val="00AD050B"/>
    <w:rsid w:val="00AD0514"/>
    <w:rsid w:val="00AE201A"/>
    <w:rsid w:val="00AE3E7F"/>
    <w:rsid w:val="00AF4EDC"/>
    <w:rsid w:val="00B06CB1"/>
    <w:rsid w:val="00B06D96"/>
    <w:rsid w:val="00B36AE0"/>
    <w:rsid w:val="00B527B9"/>
    <w:rsid w:val="00B70D65"/>
    <w:rsid w:val="00B71101"/>
    <w:rsid w:val="00B76CE9"/>
    <w:rsid w:val="00B96530"/>
    <w:rsid w:val="00BA0551"/>
    <w:rsid w:val="00BA086C"/>
    <w:rsid w:val="00BA68ED"/>
    <w:rsid w:val="00BA72DA"/>
    <w:rsid w:val="00BB4E3B"/>
    <w:rsid w:val="00BC3A57"/>
    <w:rsid w:val="00BE05E5"/>
    <w:rsid w:val="00BE5735"/>
    <w:rsid w:val="00BF0571"/>
    <w:rsid w:val="00BF4486"/>
    <w:rsid w:val="00C031A5"/>
    <w:rsid w:val="00C104BC"/>
    <w:rsid w:val="00C20E6B"/>
    <w:rsid w:val="00C3094A"/>
    <w:rsid w:val="00C52559"/>
    <w:rsid w:val="00C72040"/>
    <w:rsid w:val="00C909FF"/>
    <w:rsid w:val="00C97DCA"/>
    <w:rsid w:val="00CA7BEA"/>
    <w:rsid w:val="00CB05D3"/>
    <w:rsid w:val="00CB7D54"/>
    <w:rsid w:val="00CE20EC"/>
    <w:rsid w:val="00CF0F73"/>
    <w:rsid w:val="00CF6C51"/>
    <w:rsid w:val="00D129F9"/>
    <w:rsid w:val="00D15A48"/>
    <w:rsid w:val="00D21284"/>
    <w:rsid w:val="00D240B3"/>
    <w:rsid w:val="00D50A92"/>
    <w:rsid w:val="00D72D79"/>
    <w:rsid w:val="00D7680E"/>
    <w:rsid w:val="00D84367"/>
    <w:rsid w:val="00D86821"/>
    <w:rsid w:val="00D870E2"/>
    <w:rsid w:val="00D90665"/>
    <w:rsid w:val="00D96AFF"/>
    <w:rsid w:val="00D96C6B"/>
    <w:rsid w:val="00DB31D6"/>
    <w:rsid w:val="00DB67AF"/>
    <w:rsid w:val="00DD17C0"/>
    <w:rsid w:val="00DD3321"/>
    <w:rsid w:val="00DE70E8"/>
    <w:rsid w:val="00DF7A2E"/>
    <w:rsid w:val="00E06C5D"/>
    <w:rsid w:val="00E07225"/>
    <w:rsid w:val="00E23DFC"/>
    <w:rsid w:val="00E318DD"/>
    <w:rsid w:val="00E412BA"/>
    <w:rsid w:val="00E4241D"/>
    <w:rsid w:val="00E43EC6"/>
    <w:rsid w:val="00E478B8"/>
    <w:rsid w:val="00E53B6C"/>
    <w:rsid w:val="00E64423"/>
    <w:rsid w:val="00E7116E"/>
    <w:rsid w:val="00E71999"/>
    <w:rsid w:val="00E73686"/>
    <w:rsid w:val="00E75748"/>
    <w:rsid w:val="00E836B9"/>
    <w:rsid w:val="00E84DC4"/>
    <w:rsid w:val="00EB0969"/>
    <w:rsid w:val="00EB32CB"/>
    <w:rsid w:val="00EB6158"/>
    <w:rsid w:val="00EC22F3"/>
    <w:rsid w:val="00EC78AC"/>
    <w:rsid w:val="00ED4762"/>
    <w:rsid w:val="00ED7C12"/>
    <w:rsid w:val="00EE2A8B"/>
    <w:rsid w:val="00EF57B9"/>
    <w:rsid w:val="00EF6D15"/>
    <w:rsid w:val="00F06C39"/>
    <w:rsid w:val="00F222B4"/>
    <w:rsid w:val="00F2600A"/>
    <w:rsid w:val="00F27A2B"/>
    <w:rsid w:val="00F4161A"/>
    <w:rsid w:val="00F51D7A"/>
    <w:rsid w:val="00F57845"/>
    <w:rsid w:val="00F818FC"/>
    <w:rsid w:val="00F86F05"/>
    <w:rsid w:val="00FA1FC2"/>
    <w:rsid w:val="00FA5B29"/>
    <w:rsid w:val="00FB2B2B"/>
    <w:rsid w:val="00FD0C00"/>
    <w:rsid w:val="00FD2BB4"/>
    <w:rsid w:val="00FD7679"/>
    <w:rsid w:val="00FE3405"/>
    <w:rsid w:val="00FE52FD"/>
    <w:rsid w:val="00FE7C31"/>
    <w:rsid w:val="00FF2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27A2B"/>
    <w:pPr>
      <w:keepNext/>
      <w:keepLines/>
      <w:shd w:val="clear" w:color="auto" w:fill="32006E"/>
      <w:spacing w:before="240"/>
      <w:outlineLvl w:val="0"/>
    </w:pPr>
    <w:rPr>
      <w:rFonts w:asciiTheme="majorHAnsi" w:eastAsiaTheme="majorEastAsia" w:hAnsiTheme="majorHAnsi" w:cstheme="majorBidi"/>
      <w:b/>
      <w:color w:val="FFFFFF" w:themeColor="background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7A2B"/>
    <w:rPr>
      <w:rFonts w:asciiTheme="majorHAnsi" w:eastAsiaTheme="majorEastAsia" w:hAnsiTheme="majorHAnsi" w:cstheme="majorBidi"/>
      <w:b/>
      <w:color w:val="FFFFFF" w:themeColor="background1"/>
      <w:szCs w:val="32"/>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minimal-risk/" TargetMode="External"/><Relationship Id="rId18" Type="http://schemas.openxmlformats.org/officeDocument/2006/relationships/hyperlink" Target="https://www.washington.edu/research/forms-and-templates/worksheet-criteria-for-irb-approval/" TargetMode="External"/><Relationship Id="rId3" Type="http://schemas.openxmlformats.org/officeDocument/2006/relationships/customXml" Target="../customXml/item3.xml"/><Relationship Id="rId21" Type="http://schemas.openxmlformats.org/officeDocument/2006/relationships/hyperlink" Target="mailto:hsdinfo@uw.edu" TargetMode="External"/><Relationship Id="rId7" Type="http://schemas.openxmlformats.org/officeDocument/2006/relationships/settings" Target="settings.xml"/><Relationship Id="rId12" Type="http://schemas.openxmlformats.org/officeDocument/2006/relationships/hyperlink" Target="https://www.washington.edu/research/glossary/minimal-risk/" TargetMode="External"/><Relationship Id="rId17" Type="http://schemas.openxmlformats.org/officeDocument/2006/relationships/hyperlink" Target="https://www.washington.edu/research/policies/sop-irb-review-2/" TargetMode="External"/><Relationship Id="rId2" Type="http://schemas.openxmlformats.org/officeDocument/2006/relationships/customXml" Target="../customXml/item2.xml"/><Relationship Id="rId16" Type="http://schemas.openxmlformats.org/officeDocument/2006/relationships/hyperlink" Target="https://www.washington.edu/research/policies/sop-pre-review-2/" TargetMode="External"/><Relationship Id="rId20" Type="http://schemas.openxmlformats.org/officeDocument/2006/relationships/hyperlink" Target="https://www.hhs.gov/ohrp/regulations-and-policy/guidance/september-29-2008-letter-to-dr-jeffrey-abram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attlechildrenslab.testcatalog.org/catalogs/185/files/406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hington.edu/research/forms-and-templates/worksheet-priso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minor-chang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(12.29.2022 - moved content, with no changes, to current TEMPLATE Worksheet - no version change)
Clarify expedited review eligibility for modifications to, and continuing review of research that includes prisoner populations</Change_x0020_Notes>
    <Posted_x0020_Date xmlns="7c9d0ed2-8163-4b50-bae4-466292e5dd21">2021-08-26T07:00:00+00:00</Posted_x0020_Date>
    <Taxonomy0 xmlns="7c9d0ed2-8163-4b50-bae4-466292e5dd21">
      <Value>Worksheet</Value>
    </Taxonomy0>
    <Version_x0020_Number xmlns="7c9d0ed2-8163-4b50-bae4-466292e5dd21">2.2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https://www.washington.edu/research/forms-and-templates/worksheet-expedited-review/</Url>
      <Description>https://www.washington.edu/research/forms-and-templates/worksheet-expedited-review/</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8EF21D1F-BC93-4D44-BB13-B16A3F1A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2168</Words>
  <Characters>12253</Characters>
  <Application>Microsoft Office Word</Application>
  <DocSecurity>0</DocSecurity>
  <Lines>278</Lines>
  <Paragraphs>162</Paragraphs>
  <ScaleCrop>false</ScaleCrop>
  <HeadingPairs>
    <vt:vector size="2" baseType="variant">
      <vt:variant>
        <vt:lpstr>Title</vt:lpstr>
      </vt:variant>
      <vt:variant>
        <vt:i4>1</vt:i4>
      </vt:variant>
    </vt:vector>
  </HeadingPairs>
  <TitlesOfParts>
    <vt:vector size="1" baseType="lpstr">
      <vt:lpstr>WORKSHEET_Prisoners_v4.11_2021.10.08</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WORKSHEET_Expedited_Review_v2.2_2021.08.26</dc:title>
  <dc:subject/>
  <dc:creator>Sherry Edwards</dc:creator>
  <cp:keywords>;#Continuing review;#IRB review;#Modification;#Prisoners;#</cp:keywords>
  <dc:description/>
  <cp:lastModifiedBy>Megan Tedell-Hlady</cp:lastModifiedBy>
  <cp:revision>3</cp:revision>
  <dcterms:created xsi:type="dcterms:W3CDTF">2026-03-16T16:48:00Z</dcterms:created>
  <dcterms:modified xsi:type="dcterms:W3CDTF">2026-03-16T16:49:00Z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