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F2B2" w14:textId="0B795E1A" w:rsidR="00BF0F77" w:rsidRDefault="001B1CF8" w:rsidP="00A71D4E">
      <w:pPr>
        <w:pStyle w:val="NoSpacing"/>
        <w:rPr>
          <w:sz w:val="22"/>
          <w:szCs w:val="22"/>
        </w:rPr>
      </w:pPr>
      <w:r>
        <w:rPr>
          <w:noProof/>
        </w:rPr>
        <w:drawing>
          <wp:anchor distT="0" distB="0" distL="114300" distR="114300" simplePos="0" relativeHeight="251659264" behindDoc="1" locked="0" layoutInCell="1" allowOverlap="1" wp14:anchorId="4A1BB39B" wp14:editId="23C628F0">
            <wp:simplePos x="0" y="0"/>
            <wp:positionH relativeFrom="column">
              <wp:posOffset>0</wp:posOffset>
            </wp:positionH>
            <wp:positionV relativeFrom="paragraph">
              <wp:posOffset>168910</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p>
    <w:p w14:paraId="73C7FDC3" w14:textId="4F918EBC" w:rsidR="001B1CF8" w:rsidRPr="005D37AA" w:rsidRDefault="001B1CF8" w:rsidP="001B1CF8">
      <w:pPr>
        <w:pStyle w:val="Header"/>
        <w:tabs>
          <w:tab w:val="clear" w:pos="4680"/>
          <w:tab w:val="clear" w:pos="9360"/>
          <w:tab w:val="right" w:pos="10800"/>
        </w:tabs>
        <w:jc w:val="right"/>
      </w:pPr>
      <w:r>
        <w:rPr>
          <w:noProof/>
        </w:rPr>
        <w:drawing>
          <wp:anchor distT="0" distB="0" distL="114300" distR="114300" simplePos="0" relativeHeight="251661312" behindDoc="1" locked="0" layoutInCell="1" allowOverlap="1" wp14:anchorId="5A5F09EA" wp14:editId="0B0C3B64">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2002405737"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w:t>
      </w:r>
      <w:r w:rsidRPr="1331C5BB">
        <w:rPr>
          <w:rFonts w:ascii="Calibri" w:hAnsi="Calibri" w:cs="Arial"/>
          <w:b/>
          <w:sz w:val="28"/>
          <w:szCs w:val="28"/>
        </w:rPr>
        <w:t xml:space="preserve"> </w:t>
      </w:r>
      <w:r>
        <w:rPr>
          <w:rFonts w:ascii="Calibri" w:hAnsi="Calibri" w:cs="Arial"/>
          <w:b/>
          <w:sz w:val="28"/>
          <w:szCs w:val="28"/>
        </w:rPr>
        <w:t>Pregnant Women</w:t>
      </w:r>
    </w:p>
    <w:p w14:paraId="58453A9D" w14:textId="77777777" w:rsidR="001B1CF8" w:rsidRDefault="001B1CF8" w:rsidP="00A71D4E">
      <w:pPr>
        <w:pStyle w:val="NoSpacing"/>
        <w:rPr>
          <w:sz w:val="22"/>
          <w:szCs w:val="22"/>
        </w:rPr>
      </w:pPr>
    </w:p>
    <w:p w14:paraId="120A9C6C" w14:textId="77777777" w:rsidR="001B1CF8" w:rsidRDefault="001B1CF8" w:rsidP="00A71D4E">
      <w:pPr>
        <w:pStyle w:val="NoSpacing"/>
        <w:rPr>
          <w:sz w:val="22"/>
          <w:szCs w:val="22"/>
        </w:rPr>
      </w:pPr>
    </w:p>
    <w:p w14:paraId="252805F5" w14:textId="77777777" w:rsidR="001B1CF8" w:rsidRPr="001B1CF8" w:rsidRDefault="001B1CF8" w:rsidP="001B1CF8">
      <w:pPr>
        <w:pStyle w:val="NoSpacing"/>
        <w:shd w:val="clear" w:color="auto" w:fill="32006E"/>
        <w:rPr>
          <w:sz w:val="24"/>
          <w:szCs w:val="24"/>
        </w:rPr>
      </w:pPr>
    </w:p>
    <w:p w14:paraId="296B4E1D" w14:textId="77777777" w:rsidR="001B1CF8" w:rsidRDefault="001B1CF8" w:rsidP="00A71D4E">
      <w:pPr>
        <w:pStyle w:val="NoSpacing"/>
        <w:rPr>
          <w:sz w:val="22"/>
          <w:szCs w:val="22"/>
        </w:rPr>
      </w:pPr>
    </w:p>
    <w:p w14:paraId="3BA5078F" w14:textId="5C582C02" w:rsidR="00B00AFA" w:rsidRDefault="00B00AFA" w:rsidP="0026022B">
      <w:pPr>
        <w:pStyle w:val="NoSpacing"/>
        <w:numPr>
          <w:ilvl w:val="0"/>
          <w:numId w:val="41"/>
        </w:numPr>
        <w:outlineLvl w:val="0"/>
        <w:rPr>
          <w:b/>
          <w:color w:val="auto"/>
          <w:sz w:val="22"/>
          <w:szCs w:val="22"/>
        </w:rPr>
      </w:pPr>
      <w:r w:rsidRPr="00CD274A">
        <w:rPr>
          <w:b/>
          <w:color w:val="auto"/>
          <w:sz w:val="22"/>
          <w:szCs w:val="22"/>
        </w:rPr>
        <w:t>P</w:t>
      </w:r>
      <w:r w:rsidR="00A03C60" w:rsidRPr="00CD274A">
        <w:rPr>
          <w:b/>
          <w:color w:val="auto"/>
          <w:sz w:val="22"/>
          <w:szCs w:val="22"/>
        </w:rPr>
        <w:t>URPOSE</w:t>
      </w:r>
      <w:r w:rsidR="00FC372E">
        <w:rPr>
          <w:b/>
          <w:color w:val="auto"/>
          <w:sz w:val="22"/>
          <w:szCs w:val="22"/>
        </w:rPr>
        <w:t xml:space="preserve"> </w:t>
      </w:r>
      <w:r w:rsidR="00FC372E" w:rsidRPr="00135B00">
        <w:rPr>
          <w:b/>
          <w:color w:val="auto"/>
          <w:sz w:val="22"/>
          <w:szCs w:val="22"/>
        </w:rPr>
        <w:t>and APPLICABILITY</w:t>
      </w:r>
    </w:p>
    <w:p w14:paraId="1E18305C" w14:textId="77777777" w:rsidR="00BE1C70" w:rsidRDefault="00BE1C70" w:rsidP="00AF7A51">
      <w:pPr>
        <w:pStyle w:val="NoSpacing"/>
        <w:ind w:left="360"/>
        <w:outlineLvl w:val="0"/>
        <w:rPr>
          <w:color w:val="auto"/>
          <w:sz w:val="22"/>
          <w:szCs w:val="22"/>
        </w:rPr>
      </w:pPr>
    </w:p>
    <w:p w14:paraId="0BBECCBF" w14:textId="7BC69717" w:rsidR="00BE1C70" w:rsidRDefault="0026022B" w:rsidP="006B49DD">
      <w:pPr>
        <w:pStyle w:val="NoSpacing"/>
        <w:numPr>
          <w:ilvl w:val="1"/>
          <w:numId w:val="41"/>
        </w:numPr>
        <w:ind w:left="720"/>
        <w:rPr>
          <w:color w:val="auto"/>
          <w:sz w:val="22"/>
          <w:szCs w:val="22"/>
        </w:rPr>
      </w:pPr>
      <w:r>
        <w:rPr>
          <w:color w:val="auto"/>
          <w:sz w:val="22"/>
          <w:szCs w:val="22"/>
        </w:rPr>
        <w:t>This SOP describes the requirements and procedures for non-exempt human subjects research involving pregnant women and/or their fetuses. The term “pregnant women” is used in this document to refer to pregnant women and/or their fetuses.</w:t>
      </w:r>
    </w:p>
    <w:p w14:paraId="0DB307F0" w14:textId="5CACA56E" w:rsidR="00BE1C70" w:rsidRPr="00B00AFA" w:rsidRDefault="00BE1C70" w:rsidP="00AA2580">
      <w:pPr>
        <w:pStyle w:val="NoSpacing"/>
        <w:outlineLvl w:val="0"/>
        <w:rPr>
          <w:color w:val="auto"/>
          <w:sz w:val="22"/>
          <w:szCs w:val="22"/>
        </w:rPr>
      </w:pPr>
    </w:p>
    <w:p w14:paraId="0DEE0488" w14:textId="3DFF2F8D" w:rsidR="00A03C60" w:rsidRDefault="0026022B" w:rsidP="0026022B">
      <w:pPr>
        <w:pStyle w:val="NoSpacing"/>
        <w:numPr>
          <w:ilvl w:val="0"/>
          <w:numId w:val="41"/>
        </w:numPr>
        <w:outlineLvl w:val="0"/>
        <w:rPr>
          <w:b/>
          <w:color w:val="auto"/>
          <w:sz w:val="22"/>
          <w:szCs w:val="22"/>
        </w:rPr>
      </w:pPr>
      <w:r>
        <w:rPr>
          <w:b/>
          <w:color w:val="auto"/>
          <w:sz w:val="22"/>
          <w:szCs w:val="22"/>
        </w:rPr>
        <w:t>POLICY</w:t>
      </w:r>
    </w:p>
    <w:p w14:paraId="23E5A2AE" w14:textId="77777777" w:rsidR="0026022B" w:rsidRDefault="0026022B" w:rsidP="0026022B">
      <w:pPr>
        <w:pStyle w:val="NoSpacing"/>
        <w:ind w:left="360"/>
        <w:outlineLvl w:val="0"/>
        <w:rPr>
          <w:b/>
          <w:color w:val="auto"/>
          <w:sz w:val="22"/>
          <w:szCs w:val="22"/>
        </w:rPr>
      </w:pPr>
    </w:p>
    <w:p w14:paraId="58160AAC" w14:textId="15633159" w:rsidR="0026022B" w:rsidRDefault="0026022B" w:rsidP="006B49DD">
      <w:pPr>
        <w:pStyle w:val="NoSpacing"/>
        <w:spacing w:after="120"/>
        <w:ind w:left="720" w:hanging="360"/>
        <w:rPr>
          <w:bCs/>
          <w:color w:val="auto"/>
          <w:sz w:val="22"/>
          <w:szCs w:val="22"/>
        </w:rPr>
      </w:pPr>
      <w:r>
        <w:rPr>
          <w:bCs/>
          <w:color w:val="auto"/>
          <w:sz w:val="22"/>
          <w:szCs w:val="22"/>
        </w:rPr>
        <w:t>2.1</w:t>
      </w:r>
      <w:r>
        <w:rPr>
          <w:bCs/>
          <w:color w:val="auto"/>
          <w:sz w:val="22"/>
          <w:szCs w:val="22"/>
        </w:rPr>
        <w:tab/>
      </w:r>
      <w:r>
        <w:rPr>
          <w:b/>
          <w:color w:val="auto"/>
          <w:sz w:val="22"/>
          <w:szCs w:val="22"/>
        </w:rPr>
        <w:t xml:space="preserve">Opportunity. </w:t>
      </w:r>
      <w:r>
        <w:rPr>
          <w:bCs/>
          <w:color w:val="auto"/>
          <w:sz w:val="22"/>
          <w:szCs w:val="22"/>
        </w:rPr>
        <w:t>The UW IRB supports the policy of providing pregnant women with the same opportunities as non-pregnant women to participate in research unless the individual meets exclusionary criteria or the study poses more than minimal risk to the fetus. Research that includes pregnant women increases the likelihood that the knowledge gained can be extended judiciously to this population.</w:t>
      </w:r>
    </w:p>
    <w:p w14:paraId="220FA74C" w14:textId="705043CD" w:rsidR="0026022B" w:rsidRDefault="0026022B" w:rsidP="006B49DD">
      <w:pPr>
        <w:pStyle w:val="NoSpacing"/>
        <w:spacing w:after="120"/>
        <w:ind w:left="720" w:hanging="360"/>
        <w:rPr>
          <w:bCs/>
          <w:color w:val="auto"/>
          <w:sz w:val="22"/>
          <w:szCs w:val="22"/>
        </w:rPr>
      </w:pPr>
      <w:r>
        <w:rPr>
          <w:bCs/>
          <w:color w:val="auto"/>
          <w:sz w:val="22"/>
          <w:szCs w:val="22"/>
        </w:rPr>
        <w:t xml:space="preserve">2.2 </w:t>
      </w:r>
      <w:r>
        <w:rPr>
          <w:b/>
          <w:color w:val="auto"/>
          <w:sz w:val="22"/>
          <w:szCs w:val="22"/>
        </w:rPr>
        <w:t xml:space="preserve">Pregnant women: target population or incidental participants? </w:t>
      </w:r>
      <w:r>
        <w:rPr>
          <w:bCs/>
          <w:color w:val="auto"/>
          <w:sz w:val="22"/>
          <w:szCs w:val="22"/>
        </w:rPr>
        <w:t>During the course of a study, pregnant women may be encountered coincidentally as potential participants. Alternatively, pregnant women and fetuses may be a study target population(s).</w:t>
      </w:r>
    </w:p>
    <w:p w14:paraId="6452D77D" w14:textId="6A573ECD" w:rsidR="0026022B" w:rsidRDefault="0026022B" w:rsidP="006B49DD">
      <w:pPr>
        <w:pStyle w:val="NoSpacing"/>
        <w:spacing w:after="120"/>
        <w:ind w:left="720" w:hanging="360"/>
        <w:rPr>
          <w:bCs/>
          <w:color w:val="auto"/>
          <w:sz w:val="22"/>
          <w:szCs w:val="22"/>
        </w:rPr>
      </w:pPr>
      <w:r>
        <w:rPr>
          <w:bCs/>
          <w:color w:val="auto"/>
          <w:sz w:val="22"/>
          <w:szCs w:val="22"/>
        </w:rPr>
        <w:t xml:space="preserve">2.3 </w:t>
      </w:r>
      <w:r>
        <w:rPr>
          <w:b/>
          <w:color w:val="auto"/>
          <w:sz w:val="22"/>
          <w:szCs w:val="22"/>
        </w:rPr>
        <w:t xml:space="preserve">Applicable regulations. </w:t>
      </w:r>
      <w:r>
        <w:rPr>
          <w:bCs/>
          <w:color w:val="auto"/>
          <w:sz w:val="22"/>
          <w:szCs w:val="22"/>
        </w:rPr>
        <w:t xml:space="preserve">Different federal funding agencies have different regulations concerning the involvement of pregnant women in research. </w:t>
      </w:r>
    </w:p>
    <w:p w14:paraId="1CB031C9" w14:textId="653FFF44" w:rsidR="0026022B" w:rsidRDefault="0026022B" w:rsidP="006B49DD">
      <w:pPr>
        <w:pStyle w:val="NoSpacing"/>
        <w:spacing w:after="120"/>
        <w:ind w:left="1260" w:hanging="540"/>
        <w:rPr>
          <w:bCs/>
          <w:color w:val="auto"/>
          <w:sz w:val="22"/>
          <w:szCs w:val="22"/>
        </w:rPr>
      </w:pPr>
      <w:r>
        <w:rPr>
          <w:bCs/>
          <w:color w:val="auto"/>
          <w:sz w:val="22"/>
          <w:szCs w:val="22"/>
        </w:rPr>
        <w:t>2.3.1</w:t>
      </w:r>
      <w:r>
        <w:rPr>
          <w:bCs/>
          <w:color w:val="auto"/>
          <w:sz w:val="22"/>
          <w:szCs w:val="22"/>
        </w:rPr>
        <w:tab/>
      </w:r>
      <w:r>
        <w:rPr>
          <w:b/>
          <w:color w:val="auto"/>
          <w:sz w:val="22"/>
          <w:szCs w:val="22"/>
        </w:rPr>
        <w:t xml:space="preserve">Health and Human Services (HHS). </w:t>
      </w:r>
      <w:r>
        <w:rPr>
          <w:bCs/>
          <w:color w:val="auto"/>
          <w:sz w:val="22"/>
          <w:szCs w:val="22"/>
        </w:rPr>
        <w:t>The HHS regulations (45 CFR 46 Subpart B) apply to all research targeting pregnant women or fetuses that is supported by HHS or the other federal agencies that have agreed to adopt Subpart B (Department of Homeland Security; Central Intelligence Agency).</w:t>
      </w:r>
    </w:p>
    <w:p w14:paraId="5D957E22" w14:textId="346953E3" w:rsidR="0026022B" w:rsidRDefault="0026022B" w:rsidP="006B49DD">
      <w:pPr>
        <w:pStyle w:val="NoSpacing"/>
        <w:spacing w:after="120"/>
        <w:ind w:left="1260" w:hanging="540"/>
        <w:rPr>
          <w:bCs/>
          <w:color w:val="auto"/>
          <w:sz w:val="22"/>
          <w:szCs w:val="22"/>
        </w:rPr>
      </w:pPr>
      <w:r>
        <w:rPr>
          <w:bCs/>
          <w:color w:val="auto"/>
          <w:sz w:val="22"/>
          <w:szCs w:val="22"/>
        </w:rPr>
        <w:t>2.3.2</w:t>
      </w:r>
      <w:r>
        <w:rPr>
          <w:bCs/>
          <w:color w:val="auto"/>
          <w:sz w:val="22"/>
          <w:szCs w:val="22"/>
        </w:rPr>
        <w:tab/>
      </w:r>
      <w:r>
        <w:rPr>
          <w:b/>
          <w:color w:val="auto"/>
          <w:sz w:val="22"/>
          <w:szCs w:val="22"/>
        </w:rPr>
        <w:t xml:space="preserve">Department of Defense (DoD). </w:t>
      </w:r>
      <w:r>
        <w:rPr>
          <w:bCs/>
          <w:color w:val="auto"/>
          <w:sz w:val="22"/>
          <w:szCs w:val="22"/>
        </w:rPr>
        <w:t>Though the DoD applies the HHS Subpart B, it:</w:t>
      </w:r>
    </w:p>
    <w:p w14:paraId="43745C62" w14:textId="5CA5DA80" w:rsidR="0026022B" w:rsidRDefault="0026022B" w:rsidP="006B49DD">
      <w:pPr>
        <w:pStyle w:val="NoSpacing"/>
        <w:numPr>
          <w:ilvl w:val="0"/>
          <w:numId w:val="45"/>
        </w:numPr>
        <w:spacing w:after="60"/>
        <w:rPr>
          <w:bCs/>
          <w:color w:val="auto"/>
          <w:sz w:val="22"/>
          <w:szCs w:val="22"/>
        </w:rPr>
      </w:pPr>
      <w:r>
        <w:rPr>
          <w:bCs/>
          <w:color w:val="auto"/>
          <w:sz w:val="22"/>
          <w:szCs w:val="22"/>
        </w:rPr>
        <w:t xml:space="preserve">Replaces the phrase “biomedical knowledge” with “generalizable knowledge in 45 CFR 46.204; and </w:t>
      </w:r>
    </w:p>
    <w:p w14:paraId="675CFDF8" w14:textId="518A9033" w:rsidR="0026022B" w:rsidRDefault="0026022B" w:rsidP="006B49DD">
      <w:pPr>
        <w:pStyle w:val="NoSpacing"/>
        <w:numPr>
          <w:ilvl w:val="0"/>
          <w:numId w:val="45"/>
        </w:numPr>
        <w:spacing w:after="120"/>
        <w:rPr>
          <w:bCs/>
          <w:color w:val="auto"/>
          <w:sz w:val="22"/>
          <w:szCs w:val="22"/>
        </w:rPr>
      </w:pPr>
      <w:r>
        <w:rPr>
          <w:bCs/>
          <w:color w:val="auto"/>
          <w:sz w:val="22"/>
          <w:szCs w:val="22"/>
        </w:rPr>
        <w:t xml:space="preserve">Limits the applicability of Subpart B to research involving: </w:t>
      </w:r>
      <w:r>
        <w:rPr>
          <w:b/>
          <w:color w:val="auto"/>
          <w:sz w:val="22"/>
          <w:szCs w:val="22"/>
        </w:rPr>
        <w:t xml:space="preserve">1) </w:t>
      </w:r>
      <w:r>
        <w:rPr>
          <w:bCs/>
          <w:color w:val="auto"/>
          <w:sz w:val="22"/>
          <w:szCs w:val="22"/>
        </w:rPr>
        <w:t xml:space="preserve">pregnant women as participants in research that is more than minimal risk and includes interventions or invasive procedures to the woman or fetus; </w:t>
      </w:r>
      <w:r>
        <w:rPr>
          <w:b/>
          <w:color w:val="auto"/>
          <w:sz w:val="22"/>
          <w:szCs w:val="22"/>
        </w:rPr>
        <w:t xml:space="preserve">or 2) </w:t>
      </w:r>
      <w:r>
        <w:rPr>
          <w:bCs/>
          <w:color w:val="auto"/>
          <w:sz w:val="22"/>
          <w:szCs w:val="22"/>
        </w:rPr>
        <w:t xml:space="preserve">fetuses or neonates as participants. </w:t>
      </w:r>
    </w:p>
    <w:p w14:paraId="1EE24EC2" w14:textId="0A7B8C83" w:rsidR="004B6D11" w:rsidRDefault="004B6D11" w:rsidP="006B49DD">
      <w:pPr>
        <w:pStyle w:val="NoSpacing"/>
        <w:spacing w:after="120"/>
        <w:ind w:left="1260" w:hanging="540"/>
        <w:rPr>
          <w:bCs/>
          <w:color w:val="auto"/>
          <w:sz w:val="22"/>
          <w:szCs w:val="22"/>
        </w:rPr>
      </w:pPr>
      <w:r>
        <w:rPr>
          <w:bCs/>
          <w:color w:val="auto"/>
          <w:sz w:val="22"/>
          <w:szCs w:val="22"/>
        </w:rPr>
        <w:t>2.3.3</w:t>
      </w:r>
      <w:r>
        <w:rPr>
          <w:bCs/>
          <w:color w:val="auto"/>
          <w:sz w:val="22"/>
          <w:szCs w:val="22"/>
        </w:rPr>
        <w:tab/>
      </w:r>
      <w:r>
        <w:rPr>
          <w:b/>
          <w:color w:val="auto"/>
          <w:sz w:val="22"/>
          <w:szCs w:val="22"/>
        </w:rPr>
        <w:t xml:space="preserve">Environmental Protection Agency (EPA). </w:t>
      </w:r>
      <w:r>
        <w:rPr>
          <w:bCs/>
          <w:color w:val="auto"/>
          <w:sz w:val="22"/>
          <w:szCs w:val="22"/>
        </w:rPr>
        <w:t xml:space="preserve">EPA has its own set of regulations concerning pregnant women and fetuses which are more restrictive than the HHS regulations. The requirements are described in the </w:t>
      </w:r>
      <w:r>
        <w:rPr>
          <w:b/>
          <w:color w:val="auto"/>
          <w:sz w:val="22"/>
          <w:szCs w:val="22"/>
        </w:rPr>
        <w:t>SOP Environmental Protection Agency</w:t>
      </w:r>
      <w:r>
        <w:rPr>
          <w:bCs/>
          <w:color w:val="auto"/>
          <w:sz w:val="22"/>
          <w:szCs w:val="22"/>
        </w:rPr>
        <w:t xml:space="preserve"> and the </w:t>
      </w:r>
      <w:r>
        <w:rPr>
          <w:b/>
          <w:color w:val="auto"/>
          <w:sz w:val="22"/>
          <w:szCs w:val="22"/>
        </w:rPr>
        <w:t>WORKSHEET Environmental Protection Agency</w:t>
      </w:r>
      <w:r>
        <w:rPr>
          <w:bCs/>
          <w:color w:val="auto"/>
          <w:sz w:val="22"/>
          <w:szCs w:val="22"/>
        </w:rPr>
        <w:t>.</w:t>
      </w:r>
    </w:p>
    <w:p w14:paraId="25B282E7" w14:textId="2A9950AD" w:rsidR="004B6D11" w:rsidRDefault="004B6D11" w:rsidP="006B49DD">
      <w:pPr>
        <w:pStyle w:val="NoSpacing"/>
        <w:spacing w:after="120"/>
        <w:ind w:left="1260" w:hanging="540"/>
        <w:rPr>
          <w:bCs/>
          <w:color w:val="auto"/>
          <w:sz w:val="22"/>
          <w:szCs w:val="22"/>
        </w:rPr>
      </w:pPr>
      <w:r>
        <w:rPr>
          <w:bCs/>
          <w:color w:val="auto"/>
          <w:sz w:val="22"/>
          <w:szCs w:val="22"/>
        </w:rPr>
        <w:t>2.3.4</w:t>
      </w:r>
      <w:r>
        <w:rPr>
          <w:bCs/>
          <w:color w:val="auto"/>
          <w:sz w:val="22"/>
          <w:szCs w:val="22"/>
        </w:rPr>
        <w:tab/>
      </w:r>
      <w:r>
        <w:rPr>
          <w:b/>
          <w:color w:val="auto"/>
          <w:sz w:val="22"/>
          <w:szCs w:val="22"/>
        </w:rPr>
        <w:t xml:space="preserve">All other research. </w:t>
      </w:r>
      <w:r>
        <w:rPr>
          <w:bCs/>
          <w:color w:val="auto"/>
          <w:sz w:val="22"/>
          <w:szCs w:val="22"/>
        </w:rPr>
        <w:t>Per the UW Flexibility Policy (</w:t>
      </w:r>
      <w:r>
        <w:rPr>
          <w:b/>
          <w:color w:val="auto"/>
          <w:sz w:val="22"/>
          <w:szCs w:val="22"/>
        </w:rPr>
        <w:t>GUIDANCE Authority and Responsibilities of HSD and UW IRB</w:t>
      </w:r>
      <w:r>
        <w:rPr>
          <w:bCs/>
          <w:color w:val="auto"/>
          <w:sz w:val="22"/>
          <w:szCs w:val="22"/>
        </w:rPr>
        <w:t xml:space="preserve">), the UW IRB applies the HHS Subpart B regulations about pregnant women, fetuses, nonviable neonates, and neonates of uncertain viability to all research </w:t>
      </w:r>
      <w:r>
        <w:rPr>
          <w:b/>
          <w:color w:val="auto"/>
          <w:sz w:val="22"/>
          <w:szCs w:val="22"/>
        </w:rPr>
        <w:t>except</w:t>
      </w:r>
      <w:r>
        <w:rPr>
          <w:bCs/>
          <w:color w:val="auto"/>
          <w:sz w:val="22"/>
          <w:szCs w:val="22"/>
        </w:rPr>
        <w:t xml:space="preserve"> research that meets both of these criteria:</w:t>
      </w:r>
    </w:p>
    <w:p w14:paraId="0B3684F1" w14:textId="74519FAA" w:rsidR="004B6D11" w:rsidRDefault="004B6D11" w:rsidP="006B49DD">
      <w:pPr>
        <w:pStyle w:val="NoSpacing"/>
        <w:numPr>
          <w:ilvl w:val="0"/>
          <w:numId w:val="46"/>
        </w:numPr>
        <w:spacing w:after="120"/>
        <w:rPr>
          <w:bCs/>
          <w:color w:val="auto"/>
          <w:sz w:val="22"/>
          <w:szCs w:val="22"/>
        </w:rPr>
      </w:pPr>
      <w:r>
        <w:rPr>
          <w:bCs/>
          <w:color w:val="auto"/>
          <w:sz w:val="22"/>
          <w:szCs w:val="22"/>
        </w:rPr>
        <w:t xml:space="preserve">The research is not governed by Subpart B; </w:t>
      </w:r>
      <w:r>
        <w:rPr>
          <w:b/>
          <w:color w:val="auto"/>
          <w:sz w:val="22"/>
          <w:szCs w:val="22"/>
        </w:rPr>
        <w:t>and</w:t>
      </w:r>
    </w:p>
    <w:p w14:paraId="1AE4D954" w14:textId="699C8847" w:rsidR="004B6D11" w:rsidRDefault="004B6D11" w:rsidP="006B49DD">
      <w:pPr>
        <w:pStyle w:val="NoSpacing"/>
        <w:numPr>
          <w:ilvl w:val="0"/>
          <w:numId w:val="46"/>
        </w:numPr>
        <w:spacing w:after="120"/>
        <w:rPr>
          <w:bCs/>
          <w:color w:val="auto"/>
          <w:sz w:val="22"/>
          <w:szCs w:val="22"/>
        </w:rPr>
      </w:pPr>
      <w:r>
        <w:rPr>
          <w:bCs/>
          <w:color w:val="auto"/>
          <w:sz w:val="22"/>
          <w:szCs w:val="22"/>
        </w:rPr>
        <w:t>The research involves no more than minimal risks to the women, fetuses, and/or neonates.</w:t>
      </w:r>
    </w:p>
    <w:p w14:paraId="66976FBB" w14:textId="1A7601E5" w:rsidR="004B6D11" w:rsidRDefault="004B6D11" w:rsidP="006B49DD">
      <w:pPr>
        <w:pStyle w:val="NoSpacing"/>
        <w:spacing w:after="120"/>
        <w:ind w:left="1260"/>
        <w:rPr>
          <w:bCs/>
          <w:color w:val="auto"/>
          <w:sz w:val="22"/>
          <w:szCs w:val="22"/>
        </w:rPr>
      </w:pPr>
      <w:r>
        <w:rPr>
          <w:bCs/>
          <w:color w:val="auto"/>
          <w:sz w:val="22"/>
          <w:szCs w:val="22"/>
        </w:rPr>
        <w:lastRenderedPageBreak/>
        <w:t>When Subpart B is applied to studies that are not governed by Subpart B, the phrase “biomedical knowledge” in one of the Subpart B criteria for approval [45 CFR 46.204(b)] is replaced by the phrase “generalizable knowledge”.</w:t>
      </w:r>
    </w:p>
    <w:p w14:paraId="244F7707" w14:textId="6C4E7654" w:rsidR="002C2440" w:rsidRDefault="002C2440" w:rsidP="006B49DD">
      <w:pPr>
        <w:pStyle w:val="NoSpacing"/>
        <w:spacing w:after="120"/>
        <w:ind w:left="1260" w:hanging="540"/>
        <w:rPr>
          <w:rStyle w:val="Hyperlink"/>
          <w:color w:val="auto"/>
          <w:sz w:val="22"/>
          <w:szCs w:val="22"/>
          <w:u w:val="none"/>
        </w:rPr>
      </w:pPr>
      <w:r>
        <w:rPr>
          <w:bCs/>
          <w:color w:val="auto"/>
          <w:sz w:val="22"/>
          <w:szCs w:val="22"/>
        </w:rPr>
        <w:t>2.3.5</w:t>
      </w:r>
      <w:r>
        <w:rPr>
          <w:bCs/>
          <w:color w:val="auto"/>
          <w:sz w:val="22"/>
          <w:szCs w:val="22"/>
        </w:rPr>
        <w:tab/>
      </w:r>
      <w:r>
        <w:rPr>
          <w:b/>
          <w:color w:val="auto"/>
          <w:sz w:val="22"/>
          <w:szCs w:val="22"/>
        </w:rPr>
        <w:t xml:space="preserve">Human Fetal Tissue (HFT) from elective abortions. </w:t>
      </w:r>
      <w:r>
        <w:rPr>
          <w:bCs/>
          <w:color w:val="auto"/>
          <w:sz w:val="22"/>
          <w:szCs w:val="22"/>
        </w:rPr>
        <w:t xml:space="preserve">National Institutes of Health (NIH) policy dictates additional requirements for using HFT obtained from elective abortions in research </w:t>
      </w:r>
      <w:r w:rsidRPr="002C2440">
        <w:rPr>
          <w:bCs/>
          <w:color w:val="auto"/>
          <w:sz w:val="22"/>
          <w:szCs w:val="22"/>
        </w:rPr>
        <w:t>(</w:t>
      </w:r>
      <w:hyperlink r:id="rId12" w:history="1">
        <w:r w:rsidRPr="002C2440">
          <w:rPr>
            <w:rStyle w:val="Hyperlink"/>
            <w:sz w:val="22"/>
            <w:szCs w:val="22"/>
          </w:rPr>
          <w:t>NOT-OD-19-128</w:t>
        </w:r>
      </w:hyperlink>
      <w:r w:rsidRPr="002C2440">
        <w:rPr>
          <w:color w:val="auto"/>
          <w:sz w:val="22"/>
          <w:szCs w:val="22"/>
        </w:rPr>
        <w:t>,</w:t>
      </w:r>
      <w:r w:rsidRPr="002C2440">
        <w:rPr>
          <w:sz w:val="22"/>
          <w:szCs w:val="22"/>
        </w:rPr>
        <w:t xml:space="preserve"> </w:t>
      </w:r>
      <w:hyperlink r:id="rId13" w:history="1">
        <w:r w:rsidRPr="002C2440">
          <w:rPr>
            <w:rStyle w:val="Hyperlink"/>
            <w:sz w:val="22"/>
            <w:szCs w:val="22"/>
          </w:rPr>
          <w:t>NOT-OD-19-137</w:t>
        </w:r>
      </w:hyperlink>
      <w:r w:rsidRPr="002C2440">
        <w:rPr>
          <w:color w:val="auto"/>
          <w:sz w:val="22"/>
          <w:szCs w:val="22"/>
        </w:rPr>
        <w:t>,</w:t>
      </w:r>
      <w:r w:rsidRPr="002C2440">
        <w:rPr>
          <w:sz w:val="22"/>
          <w:szCs w:val="22"/>
        </w:rPr>
        <w:t xml:space="preserve"> </w:t>
      </w:r>
      <w:bookmarkStart w:id="0" w:name="_Hlk69991989"/>
      <w:r w:rsidRPr="002C2440">
        <w:rPr>
          <w:sz w:val="22"/>
          <w:szCs w:val="22"/>
        </w:rPr>
        <w:fldChar w:fldCharType="begin"/>
      </w:r>
      <w:r w:rsidRPr="002C2440">
        <w:rPr>
          <w:sz w:val="22"/>
          <w:szCs w:val="22"/>
        </w:rPr>
        <w:instrText xml:space="preserve"> HYPERLINK "https://grants.nih.gov/grants/guide/notice-files/NOT-OD-21-111.html" </w:instrText>
      </w:r>
      <w:r w:rsidRPr="002C2440">
        <w:rPr>
          <w:sz w:val="22"/>
          <w:szCs w:val="22"/>
        </w:rPr>
      </w:r>
      <w:r w:rsidRPr="002C2440">
        <w:rPr>
          <w:sz w:val="22"/>
          <w:szCs w:val="22"/>
        </w:rPr>
        <w:fldChar w:fldCharType="separate"/>
      </w:r>
      <w:r w:rsidRPr="002C2440">
        <w:rPr>
          <w:rStyle w:val="Hyperlink"/>
          <w:sz w:val="22"/>
          <w:szCs w:val="22"/>
        </w:rPr>
        <w:t>NOT-OD-21-111</w:t>
      </w:r>
      <w:r w:rsidRPr="002C2440">
        <w:rPr>
          <w:sz w:val="22"/>
          <w:szCs w:val="22"/>
        </w:rPr>
        <w:fldChar w:fldCharType="end"/>
      </w:r>
      <w:bookmarkEnd w:id="0"/>
      <w:r w:rsidRPr="002C2440">
        <w:rPr>
          <w:color w:val="auto"/>
          <w:sz w:val="22"/>
          <w:szCs w:val="22"/>
        </w:rPr>
        <w:t xml:space="preserve">, and </w:t>
      </w:r>
      <w:hyperlink r:id="rId14" w:history="1">
        <w:r w:rsidRPr="002C2440">
          <w:rPr>
            <w:rStyle w:val="Hyperlink"/>
            <w:sz w:val="22"/>
            <w:szCs w:val="22"/>
          </w:rPr>
          <w:t>FAQs</w:t>
        </w:r>
      </w:hyperlink>
      <w:r w:rsidRPr="002C2440">
        <w:rPr>
          <w:rStyle w:val="Hyperlink"/>
          <w:color w:val="auto"/>
          <w:sz w:val="22"/>
          <w:szCs w:val="22"/>
        </w:rPr>
        <w:t>)</w:t>
      </w:r>
      <w:r>
        <w:rPr>
          <w:rStyle w:val="Hyperlink"/>
          <w:color w:val="auto"/>
          <w:sz w:val="22"/>
          <w:szCs w:val="22"/>
          <w:u w:val="none"/>
        </w:rPr>
        <w:t xml:space="preserve">. These requirements apply to competitive applications for grants and cooperative agreements submitted on or after September 25, 2019. It is UW policy to apply these regulatory requirements to all research approved on or after September 25, </w:t>
      </w:r>
      <w:proofErr w:type="gramStart"/>
      <w:r>
        <w:rPr>
          <w:rStyle w:val="Hyperlink"/>
          <w:color w:val="auto"/>
          <w:sz w:val="22"/>
          <w:szCs w:val="22"/>
          <w:u w:val="none"/>
        </w:rPr>
        <w:t>2019</w:t>
      </w:r>
      <w:proofErr w:type="gramEnd"/>
      <w:r>
        <w:rPr>
          <w:rStyle w:val="Hyperlink"/>
          <w:color w:val="auto"/>
          <w:sz w:val="22"/>
          <w:szCs w:val="22"/>
          <w:u w:val="none"/>
        </w:rPr>
        <w:t xml:space="preserve"> and HSD strongly suggests that studies approved before that data also adhere to the policy requirements. </w:t>
      </w:r>
    </w:p>
    <w:p w14:paraId="3FD54F93" w14:textId="31AE8091" w:rsidR="002C2440" w:rsidRDefault="002C2440" w:rsidP="006B49DD">
      <w:pPr>
        <w:pStyle w:val="NoSpacing"/>
        <w:spacing w:after="120"/>
        <w:ind w:left="1260"/>
        <w:rPr>
          <w:rStyle w:val="Hyperlink"/>
          <w:color w:val="auto"/>
          <w:sz w:val="22"/>
          <w:szCs w:val="22"/>
          <w:u w:val="none"/>
        </w:rPr>
      </w:pPr>
      <w:r>
        <w:rPr>
          <w:rStyle w:val="Hyperlink"/>
          <w:color w:val="auto"/>
          <w:sz w:val="22"/>
          <w:szCs w:val="22"/>
          <w:u w:val="none"/>
        </w:rPr>
        <w:t xml:space="preserve">The policy imposes some requirements for the consent process and the consent form that are outlined in Notice Number NOT-OD-19-128. Template language which satisfies the consent form requirements can be found in the web guidance </w:t>
      </w:r>
      <w:hyperlink r:id="rId15" w:anchor="fetal" w:history="1">
        <w:r w:rsidRPr="002C2440">
          <w:rPr>
            <w:rStyle w:val="Hyperlink"/>
            <w:sz w:val="22"/>
            <w:szCs w:val="22"/>
          </w:rPr>
          <w:t>Design</w:t>
        </w:r>
        <w:r w:rsidRPr="002C2440">
          <w:rPr>
            <w:rStyle w:val="Hyperlink"/>
            <w:sz w:val="22"/>
            <w:szCs w:val="22"/>
          </w:rPr>
          <w:t>i</w:t>
        </w:r>
        <w:r w:rsidRPr="002C2440">
          <w:rPr>
            <w:rStyle w:val="Hyperlink"/>
            <w:sz w:val="22"/>
            <w:szCs w:val="22"/>
          </w:rPr>
          <w:t>ng the Consent Process</w:t>
        </w:r>
      </w:hyperlink>
      <w:r>
        <w:rPr>
          <w:rStyle w:val="Hyperlink"/>
          <w:color w:val="auto"/>
          <w:sz w:val="22"/>
          <w:szCs w:val="22"/>
          <w:u w:val="none"/>
        </w:rPr>
        <w:t xml:space="preserve">. </w:t>
      </w:r>
    </w:p>
    <w:p w14:paraId="7F8C020D" w14:textId="427C4559" w:rsidR="00AA2580" w:rsidRPr="009E1BE8" w:rsidRDefault="002C2440" w:rsidP="006B49DD">
      <w:pPr>
        <w:pStyle w:val="NoSpacing"/>
        <w:ind w:left="1260"/>
        <w:rPr>
          <w:bCs/>
          <w:color w:val="auto"/>
          <w:sz w:val="22"/>
          <w:szCs w:val="22"/>
        </w:rPr>
      </w:pPr>
      <w:r>
        <w:rPr>
          <w:rStyle w:val="Hyperlink"/>
          <w:color w:val="auto"/>
          <w:sz w:val="22"/>
          <w:szCs w:val="22"/>
          <w:u w:val="none"/>
        </w:rPr>
        <w:t xml:space="preserve">A sample of the consent form including this language and a letter signed by the PI attesting to compliance with specific consent-related requirements must be </w:t>
      </w:r>
      <w:proofErr w:type="gramStart"/>
      <w:r>
        <w:rPr>
          <w:rStyle w:val="Hyperlink"/>
          <w:color w:val="auto"/>
          <w:sz w:val="22"/>
          <w:szCs w:val="22"/>
          <w:u w:val="none"/>
        </w:rPr>
        <w:t>provide</w:t>
      </w:r>
      <w:proofErr w:type="gramEnd"/>
      <w:r>
        <w:rPr>
          <w:rStyle w:val="Hyperlink"/>
          <w:color w:val="auto"/>
          <w:sz w:val="22"/>
          <w:szCs w:val="22"/>
          <w:u w:val="none"/>
        </w:rPr>
        <w:t xml:space="preserve"> to NIH with the application or Just-In-Time materials.</w:t>
      </w:r>
    </w:p>
    <w:p w14:paraId="63A1620F" w14:textId="77777777" w:rsidR="005C3984" w:rsidRDefault="005C3984" w:rsidP="00AA2580">
      <w:pPr>
        <w:pStyle w:val="NoSpacing"/>
        <w:ind w:left="360" w:hanging="360"/>
        <w:outlineLvl w:val="0"/>
        <w:rPr>
          <w:color w:val="auto"/>
          <w:sz w:val="22"/>
          <w:szCs w:val="22"/>
        </w:rPr>
      </w:pPr>
    </w:p>
    <w:p w14:paraId="5505976B" w14:textId="61FF790B" w:rsidR="00142909" w:rsidRPr="009E1BE8" w:rsidRDefault="009E1BE8" w:rsidP="0026022B">
      <w:pPr>
        <w:pStyle w:val="NoSpacing"/>
        <w:numPr>
          <w:ilvl w:val="0"/>
          <w:numId w:val="41"/>
        </w:numPr>
        <w:outlineLvl w:val="0"/>
        <w:rPr>
          <w:b/>
          <w:color w:val="auto"/>
          <w:sz w:val="22"/>
          <w:szCs w:val="22"/>
        </w:rPr>
      </w:pPr>
      <w:r>
        <w:rPr>
          <w:b/>
          <w:color w:val="auto"/>
          <w:sz w:val="22"/>
          <w:szCs w:val="22"/>
        </w:rPr>
        <w:t>DEFINITIONS</w:t>
      </w:r>
    </w:p>
    <w:p w14:paraId="709B393C" w14:textId="77777777" w:rsidR="009E1BE8" w:rsidRDefault="009E1BE8" w:rsidP="009E1BE8">
      <w:pPr>
        <w:pStyle w:val="NoSpacing"/>
        <w:outlineLvl w:val="0"/>
        <w:rPr>
          <w:bCs/>
          <w:color w:val="auto"/>
          <w:sz w:val="22"/>
          <w:szCs w:val="22"/>
        </w:rPr>
      </w:pPr>
    </w:p>
    <w:p w14:paraId="3B910857" w14:textId="07FA4405" w:rsidR="009E1BE8" w:rsidRDefault="009E1BE8" w:rsidP="006B49DD">
      <w:pPr>
        <w:pStyle w:val="NoSpacing"/>
        <w:spacing w:after="120"/>
        <w:ind w:left="720" w:hanging="360"/>
        <w:rPr>
          <w:bCs/>
          <w:color w:val="auto"/>
          <w:sz w:val="22"/>
          <w:szCs w:val="22"/>
        </w:rPr>
      </w:pPr>
      <w:r>
        <w:rPr>
          <w:bCs/>
          <w:color w:val="auto"/>
          <w:sz w:val="22"/>
          <w:szCs w:val="22"/>
        </w:rPr>
        <w:t>3.1</w:t>
      </w:r>
      <w:r>
        <w:rPr>
          <w:bCs/>
          <w:color w:val="auto"/>
          <w:sz w:val="22"/>
          <w:szCs w:val="22"/>
        </w:rPr>
        <w:tab/>
      </w:r>
      <w:r>
        <w:rPr>
          <w:b/>
          <w:color w:val="auto"/>
          <w:sz w:val="22"/>
          <w:szCs w:val="22"/>
        </w:rPr>
        <w:t xml:space="preserve">Pregnancy. </w:t>
      </w:r>
      <w:r>
        <w:rPr>
          <w:bCs/>
          <w:color w:val="auto"/>
          <w:sz w:val="22"/>
          <w:szCs w:val="22"/>
        </w:rPr>
        <w:t>Encompasses the period of time from implantation until delivery. A woman shall be assumed to be pregnant if she exhibits any of the pertinent presumptive signs of pregnancy, such as missed menses, until the results of a pregnancy test are negative or until delivery. Presumptive signs of pregnancy are signs and symptoms suggestive of pregnancy that may also indicate another condition. They occur early and are more subjective than other signs. The presumptive signs are missed menses, nausea and vomiting, frequent urination, and fatigue.</w:t>
      </w:r>
    </w:p>
    <w:p w14:paraId="32D42D81" w14:textId="53E8FCF8" w:rsidR="009E1BE8" w:rsidRDefault="009E1BE8" w:rsidP="006B49DD">
      <w:pPr>
        <w:pStyle w:val="NoSpacing"/>
        <w:spacing w:after="120"/>
        <w:ind w:left="720" w:hanging="360"/>
        <w:rPr>
          <w:bCs/>
          <w:color w:val="auto"/>
          <w:sz w:val="22"/>
          <w:szCs w:val="22"/>
        </w:rPr>
      </w:pPr>
      <w:r>
        <w:rPr>
          <w:bCs/>
          <w:color w:val="auto"/>
          <w:sz w:val="22"/>
          <w:szCs w:val="22"/>
        </w:rPr>
        <w:t>3.2</w:t>
      </w:r>
      <w:r>
        <w:rPr>
          <w:bCs/>
          <w:color w:val="auto"/>
          <w:sz w:val="22"/>
          <w:szCs w:val="22"/>
        </w:rPr>
        <w:tab/>
      </w:r>
      <w:r>
        <w:rPr>
          <w:b/>
          <w:color w:val="auto"/>
          <w:sz w:val="22"/>
          <w:szCs w:val="22"/>
        </w:rPr>
        <w:t xml:space="preserve">Delivery. </w:t>
      </w:r>
      <w:r>
        <w:rPr>
          <w:bCs/>
          <w:color w:val="auto"/>
          <w:sz w:val="22"/>
          <w:szCs w:val="22"/>
        </w:rPr>
        <w:t>Complete separation of the fetus from the woman by expulsion or extraction or any other means.</w:t>
      </w:r>
    </w:p>
    <w:p w14:paraId="70A6B7F1" w14:textId="133F234D" w:rsidR="009E1BE8" w:rsidRDefault="009E1BE8" w:rsidP="006B49DD">
      <w:pPr>
        <w:pStyle w:val="NoSpacing"/>
        <w:spacing w:after="120"/>
        <w:ind w:left="720" w:hanging="360"/>
        <w:rPr>
          <w:bCs/>
          <w:color w:val="auto"/>
          <w:sz w:val="22"/>
          <w:szCs w:val="22"/>
        </w:rPr>
      </w:pPr>
      <w:r>
        <w:rPr>
          <w:bCs/>
          <w:color w:val="auto"/>
          <w:sz w:val="22"/>
          <w:szCs w:val="22"/>
        </w:rPr>
        <w:t>3.3</w:t>
      </w:r>
      <w:r>
        <w:rPr>
          <w:bCs/>
          <w:color w:val="auto"/>
          <w:sz w:val="22"/>
          <w:szCs w:val="22"/>
        </w:rPr>
        <w:tab/>
      </w:r>
      <w:r>
        <w:rPr>
          <w:b/>
          <w:color w:val="auto"/>
          <w:sz w:val="22"/>
          <w:szCs w:val="22"/>
        </w:rPr>
        <w:t xml:space="preserve">Fetus. </w:t>
      </w:r>
      <w:r>
        <w:rPr>
          <w:bCs/>
          <w:color w:val="auto"/>
          <w:sz w:val="22"/>
          <w:szCs w:val="22"/>
        </w:rPr>
        <w:t>The product of conception from implantation until delivery.</w:t>
      </w:r>
    </w:p>
    <w:p w14:paraId="1E121EEE" w14:textId="48024156" w:rsidR="00C829F2" w:rsidRDefault="00C829F2" w:rsidP="006B49DD">
      <w:pPr>
        <w:pStyle w:val="NoSpacing"/>
        <w:spacing w:after="120"/>
        <w:ind w:left="720" w:hanging="360"/>
        <w:rPr>
          <w:bCs/>
          <w:color w:val="auto"/>
          <w:sz w:val="22"/>
          <w:szCs w:val="22"/>
        </w:rPr>
      </w:pPr>
      <w:r>
        <w:rPr>
          <w:bCs/>
          <w:color w:val="auto"/>
          <w:sz w:val="22"/>
          <w:szCs w:val="22"/>
        </w:rPr>
        <w:t>3.4</w:t>
      </w:r>
      <w:r>
        <w:rPr>
          <w:bCs/>
          <w:color w:val="auto"/>
          <w:sz w:val="22"/>
          <w:szCs w:val="22"/>
        </w:rPr>
        <w:tab/>
      </w:r>
      <w:r>
        <w:rPr>
          <w:b/>
          <w:color w:val="auto"/>
          <w:sz w:val="22"/>
          <w:szCs w:val="22"/>
        </w:rPr>
        <w:t xml:space="preserve">Neonate. </w:t>
      </w:r>
      <w:r>
        <w:rPr>
          <w:bCs/>
          <w:color w:val="auto"/>
          <w:sz w:val="22"/>
          <w:szCs w:val="22"/>
        </w:rPr>
        <w:t>A newborn.</w:t>
      </w:r>
    </w:p>
    <w:p w14:paraId="7989FA2B" w14:textId="52267527" w:rsidR="00C829F2" w:rsidRDefault="00C829F2" w:rsidP="006B49DD">
      <w:pPr>
        <w:pStyle w:val="NoSpacing"/>
        <w:spacing w:after="120"/>
        <w:ind w:left="720" w:hanging="360"/>
        <w:rPr>
          <w:bCs/>
          <w:color w:val="auto"/>
          <w:sz w:val="22"/>
          <w:szCs w:val="22"/>
        </w:rPr>
      </w:pPr>
      <w:r>
        <w:rPr>
          <w:bCs/>
          <w:color w:val="auto"/>
          <w:sz w:val="22"/>
          <w:szCs w:val="22"/>
        </w:rPr>
        <w:t>3.5</w:t>
      </w:r>
      <w:r>
        <w:rPr>
          <w:bCs/>
          <w:color w:val="auto"/>
          <w:sz w:val="22"/>
          <w:szCs w:val="22"/>
        </w:rPr>
        <w:tab/>
      </w:r>
      <w:r>
        <w:rPr>
          <w:b/>
          <w:color w:val="auto"/>
          <w:sz w:val="22"/>
          <w:szCs w:val="22"/>
        </w:rPr>
        <w:t xml:space="preserve">Nonviable neonate. </w:t>
      </w:r>
      <w:r>
        <w:rPr>
          <w:bCs/>
          <w:color w:val="auto"/>
          <w:sz w:val="22"/>
          <w:szCs w:val="22"/>
        </w:rPr>
        <w:t>A neonate after delivery that, although living, is not viable.</w:t>
      </w:r>
    </w:p>
    <w:p w14:paraId="7822FBB6" w14:textId="317861B2" w:rsidR="00AA2580" w:rsidRPr="00C829F2" w:rsidRDefault="00C829F2" w:rsidP="006B49DD">
      <w:pPr>
        <w:pStyle w:val="NoSpacing"/>
        <w:ind w:left="720" w:hanging="360"/>
        <w:rPr>
          <w:bCs/>
          <w:color w:val="auto"/>
          <w:sz w:val="22"/>
          <w:szCs w:val="22"/>
        </w:rPr>
      </w:pPr>
      <w:r>
        <w:rPr>
          <w:bCs/>
          <w:color w:val="auto"/>
          <w:sz w:val="22"/>
          <w:szCs w:val="22"/>
        </w:rPr>
        <w:t>3.6</w:t>
      </w:r>
      <w:r>
        <w:rPr>
          <w:bCs/>
          <w:color w:val="auto"/>
          <w:sz w:val="22"/>
          <w:szCs w:val="22"/>
        </w:rPr>
        <w:tab/>
      </w:r>
      <w:r>
        <w:rPr>
          <w:b/>
          <w:color w:val="auto"/>
          <w:sz w:val="22"/>
          <w:szCs w:val="22"/>
        </w:rPr>
        <w:t xml:space="preserve">Viability of a neonate. </w:t>
      </w:r>
      <w:r>
        <w:rPr>
          <w:bCs/>
          <w:color w:val="auto"/>
          <w:sz w:val="22"/>
          <w:szCs w:val="22"/>
        </w:rPr>
        <w:t xml:space="preserve">Being able, after delivery, to survive (given the benefit of available medical therapy) to the point of independently maintaining heartbeat and respiration. </w:t>
      </w:r>
    </w:p>
    <w:p w14:paraId="59AAE98F" w14:textId="77777777" w:rsidR="00142909" w:rsidRPr="00B00AFA" w:rsidRDefault="00142909" w:rsidP="00142909">
      <w:pPr>
        <w:pStyle w:val="NoSpacing"/>
        <w:outlineLvl w:val="0"/>
        <w:rPr>
          <w:color w:val="auto"/>
          <w:sz w:val="22"/>
          <w:szCs w:val="22"/>
        </w:rPr>
      </w:pPr>
    </w:p>
    <w:p w14:paraId="2A7053F1" w14:textId="6DC49459" w:rsidR="000B0517" w:rsidRDefault="00C829F2" w:rsidP="0026022B">
      <w:pPr>
        <w:pStyle w:val="NoSpacing"/>
        <w:numPr>
          <w:ilvl w:val="0"/>
          <w:numId w:val="41"/>
        </w:numPr>
        <w:outlineLvl w:val="0"/>
        <w:rPr>
          <w:b/>
          <w:color w:val="auto"/>
          <w:sz w:val="22"/>
          <w:szCs w:val="22"/>
        </w:rPr>
      </w:pPr>
      <w:r>
        <w:rPr>
          <w:b/>
          <w:color w:val="auto"/>
          <w:sz w:val="22"/>
          <w:szCs w:val="22"/>
        </w:rPr>
        <w:t>PROCEDURES – Pregnant Women and/or Fetuses as the Target Study Population</w:t>
      </w:r>
    </w:p>
    <w:p w14:paraId="0B884163" w14:textId="51379E49" w:rsidR="000B0517" w:rsidRDefault="000B0517" w:rsidP="00AF7A51">
      <w:pPr>
        <w:pStyle w:val="NoSpacing"/>
        <w:ind w:left="360"/>
        <w:outlineLvl w:val="0"/>
        <w:rPr>
          <w:b/>
          <w:color w:val="auto"/>
          <w:sz w:val="22"/>
          <w:szCs w:val="22"/>
        </w:rPr>
      </w:pPr>
    </w:p>
    <w:p w14:paraId="5DC029EA" w14:textId="15B2FB29" w:rsidR="000B0517" w:rsidRDefault="0099595C" w:rsidP="006B49DD">
      <w:pPr>
        <w:pStyle w:val="NoSpacing"/>
        <w:spacing w:after="120"/>
        <w:ind w:left="720" w:hanging="360"/>
        <w:rPr>
          <w:bCs/>
          <w:color w:val="auto"/>
          <w:sz w:val="22"/>
          <w:szCs w:val="22"/>
        </w:rPr>
      </w:pPr>
      <w:r>
        <w:rPr>
          <w:bCs/>
          <w:color w:val="auto"/>
          <w:sz w:val="22"/>
          <w:szCs w:val="22"/>
        </w:rPr>
        <w:t>4.1</w:t>
      </w:r>
      <w:r>
        <w:rPr>
          <w:bCs/>
          <w:color w:val="auto"/>
          <w:sz w:val="22"/>
          <w:szCs w:val="22"/>
        </w:rPr>
        <w:tab/>
        <w:t xml:space="preserve">Pregnant women or fetuses may be involved in research only if the IRB determines that all of the requirements and conditions described in applicable regulations are met. The IRB uses the </w:t>
      </w:r>
      <w:r>
        <w:rPr>
          <w:b/>
          <w:color w:val="auto"/>
          <w:sz w:val="22"/>
          <w:szCs w:val="22"/>
        </w:rPr>
        <w:t>WORKSHEET Pregnant Women</w:t>
      </w:r>
      <w:r>
        <w:rPr>
          <w:bCs/>
          <w:color w:val="auto"/>
          <w:sz w:val="22"/>
          <w:szCs w:val="22"/>
        </w:rPr>
        <w:t xml:space="preserve"> as a guide to ensure that the applicable requirements and conditions are addressed, and the </w:t>
      </w:r>
      <w:r>
        <w:rPr>
          <w:b/>
          <w:color w:val="auto"/>
          <w:sz w:val="22"/>
          <w:szCs w:val="22"/>
        </w:rPr>
        <w:t>CHECKLIST Regulatory</w:t>
      </w:r>
      <w:r>
        <w:rPr>
          <w:bCs/>
          <w:color w:val="auto"/>
          <w:sz w:val="22"/>
          <w:szCs w:val="22"/>
        </w:rPr>
        <w:t xml:space="preserve"> to document its decisions.</w:t>
      </w:r>
    </w:p>
    <w:p w14:paraId="30778690" w14:textId="221D7E8D" w:rsidR="0099595C" w:rsidRDefault="0099595C" w:rsidP="006B49DD">
      <w:pPr>
        <w:pStyle w:val="NoSpacing"/>
        <w:spacing w:after="120"/>
        <w:ind w:left="1350" w:hanging="630"/>
        <w:rPr>
          <w:bCs/>
          <w:color w:val="auto"/>
          <w:sz w:val="22"/>
          <w:szCs w:val="22"/>
        </w:rPr>
      </w:pPr>
      <w:r>
        <w:rPr>
          <w:bCs/>
          <w:color w:val="auto"/>
          <w:sz w:val="22"/>
          <w:szCs w:val="22"/>
        </w:rPr>
        <w:t>4.1.1</w:t>
      </w:r>
      <w:r>
        <w:rPr>
          <w:bCs/>
          <w:color w:val="auto"/>
          <w:sz w:val="22"/>
          <w:szCs w:val="22"/>
        </w:rPr>
        <w:tab/>
        <w:t>The IRB application and consent form should provide the following information, which is necessary for the IRB’s determination:</w:t>
      </w:r>
    </w:p>
    <w:p w14:paraId="12309BFD" w14:textId="5B02A673" w:rsidR="0099595C" w:rsidRDefault="0099595C" w:rsidP="006B49DD">
      <w:pPr>
        <w:pStyle w:val="NoSpacing"/>
        <w:numPr>
          <w:ilvl w:val="0"/>
          <w:numId w:val="47"/>
        </w:numPr>
        <w:spacing w:after="120"/>
        <w:rPr>
          <w:bCs/>
          <w:color w:val="auto"/>
          <w:sz w:val="22"/>
          <w:szCs w:val="22"/>
        </w:rPr>
      </w:pPr>
      <w:r>
        <w:rPr>
          <w:bCs/>
          <w:color w:val="auto"/>
          <w:sz w:val="22"/>
          <w:szCs w:val="22"/>
        </w:rPr>
        <w:t xml:space="preserve">Whether the research is directed toward the mother’s health or toward the fetus; </w:t>
      </w:r>
      <w:r>
        <w:rPr>
          <w:b/>
          <w:color w:val="auto"/>
          <w:sz w:val="22"/>
          <w:szCs w:val="22"/>
        </w:rPr>
        <w:t>and</w:t>
      </w:r>
    </w:p>
    <w:p w14:paraId="330B70F4" w14:textId="3816F530" w:rsidR="0099595C" w:rsidRDefault="0099595C" w:rsidP="006B49DD">
      <w:pPr>
        <w:pStyle w:val="NoSpacing"/>
        <w:numPr>
          <w:ilvl w:val="0"/>
          <w:numId w:val="47"/>
        </w:numPr>
        <w:spacing w:after="120"/>
        <w:rPr>
          <w:bCs/>
          <w:color w:val="auto"/>
          <w:sz w:val="22"/>
          <w:szCs w:val="22"/>
        </w:rPr>
      </w:pPr>
      <w:r>
        <w:rPr>
          <w:bCs/>
          <w:color w:val="auto"/>
          <w:sz w:val="22"/>
          <w:szCs w:val="22"/>
        </w:rPr>
        <w:t xml:space="preserve">The risks and </w:t>
      </w:r>
      <w:r w:rsidR="008A7133">
        <w:rPr>
          <w:bCs/>
          <w:color w:val="auto"/>
          <w:sz w:val="22"/>
          <w:szCs w:val="22"/>
        </w:rPr>
        <w:t xml:space="preserve">risk </w:t>
      </w:r>
      <w:r>
        <w:rPr>
          <w:bCs/>
          <w:color w:val="auto"/>
          <w:sz w:val="22"/>
          <w:szCs w:val="22"/>
        </w:rPr>
        <w:t>levels to the woman and to the fetus.</w:t>
      </w:r>
    </w:p>
    <w:p w14:paraId="3F24E619" w14:textId="086EB1AF" w:rsidR="0099595C" w:rsidRDefault="0099595C" w:rsidP="006B49DD">
      <w:pPr>
        <w:pStyle w:val="NoSpacing"/>
        <w:spacing w:after="120"/>
        <w:ind w:left="810" w:hanging="450"/>
        <w:rPr>
          <w:bCs/>
          <w:color w:val="auto"/>
          <w:sz w:val="22"/>
          <w:szCs w:val="22"/>
        </w:rPr>
      </w:pPr>
      <w:r>
        <w:rPr>
          <w:bCs/>
          <w:color w:val="auto"/>
          <w:sz w:val="22"/>
          <w:szCs w:val="22"/>
        </w:rPr>
        <w:lastRenderedPageBreak/>
        <w:t>4.2</w:t>
      </w:r>
      <w:r>
        <w:rPr>
          <w:bCs/>
          <w:color w:val="auto"/>
          <w:sz w:val="22"/>
          <w:szCs w:val="22"/>
        </w:rPr>
        <w:tab/>
        <w:t>Prospective subjects should be informed about possible reproductive or lactation risks from the study and measures that will be taken to minimize them.</w:t>
      </w:r>
    </w:p>
    <w:p w14:paraId="0F51A6B4" w14:textId="2A87F110" w:rsidR="0099595C" w:rsidRDefault="0099595C" w:rsidP="006B49DD">
      <w:pPr>
        <w:pStyle w:val="NoSpacing"/>
        <w:spacing w:after="120"/>
        <w:ind w:left="810" w:hanging="450"/>
        <w:rPr>
          <w:bCs/>
          <w:color w:val="auto"/>
          <w:sz w:val="22"/>
          <w:szCs w:val="22"/>
        </w:rPr>
      </w:pPr>
      <w:r>
        <w:rPr>
          <w:bCs/>
          <w:color w:val="auto"/>
          <w:sz w:val="22"/>
          <w:szCs w:val="22"/>
        </w:rPr>
        <w:t>4.3</w:t>
      </w:r>
      <w:r>
        <w:rPr>
          <w:bCs/>
          <w:color w:val="auto"/>
          <w:sz w:val="22"/>
          <w:szCs w:val="22"/>
        </w:rPr>
        <w:tab/>
        <w:t xml:space="preserve">There is any involvement of the Environmental Protection Agency (funding, facilities, personnel, etc.), the IRB uses the </w:t>
      </w:r>
      <w:r>
        <w:rPr>
          <w:b/>
          <w:color w:val="auto"/>
          <w:sz w:val="22"/>
          <w:szCs w:val="22"/>
        </w:rPr>
        <w:t>WORKSHEET Environmental Protection Agency</w:t>
      </w:r>
      <w:r>
        <w:rPr>
          <w:bCs/>
          <w:color w:val="auto"/>
          <w:sz w:val="22"/>
          <w:szCs w:val="22"/>
        </w:rPr>
        <w:t xml:space="preserve"> to ensure that the additional requirements and conditions of the EPA are addressed.</w:t>
      </w:r>
    </w:p>
    <w:p w14:paraId="41B90B1A" w14:textId="3142EF1A" w:rsidR="0099595C" w:rsidRDefault="0099595C" w:rsidP="006B49DD">
      <w:pPr>
        <w:pStyle w:val="NoSpacing"/>
        <w:ind w:left="806" w:hanging="446"/>
        <w:rPr>
          <w:bCs/>
          <w:color w:val="auto"/>
          <w:sz w:val="22"/>
          <w:szCs w:val="22"/>
        </w:rPr>
      </w:pPr>
      <w:r>
        <w:rPr>
          <w:bCs/>
          <w:color w:val="auto"/>
          <w:sz w:val="22"/>
          <w:szCs w:val="22"/>
        </w:rPr>
        <w:t>4.4</w:t>
      </w:r>
      <w:r>
        <w:rPr>
          <w:bCs/>
          <w:color w:val="auto"/>
          <w:sz w:val="22"/>
          <w:szCs w:val="22"/>
        </w:rPr>
        <w:tab/>
        <w:t xml:space="preserve">The IRB also considers the issues discussed below in </w:t>
      </w:r>
      <w:r>
        <w:rPr>
          <w:b/>
          <w:color w:val="auto"/>
          <w:sz w:val="22"/>
          <w:szCs w:val="22"/>
        </w:rPr>
        <w:t xml:space="preserve">Issues to Consider </w:t>
      </w:r>
      <w:r>
        <w:rPr>
          <w:bCs/>
          <w:color w:val="auto"/>
          <w:sz w:val="22"/>
          <w:szCs w:val="22"/>
        </w:rPr>
        <w:t>(Section 7).</w:t>
      </w:r>
    </w:p>
    <w:p w14:paraId="325DACD7" w14:textId="77777777" w:rsidR="000B0517" w:rsidRDefault="000B0517" w:rsidP="00142909">
      <w:pPr>
        <w:pStyle w:val="NoSpacing"/>
        <w:ind w:left="360" w:hanging="360"/>
        <w:outlineLvl w:val="0"/>
        <w:rPr>
          <w:b/>
          <w:color w:val="auto"/>
          <w:sz w:val="22"/>
          <w:szCs w:val="22"/>
        </w:rPr>
      </w:pPr>
    </w:p>
    <w:p w14:paraId="0CCEF76E" w14:textId="1A87757E" w:rsidR="00142909" w:rsidRDefault="0099595C" w:rsidP="0026022B">
      <w:pPr>
        <w:pStyle w:val="NoSpacing"/>
        <w:numPr>
          <w:ilvl w:val="0"/>
          <w:numId w:val="41"/>
        </w:numPr>
        <w:outlineLvl w:val="0"/>
        <w:rPr>
          <w:b/>
          <w:color w:val="auto"/>
          <w:sz w:val="22"/>
          <w:szCs w:val="22"/>
        </w:rPr>
      </w:pPr>
      <w:r>
        <w:rPr>
          <w:b/>
          <w:color w:val="auto"/>
          <w:sz w:val="22"/>
          <w:szCs w:val="22"/>
        </w:rPr>
        <w:t>PROCEDURES – Pregnant Women Who are Not the Target Study Population</w:t>
      </w:r>
    </w:p>
    <w:p w14:paraId="7AF700B0" w14:textId="77777777" w:rsidR="00142909" w:rsidRDefault="00142909" w:rsidP="00AF7A51">
      <w:pPr>
        <w:pStyle w:val="NoSpacing"/>
        <w:ind w:left="360"/>
        <w:outlineLvl w:val="0"/>
        <w:rPr>
          <w:color w:val="auto"/>
          <w:sz w:val="22"/>
          <w:szCs w:val="22"/>
        </w:rPr>
      </w:pPr>
    </w:p>
    <w:p w14:paraId="03875D36" w14:textId="1BA7F0CB" w:rsidR="00ED134C" w:rsidRDefault="0099595C" w:rsidP="0099595C">
      <w:pPr>
        <w:pStyle w:val="NoSpacing"/>
        <w:spacing w:after="120"/>
        <w:ind w:left="810" w:hanging="450"/>
        <w:rPr>
          <w:color w:val="auto"/>
          <w:sz w:val="22"/>
          <w:szCs w:val="22"/>
        </w:rPr>
      </w:pPr>
      <w:r>
        <w:rPr>
          <w:color w:val="auto"/>
          <w:sz w:val="22"/>
          <w:szCs w:val="22"/>
        </w:rPr>
        <w:t>5.1</w:t>
      </w:r>
      <w:r>
        <w:rPr>
          <w:color w:val="auto"/>
          <w:sz w:val="22"/>
          <w:szCs w:val="22"/>
        </w:rPr>
        <w:tab/>
        <w:t>When research targets a wide population that will include women of childbearing potential, there is the possibility of pregnancy, coincidental to subject selection.</w:t>
      </w:r>
    </w:p>
    <w:p w14:paraId="242E5D55" w14:textId="1095BC12" w:rsidR="0099595C" w:rsidRDefault="0099595C" w:rsidP="0099595C">
      <w:pPr>
        <w:pStyle w:val="NoSpacing"/>
        <w:numPr>
          <w:ilvl w:val="0"/>
          <w:numId w:val="48"/>
        </w:numPr>
        <w:spacing w:after="120"/>
        <w:rPr>
          <w:color w:val="auto"/>
          <w:sz w:val="22"/>
          <w:szCs w:val="22"/>
        </w:rPr>
      </w:pPr>
      <w:r>
        <w:rPr>
          <w:color w:val="auto"/>
          <w:sz w:val="22"/>
          <w:szCs w:val="22"/>
        </w:rPr>
        <w:t xml:space="preserve">In the IRB application, the researcher should describe the conditions and requirements (if any) for: </w:t>
      </w:r>
      <w:r>
        <w:rPr>
          <w:b/>
          <w:bCs/>
          <w:color w:val="auto"/>
          <w:sz w:val="22"/>
          <w:szCs w:val="22"/>
        </w:rPr>
        <w:t xml:space="preserve">1) </w:t>
      </w:r>
      <w:r>
        <w:rPr>
          <w:color w:val="auto"/>
          <w:sz w:val="22"/>
          <w:szCs w:val="22"/>
        </w:rPr>
        <w:t xml:space="preserve">inclusion of pregnant women; </w:t>
      </w:r>
      <w:r>
        <w:rPr>
          <w:b/>
          <w:bCs/>
          <w:color w:val="auto"/>
          <w:sz w:val="22"/>
          <w:szCs w:val="22"/>
        </w:rPr>
        <w:t xml:space="preserve">2) </w:t>
      </w:r>
      <w:r>
        <w:rPr>
          <w:color w:val="auto"/>
          <w:sz w:val="22"/>
          <w:szCs w:val="22"/>
        </w:rPr>
        <w:t xml:space="preserve">exclusion of pregnant women; </w:t>
      </w:r>
      <w:r>
        <w:rPr>
          <w:b/>
          <w:bCs/>
          <w:color w:val="auto"/>
          <w:sz w:val="22"/>
          <w:szCs w:val="22"/>
        </w:rPr>
        <w:t xml:space="preserve">or 3) </w:t>
      </w:r>
      <w:r>
        <w:rPr>
          <w:color w:val="auto"/>
          <w:sz w:val="22"/>
          <w:szCs w:val="22"/>
        </w:rPr>
        <w:t>women of childbearing potential who may become study participants.</w:t>
      </w:r>
    </w:p>
    <w:p w14:paraId="63D98578" w14:textId="1A949B40" w:rsidR="0099595C" w:rsidRDefault="0099595C" w:rsidP="0099595C">
      <w:pPr>
        <w:pStyle w:val="NoSpacing"/>
        <w:spacing w:after="120"/>
        <w:ind w:left="810" w:hanging="450"/>
        <w:rPr>
          <w:color w:val="auto"/>
          <w:sz w:val="22"/>
          <w:szCs w:val="22"/>
        </w:rPr>
      </w:pPr>
      <w:r>
        <w:rPr>
          <w:color w:val="auto"/>
          <w:sz w:val="22"/>
          <w:szCs w:val="22"/>
        </w:rPr>
        <w:t>5.2</w:t>
      </w:r>
      <w:r>
        <w:rPr>
          <w:color w:val="auto"/>
          <w:sz w:val="22"/>
          <w:szCs w:val="22"/>
        </w:rPr>
        <w:tab/>
        <w:t>The IRB should consider the following issues:</w:t>
      </w:r>
    </w:p>
    <w:p w14:paraId="7B490704" w14:textId="29A9ADE4" w:rsidR="0099595C" w:rsidRDefault="00E35012" w:rsidP="00E35012">
      <w:pPr>
        <w:pStyle w:val="NoSpacing"/>
        <w:tabs>
          <w:tab w:val="left" w:pos="1350"/>
        </w:tabs>
        <w:spacing w:after="120"/>
        <w:ind w:left="1350" w:hanging="630"/>
        <w:rPr>
          <w:color w:val="auto"/>
          <w:sz w:val="22"/>
          <w:szCs w:val="22"/>
        </w:rPr>
      </w:pPr>
      <w:r>
        <w:rPr>
          <w:color w:val="auto"/>
          <w:sz w:val="22"/>
          <w:szCs w:val="22"/>
        </w:rPr>
        <w:t>5.2.1</w:t>
      </w:r>
      <w:r>
        <w:rPr>
          <w:color w:val="auto"/>
          <w:sz w:val="22"/>
          <w:szCs w:val="22"/>
        </w:rPr>
        <w:tab/>
        <w:t>Does the IRB application or research protocol define any conditions under which pregnant women or women of childbearing potential who may be encountered during study enrollment can be included or excluded?</w:t>
      </w:r>
    </w:p>
    <w:p w14:paraId="00945F87" w14:textId="27F14B98" w:rsidR="00E35012" w:rsidRDefault="00E35012" w:rsidP="00E35012">
      <w:pPr>
        <w:pStyle w:val="NoSpacing"/>
        <w:tabs>
          <w:tab w:val="left" w:pos="1350"/>
        </w:tabs>
        <w:spacing w:after="120"/>
        <w:ind w:left="1350" w:hanging="630"/>
        <w:rPr>
          <w:color w:val="auto"/>
          <w:sz w:val="22"/>
          <w:szCs w:val="22"/>
        </w:rPr>
      </w:pPr>
      <w:r>
        <w:rPr>
          <w:color w:val="auto"/>
          <w:sz w:val="22"/>
          <w:szCs w:val="22"/>
        </w:rPr>
        <w:t>5.2.2</w:t>
      </w:r>
      <w:r>
        <w:rPr>
          <w:color w:val="auto"/>
          <w:sz w:val="22"/>
          <w:szCs w:val="22"/>
        </w:rPr>
        <w:tab/>
        <w:t>Does the consent form for treatment and intervention studies describe any known risks to the pregnant or lactating woman (or to the fetus or neonate if the wom</w:t>
      </w:r>
      <w:r w:rsidR="008A7133">
        <w:rPr>
          <w:color w:val="auto"/>
          <w:sz w:val="22"/>
          <w:szCs w:val="22"/>
        </w:rPr>
        <w:t>a</w:t>
      </w:r>
      <w:r>
        <w:rPr>
          <w:color w:val="auto"/>
          <w:sz w:val="22"/>
          <w:szCs w:val="22"/>
        </w:rPr>
        <w:t>n is or becomes pregnant)? If the risks are not know</w:t>
      </w:r>
      <w:r w:rsidR="008A7133">
        <w:rPr>
          <w:color w:val="auto"/>
          <w:sz w:val="22"/>
          <w:szCs w:val="22"/>
        </w:rPr>
        <w:t>n</w:t>
      </w:r>
      <w:r>
        <w:rPr>
          <w:color w:val="auto"/>
          <w:sz w:val="22"/>
          <w:szCs w:val="22"/>
        </w:rPr>
        <w:t xml:space="preserve"> because there is little experience in pregnant women, does the consent form clearly state this? These risks and the steps to be taken to minimize them should be discussed in the IRB application and the consent form.</w:t>
      </w:r>
    </w:p>
    <w:p w14:paraId="1E5D64BD" w14:textId="360A07BD" w:rsidR="00E35012" w:rsidRDefault="00E35012" w:rsidP="00E35012">
      <w:pPr>
        <w:pStyle w:val="NoSpacing"/>
        <w:tabs>
          <w:tab w:val="left" w:pos="1350"/>
        </w:tabs>
        <w:spacing w:after="120"/>
        <w:ind w:left="1350" w:hanging="630"/>
        <w:rPr>
          <w:color w:val="auto"/>
          <w:sz w:val="22"/>
          <w:szCs w:val="22"/>
        </w:rPr>
      </w:pPr>
      <w:r>
        <w:rPr>
          <w:color w:val="auto"/>
          <w:sz w:val="22"/>
          <w:szCs w:val="22"/>
        </w:rPr>
        <w:t>5.2.3</w:t>
      </w:r>
      <w:r>
        <w:rPr>
          <w:color w:val="auto"/>
          <w:sz w:val="22"/>
          <w:szCs w:val="22"/>
        </w:rPr>
        <w:tab/>
        <w:t>Should researchers advise participants to avoid pregnancy or nursing for a time during or following the research? Is it appropriate to advise the subjects to notify the researcher immediately should they become pregnant?</w:t>
      </w:r>
    </w:p>
    <w:p w14:paraId="200FA48F" w14:textId="3BEA7EFF" w:rsidR="00E35012" w:rsidRPr="00E35012" w:rsidRDefault="00E35012" w:rsidP="00E35012">
      <w:pPr>
        <w:pStyle w:val="NoSpacing"/>
        <w:tabs>
          <w:tab w:val="left" w:pos="1350"/>
        </w:tabs>
        <w:spacing w:after="120"/>
        <w:ind w:left="1350" w:hanging="630"/>
        <w:rPr>
          <w:color w:val="auto"/>
          <w:sz w:val="22"/>
          <w:szCs w:val="22"/>
        </w:rPr>
      </w:pPr>
      <w:r>
        <w:rPr>
          <w:color w:val="auto"/>
          <w:sz w:val="22"/>
          <w:szCs w:val="22"/>
        </w:rPr>
        <w:t>5.2.4</w:t>
      </w:r>
      <w:r>
        <w:rPr>
          <w:color w:val="auto"/>
          <w:sz w:val="22"/>
          <w:szCs w:val="22"/>
        </w:rPr>
        <w:tab/>
        <w:t>The IRB should</w:t>
      </w:r>
      <w:r w:rsidR="008A7133">
        <w:rPr>
          <w:color w:val="auto"/>
          <w:sz w:val="22"/>
          <w:szCs w:val="22"/>
        </w:rPr>
        <w:t xml:space="preserve"> also</w:t>
      </w:r>
      <w:r>
        <w:rPr>
          <w:color w:val="auto"/>
          <w:sz w:val="22"/>
          <w:szCs w:val="22"/>
        </w:rPr>
        <w:t xml:space="preserve"> consider the issues discussed below in </w:t>
      </w:r>
      <w:r>
        <w:rPr>
          <w:b/>
          <w:bCs/>
          <w:color w:val="auto"/>
          <w:sz w:val="22"/>
          <w:szCs w:val="22"/>
        </w:rPr>
        <w:t xml:space="preserve">Issues to Consider </w:t>
      </w:r>
      <w:r>
        <w:rPr>
          <w:color w:val="auto"/>
          <w:sz w:val="22"/>
          <w:szCs w:val="22"/>
        </w:rPr>
        <w:t>(Section 7).</w:t>
      </w:r>
    </w:p>
    <w:p w14:paraId="2ADF0298" w14:textId="01B1F663" w:rsidR="00142909" w:rsidRDefault="00142909" w:rsidP="004B6D11">
      <w:pPr>
        <w:pStyle w:val="NoSpacing"/>
        <w:ind w:firstLine="720"/>
        <w:outlineLvl w:val="0"/>
        <w:rPr>
          <w:color w:val="auto"/>
          <w:sz w:val="22"/>
          <w:szCs w:val="22"/>
        </w:rPr>
      </w:pPr>
    </w:p>
    <w:p w14:paraId="4873579C" w14:textId="1C7184DA" w:rsidR="00142909" w:rsidRPr="00E35012" w:rsidRDefault="00E35012" w:rsidP="0026022B">
      <w:pPr>
        <w:pStyle w:val="NoSpacing"/>
        <w:numPr>
          <w:ilvl w:val="0"/>
          <w:numId w:val="41"/>
        </w:numPr>
        <w:outlineLvl w:val="0"/>
        <w:rPr>
          <w:b/>
          <w:bCs/>
          <w:color w:val="auto"/>
          <w:sz w:val="22"/>
          <w:szCs w:val="22"/>
        </w:rPr>
      </w:pPr>
      <w:r>
        <w:rPr>
          <w:b/>
          <w:bCs/>
          <w:color w:val="auto"/>
          <w:sz w:val="22"/>
          <w:szCs w:val="22"/>
        </w:rPr>
        <w:t>PROCEDURES – Pregnancy as an Exclusion Criterion</w:t>
      </w:r>
      <w:r w:rsidR="000406B3" w:rsidRPr="1301FCCD">
        <w:rPr>
          <w:b/>
          <w:bCs/>
          <w:color w:val="auto"/>
          <w:sz w:val="22"/>
          <w:szCs w:val="22"/>
        </w:rPr>
        <w:t xml:space="preserve"> </w:t>
      </w:r>
    </w:p>
    <w:p w14:paraId="3EAA0BC2" w14:textId="77777777" w:rsidR="00E35012" w:rsidRDefault="00E35012" w:rsidP="00E35012">
      <w:pPr>
        <w:pStyle w:val="NoSpacing"/>
        <w:ind w:left="360"/>
        <w:outlineLvl w:val="0"/>
        <w:rPr>
          <w:color w:val="auto"/>
          <w:sz w:val="22"/>
          <w:szCs w:val="22"/>
        </w:rPr>
      </w:pPr>
    </w:p>
    <w:p w14:paraId="266783CE" w14:textId="27DBCD8C" w:rsidR="00E35012" w:rsidRDefault="007441A4" w:rsidP="006B49DD">
      <w:pPr>
        <w:pStyle w:val="NoSpacing"/>
        <w:spacing w:after="120"/>
        <w:ind w:left="907" w:hanging="547"/>
        <w:rPr>
          <w:color w:val="auto"/>
          <w:sz w:val="22"/>
          <w:szCs w:val="22"/>
        </w:rPr>
      </w:pPr>
      <w:r>
        <w:rPr>
          <w:color w:val="auto"/>
          <w:sz w:val="22"/>
          <w:szCs w:val="22"/>
        </w:rPr>
        <w:t>6.1</w:t>
      </w:r>
      <w:r>
        <w:rPr>
          <w:color w:val="auto"/>
          <w:sz w:val="22"/>
          <w:szCs w:val="22"/>
        </w:rPr>
        <w:tab/>
        <w:t>If a study proposes to exclude pregnant women, the IRB application should describe the risks that require exclusion or, if applicable, state that pregnancy is exclusionary due to a lack of knowledge of the risks. This requirement is relevant to the criteria for IRB approval.</w:t>
      </w:r>
    </w:p>
    <w:p w14:paraId="7DB781A6" w14:textId="53EBA486" w:rsidR="007441A4" w:rsidRDefault="007441A4" w:rsidP="006B49DD">
      <w:pPr>
        <w:pStyle w:val="NoSpacing"/>
        <w:spacing w:after="120"/>
        <w:ind w:left="907" w:hanging="547"/>
        <w:rPr>
          <w:color w:val="auto"/>
          <w:sz w:val="22"/>
          <w:szCs w:val="22"/>
        </w:rPr>
      </w:pPr>
      <w:r>
        <w:rPr>
          <w:color w:val="auto"/>
          <w:sz w:val="22"/>
          <w:szCs w:val="22"/>
        </w:rPr>
        <w:t>6.2</w:t>
      </w:r>
      <w:r>
        <w:rPr>
          <w:color w:val="auto"/>
          <w:sz w:val="22"/>
          <w:szCs w:val="22"/>
        </w:rPr>
        <w:tab/>
        <w:t>For research that poses an unacceptable risk to the pregnant woman or fetus, the criteria for IRB approval are interpreted by the UW IRB to mean that non-pregnant participants of child-bearing potential should be:</w:t>
      </w:r>
    </w:p>
    <w:p w14:paraId="074DC624" w14:textId="5EAC60B4" w:rsidR="007441A4" w:rsidRDefault="007441A4" w:rsidP="006B49DD">
      <w:pPr>
        <w:pStyle w:val="NoSpacing"/>
        <w:numPr>
          <w:ilvl w:val="0"/>
          <w:numId w:val="48"/>
        </w:numPr>
        <w:spacing w:after="120"/>
        <w:rPr>
          <w:color w:val="auto"/>
          <w:sz w:val="22"/>
          <w:szCs w:val="22"/>
        </w:rPr>
      </w:pPr>
      <w:r>
        <w:rPr>
          <w:color w:val="auto"/>
          <w:sz w:val="22"/>
          <w:szCs w:val="22"/>
        </w:rPr>
        <w:t xml:space="preserve">Instructed on methods to avoid pregnancy during and (as applicable) for some time after the study; </w:t>
      </w:r>
    </w:p>
    <w:p w14:paraId="1A1C6FD9" w14:textId="549EBEC0" w:rsidR="007441A4" w:rsidRDefault="007441A4" w:rsidP="006B49DD">
      <w:pPr>
        <w:pStyle w:val="NoSpacing"/>
        <w:numPr>
          <w:ilvl w:val="0"/>
          <w:numId w:val="48"/>
        </w:numPr>
        <w:spacing w:after="120"/>
        <w:rPr>
          <w:color w:val="auto"/>
          <w:sz w:val="22"/>
          <w:szCs w:val="22"/>
        </w:rPr>
      </w:pPr>
      <w:r>
        <w:rPr>
          <w:color w:val="auto"/>
          <w:sz w:val="22"/>
          <w:szCs w:val="22"/>
        </w:rPr>
        <w:t xml:space="preserve">Informed about any pregnancy testing that may be required before and during the study; </w:t>
      </w:r>
      <w:r>
        <w:rPr>
          <w:b/>
          <w:bCs/>
          <w:color w:val="auto"/>
          <w:sz w:val="22"/>
          <w:szCs w:val="22"/>
        </w:rPr>
        <w:t>and</w:t>
      </w:r>
    </w:p>
    <w:p w14:paraId="0B2FEA41" w14:textId="21615C89" w:rsidR="007441A4" w:rsidRDefault="007441A4" w:rsidP="006B49DD">
      <w:pPr>
        <w:pStyle w:val="NoSpacing"/>
        <w:numPr>
          <w:ilvl w:val="0"/>
          <w:numId w:val="48"/>
        </w:numPr>
        <w:spacing w:after="120"/>
        <w:rPr>
          <w:color w:val="auto"/>
          <w:sz w:val="22"/>
          <w:szCs w:val="22"/>
        </w:rPr>
      </w:pPr>
      <w:r>
        <w:rPr>
          <w:color w:val="auto"/>
          <w:sz w:val="22"/>
          <w:szCs w:val="22"/>
        </w:rPr>
        <w:t>The information should be clearly described in the consent form.</w:t>
      </w:r>
    </w:p>
    <w:p w14:paraId="3F9CB465" w14:textId="3A2E8453" w:rsidR="00A86C60" w:rsidRPr="00A86C60" w:rsidRDefault="00A86C60" w:rsidP="006B49DD">
      <w:pPr>
        <w:pStyle w:val="NoSpacing"/>
        <w:spacing w:after="120"/>
        <w:ind w:left="900" w:hanging="540"/>
        <w:rPr>
          <w:color w:val="auto"/>
          <w:sz w:val="22"/>
          <w:szCs w:val="22"/>
        </w:rPr>
      </w:pPr>
      <w:r>
        <w:rPr>
          <w:color w:val="auto"/>
          <w:sz w:val="22"/>
          <w:szCs w:val="22"/>
        </w:rPr>
        <w:t>6.3</w:t>
      </w:r>
      <w:r>
        <w:rPr>
          <w:color w:val="auto"/>
          <w:sz w:val="22"/>
          <w:szCs w:val="22"/>
        </w:rPr>
        <w:tab/>
        <w:t xml:space="preserve">The IRB should also consider the issues discussed below in </w:t>
      </w:r>
      <w:r>
        <w:rPr>
          <w:b/>
          <w:bCs/>
          <w:color w:val="auto"/>
          <w:sz w:val="22"/>
          <w:szCs w:val="22"/>
        </w:rPr>
        <w:t xml:space="preserve">Issues to Consider </w:t>
      </w:r>
      <w:r>
        <w:rPr>
          <w:color w:val="auto"/>
          <w:sz w:val="22"/>
          <w:szCs w:val="22"/>
        </w:rPr>
        <w:t>(Section 7).</w:t>
      </w:r>
    </w:p>
    <w:p w14:paraId="443095BB" w14:textId="77777777" w:rsidR="00E35012" w:rsidRDefault="00E35012" w:rsidP="00E35012">
      <w:pPr>
        <w:pStyle w:val="NoSpacing"/>
        <w:ind w:left="360"/>
        <w:outlineLvl w:val="0"/>
        <w:rPr>
          <w:b/>
          <w:bCs/>
          <w:color w:val="auto"/>
          <w:sz w:val="22"/>
          <w:szCs w:val="22"/>
        </w:rPr>
      </w:pPr>
    </w:p>
    <w:p w14:paraId="6D4B5031" w14:textId="27C51399" w:rsidR="00E35012" w:rsidRPr="002C7607" w:rsidRDefault="00E35012" w:rsidP="0026022B">
      <w:pPr>
        <w:pStyle w:val="NoSpacing"/>
        <w:numPr>
          <w:ilvl w:val="0"/>
          <w:numId w:val="41"/>
        </w:numPr>
        <w:outlineLvl w:val="0"/>
        <w:rPr>
          <w:b/>
          <w:bCs/>
          <w:color w:val="auto"/>
          <w:sz w:val="22"/>
          <w:szCs w:val="22"/>
        </w:rPr>
      </w:pPr>
      <w:r>
        <w:rPr>
          <w:b/>
          <w:bCs/>
          <w:color w:val="auto"/>
          <w:sz w:val="22"/>
          <w:szCs w:val="22"/>
        </w:rPr>
        <w:lastRenderedPageBreak/>
        <w:t>ISSUES TO CONSIDER</w:t>
      </w:r>
      <w:r w:rsidR="002C7607">
        <w:rPr>
          <w:b/>
          <w:bCs/>
          <w:color w:val="auto"/>
          <w:sz w:val="22"/>
          <w:szCs w:val="22"/>
        </w:rPr>
        <w:t xml:space="preserve"> – Reproductive Harm Risks, Contraception, and Risk Management</w:t>
      </w:r>
    </w:p>
    <w:p w14:paraId="28C5E0CF" w14:textId="77777777" w:rsidR="002C7607" w:rsidRDefault="002C7607" w:rsidP="002C7607">
      <w:pPr>
        <w:pStyle w:val="NoSpacing"/>
        <w:ind w:left="360"/>
        <w:outlineLvl w:val="0"/>
        <w:rPr>
          <w:color w:val="auto"/>
          <w:sz w:val="22"/>
          <w:szCs w:val="22"/>
        </w:rPr>
      </w:pPr>
    </w:p>
    <w:p w14:paraId="35A48204" w14:textId="79BBF43E" w:rsidR="002C7607" w:rsidRDefault="002C7607" w:rsidP="006B49DD">
      <w:pPr>
        <w:pStyle w:val="NoSpacing"/>
        <w:spacing w:after="120"/>
        <w:ind w:left="907" w:hanging="547"/>
        <w:rPr>
          <w:color w:val="auto"/>
          <w:sz w:val="22"/>
          <w:szCs w:val="22"/>
        </w:rPr>
      </w:pPr>
      <w:r>
        <w:rPr>
          <w:color w:val="auto"/>
          <w:sz w:val="22"/>
          <w:szCs w:val="22"/>
        </w:rPr>
        <w:t>7.1</w:t>
      </w:r>
      <w:r>
        <w:rPr>
          <w:color w:val="auto"/>
          <w:sz w:val="22"/>
          <w:szCs w:val="22"/>
        </w:rPr>
        <w:tab/>
        <w:t>Prospective study subjects should be warned about possible reproductive or lactation risks (if any) from study treatments. These risks and the steps taken to minimize them should be described in the IRB application and in the consent form.</w:t>
      </w:r>
    </w:p>
    <w:p w14:paraId="249DEB33" w14:textId="5233ADD8" w:rsidR="002C7607" w:rsidRDefault="002C7607" w:rsidP="006B49DD">
      <w:pPr>
        <w:pStyle w:val="NoSpacing"/>
        <w:spacing w:after="120"/>
        <w:ind w:left="907" w:hanging="547"/>
        <w:rPr>
          <w:color w:val="auto"/>
          <w:sz w:val="22"/>
          <w:szCs w:val="22"/>
        </w:rPr>
      </w:pPr>
      <w:r>
        <w:rPr>
          <w:color w:val="auto"/>
          <w:sz w:val="22"/>
          <w:szCs w:val="22"/>
        </w:rPr>
        <w:t>7.2</w:t>
      </w:r>
      <w:r>
        <w:rPr>
          <w:color w:val="auto"/>
          <w:sz w:val="22"/>
          <w:szCs w:val="22"/>
        </w:rPr>
        <w:tab/>
      </w:r>
      <w:r>
        <w:rPr>
          <w:b/>
          <w:bCs/>
          <w:color w:val="auto"/>
          <w:sz w:val="22"/>
          <w:szCs w:val="22"/>
        </w:rPr>
        <w:t xml:space="preserve">Study-specific. </w:t>
      </w:r>
      <w:r>
        <w:rPr>
          <w:color w:val="auto"/>
          <w:sz w:val="22"/>
          <w:szCs w:val="22"/>
        </w:rPr>
        <w:t xml:space="preserve">Discussion of reproductive harm, and measures taken to minimize harm, should be study-specific. This may include: </w:t>
      </w:r>
    </w:p>
    <w:p w14:paraId="3908E532" w14:textId="053B9AEA" w:rsidR="002C7607" w:rsidRDefault="002C7607" w:rsidP="006B49DD">
      <w:pPr>
        <w:pStyle w:val="NoSpacing"/>
        <w:numPr>
          <w:ilvl w:val="0"/>
          <w:numId w:val="49"/>
        </w:numPr>
        <w:spacing w:after="120"/>
        <w:ind w:left="1260"/>
        <w:rPr>
          <w:color w:val="auto"/>
          <w:sz w:val="22"/>
          <w:szCs w:val="22"/>
        </w:rPr>
      </w:pPr>
      <w:r>
        <w:rPr>
          <w:color w:val="auto"/>
          <w:sz w:val="22"/>
          <w:szCs w:val="22"/>
        </w:rPr>
        <w:t>Direct teratogenic effects</w:t>
      </w:r>
    </w:p>
    <w:p w14:paraId="12384571" w14:textId="6AA355DD" w:rsidR="002C7607" w:rsidRDefault="002C7607" w:rsidP="006B49DD">
      <w:pPr>
        <w:pStyle w:val="NoSpacing"/>
        <w:numPr>
          <w:ilvl w:val="0"/>
          <w:numId w:val="49"/>
        </w:numPr>
        <w:spacing w:after="120"/>
        <w:ind w:left="1260"/>
        <w:rPr>
          <w:color w:val="auto"/>
          <w:sz w:val="22"/>
          <w:szCs w:val="22"/>
        </w:rPr>
      </w:pPr>
      <w:r>
        <w:rPr>
          <w:color w:val="auto"/>
          <w:sz w:val="22"/>
          <w:szCs w:val="22"/>
        </w:rPr>
        <w:t>Possible germline effects</w:t>
      </w:r>
    </w:p>
    <w:p w14:paraId="0BC98D50" w14:textId="3FA113DC" w:rsidR="002C7607" w:rsidRDefault="002C7607" w:rsidP="006B49DD">
      <w:pPr>
        <w:pStyle w:val="NoSpacing"/>
        <w:numPr>
          <w:ilvl w:val="0"/>
          <w:numId w:val="49"/>
        </w:numPr>
        <w:spacing w:after="120"/>
        <w:ind w:left="1260"/>
        <w:rPr>
          <w:color w:val="auto"/>
          <w:sz w:val="22"/>
          <w:szCs w:val="22"/>
        </w:rPr>
      </w:pPr>
      <w:r>
        <w:rPr>
          <w:color w:val="auto"/>
          <w:sz w:val="22"/>
          <w:szCs w:val="22"/>
        </w:rPr>
        <w:t>Effects on a woman’s ability to continue the current pregnancy</w:t>
      </w:r>
    </w:p>
    <w:p w14:paraId="53207BDC" w14:textId="2E645FA1" w:rsidR="002C7607" w:rsidRDefault="002C7607" w:rsidP="006B49DD">
      <w:pPr>
        <w:pStyle w:val="NoSpacing"/>
        <w:numPr>
          <w:ilvl w:val="0"/>
          <w:numId w:val="49"/>
        </w:numPr>
        <w:spacing w:after="120"/>
        <w:ind w:left="1260"/>
        <w:rPr>
          <w:color w:val="auto"/>
          <w:sz w:val="22"/>
          <w:szCs w:val="22"/>
        </w:rPr>
      </w:pPr>
      <w:r>
        <w:rPr>
          <w:color w:val="auto"/>
          <w:sz w:val="22"/>
          <w:szCs w:val="22"/>
        </w:rPr>
        <w:t>Effects on fertility and future pregnancies</w:t>
      </w:r>
    </w:p>
    <w:p w14:paraId="5C2B75F9" w14:textId="1385CA6C" w:rsidR="002C7607" w:rsidRDefault="002C7607" w:rsidP="006B49DD">
      <w:pPr>
        <w:pStyle w:val="NoSpacing"/>
        <w:spacing w:after="120"/>
        <w:ind w:left="900" w:hanging="540"/>
        <w:rPr>
          <w:color w:val="auto"/>
          <w:sz w:val="22"/>
          <w:szCs w:val="22"/>
        </w:rPr>
      </w:pPr>
      <w:r>
        <w:rPr>
          <w:color w:val="auto"/>
          <w:sz w:val="22"/>
          <w:szCs w:val="22"/>
        </w:rPr>
        <w:t>7.3</w:t>
      </w:r>
      <w:r>
        <w:rPr>
          <w:color w:val="auto"/>
          <w:sz w:val="22"/>
          <w:szCs w:val="22"/>
        </w:rPr>
        <w:tab/>
      </w:r>
      <w:r>
        <w:rPr>
          <w:b/>
          <w:bCs/>
          <w:color w:val="auto"/>
          <w:sz w:val="22"/>
          <w:szCs w:val="22"/>
        </w:rPr>
        <w:t xml:space="preserve">Gender appropriate. </w:t>
      </w:r>
      <w:r>
        <w:rPr>
          <w:color w:val="auto"/>
          <w:sz w:val="22"/>
          <w:szCs w:val="22"/>
        </w:rPr>
        <w:t xml:space="preserve">Reproductive harms and steps to be taken to avoid or minimize them may be unique to gender or may be different for men and women. The IRB application and consent forms should address concerns appropriate to each subject </w:t>
      </w:r>
      <w:r w:rsidR="008A7133">
        <w:rPr>
          <w:color w:val="auto"/>
          <w:sz w:val="22"/>
          <w:szCs w:val="22"/>
        </w:rPr>
        <w:t>populatio</w:t>
      </w:r>
      <w:r>
        <w:rPr>
          <w:color w:val="auto"/>
          <w:sz w:val="22"/>
          <w:szCs w:val="22"/>
        </w:rPr>
        <w:t>n.</w:t>
      </w:r>
    </w:p>
    <w:p w14:paraId="1F487DFE" w14:textId="38EF2A47" w:rsidR="00CD5D80" w:rsidRPr="00CD5D80" w:rsidRDefault="00CD5D80" w:rsidP="006B49DD">
      <w:pPr>
        <w:pStyle w:val="NoSpacing"/>
        <w:spacing w:after="120"/>
        <w:ind w:left="900" w:hanging="540"/>
        <w:rPr>
          <w:color w:val="auto"/>
          <w:sz w:val="22"/>
          <w:szCs w:val="22"/>
        </w:rPr>
      </w:pPr>
      <w:r>
        <w:rPr>
          <w:color w:val="auto"/>
          <w:sz w:val="22"/>
          <w:szCs w:val="22"/>
        </w:rPr>
        <w:t>7.4</w:t>
      </w:r>
      <w:r>
        <w:rPr>
          <w:color w:val="auto"/>
          <w:sz w:val="22"/>
          <w:szCs w:val="22"/>
        </w:rPr>
        <w:tab/>
      </w:r>
      <w:r>
        <w:rPr>
          <w:b/>
          <w:bCs/>
          <w:color w:val="auto"/>
          <w:sz w:val="22"/>
          <w:szCs w:val="22"/>
        </w:rPr>
        <w:t xml:space="preserve">Exclusion and testing. </w:t>
      </w:r>
      <w:r>
        <w:rPr>
          <w:color w:val="auto"/>
          <w:sz w:val="22"/>
          <w:szCs w:val="22"/>
        </w:rPr>
        <w:t>While some risks legitimately justify exclusion of particular subject groups, in many studies prospective subjects should have the right to make their own choice about the level of risk they will tolerate, when they have been fully informed of the risks and possible benefits of participation.</w:t>
      </w:r>
    </w:p>
    <w:p w14:paraId="4F516929" w14:textId="7755CF4E" w:rsidR="00CD5D80" w:rsidRDefault="00CD5D80" w:rsidP="006B49DD">
      <w:pPr>
        <w:pStyle w:val="NoSpacing"/>
        <w:numPr>
          <w:ilvl w:val="0"/>
          <w:numId w:val="50"/>
        </w:numPr>
        <w:spacing w:after="120"/>
        <w:rPr>
          <w:color w:val="auto"/>
          <w:sz w:val="22"/>
          <w:szCs w:val="22"/>
        </w:rPr>
      </w:pPr>
      <w:r>
        <w:rPr>
          <w:color w:val="auto"/>
          <w:sz w:val="22"/>
          <w:szCs w:val="22"/>
        </w:rPr>
        <w:t>If exclusion of pregnant women, nursing women, or people who wish to start a pregnancy is justified for a study, the IRB application and consent form should explain the reasons for the exclusion and the steps to be taken to avoid problems, such as pregnancy testing prior to treatment and periodically during the study.</w:t>
      </w:r>
    </w:p>
    <w:p w14:paraId="19C25E70" w14:textId="201E0238" w:rsidR="00CD5D80" w:rsidRDefault="00CD5D80" w:rsidP="006B49DD">
      <w:pPr>
        <w:pStyle w:val="NoSpacing"/>
        <w:spacing w:after="120"/>
        <w:ind w:left="900" w:hanging="540"/>
        <w:rPr>
          <w:color w:val="auto"/>
          <w:sz w:val="22"/>
          <w:szCs w:val="22"/>
        </w:rPr>
      </w:pPr>
      <w:r>
        <w:rPr>
          <w:color w:val="auto"/>
          <w:sz w:val="22"/>
          <w:szCs w:val="22"/>
        </w:rPr>
        <w:t>7.5</w:t>
      </w:r>
      <w:r>
        <w:rPr>
          <w:color w:val="auto"/>
          <w:sz w:val="22"/>
          <w:szCs w:val="22"/>
        </w:rPr>
        <w:tab/>
      </w:r>
      <w:r>
        <w:rPr>
          <w:b/>
          <w:bCs/>
          <w:color w:val="auto"/>
          <w:sz w:val="22"/>
          <w:szCs w:val="22"/>
        </w:rPr>
        <w:t xml:space="preserve">Abstinence and methods of contraception. </w:t>
      </w:r>
      <w:r>
        <w:rPr>
          <w:color w:val="auto"/>
          <w:sz w:val="22"/>
          <w:szCs w:val="22"/>
        </w:rPr>
        <w:t>Methods required by the study and described in the consent form should be adequate to address the specific risks of the study. Issues:</w:t>
      </w:r>
    </w:p>
    <w:p w14:paraId="72152244" w14:textId="373EC0F4" w:rsidR="00CD5D80" w:rsidRDefault="00CD5D80" w:rsidP="006B49DD">
      <w:pPr>
        <w:pStyle w:val="NoSpacing"/>
        <w:numPr>
          <w:ilvl w:val="0"/>
          <w:numId w:val="50"/>
        </w:numPr>
        <w:spacing w:after="120"/>
        <w:rPr>
          <w:color w:val="auto"/>
          <w:sz w:val="22"/>
          <w:szCs w:val="22"/>
        </w:rPr>
      </w:pPr>
      <w:r>
        <w:rPr>
          <w:b/>
          <w:bCs/>
          <w:color w:val="auto"/>
          <w:sz w:val="22"/>
          <w:szCs w:val="22"/>
        </w:rPr>
        <w:t>The time period</w:t>
      </w:r>
      <w:r>
        <w:rPr>
          <w:color w:val="auto"/>
          <w:sz w:val="22"/>
          <w:szCs w:val="22"/>
        </w:rPr>
        <w:t xml:space="preserve"> when steps should be taken – before, during, or after treatment – should be clear in the IRB application and the consent form.</w:t>
      </w:r>
    </w:p>
    <w:p w14:paraId="43C859E5" w14:textId="4E46D0B1" w:rsidR="00CD5D80" w:rsidRDefault="00CD5D80" w:rsidP="006B49DD">
      <w:pPr>
        <w:pStyle w:val="NoSpacing"/>
        <w:numPr>
          <w:ilvl w:val="0"/>
          <w:numId w:val="50"/>
        </w:numPr>
        <w:spacing w:after="120"/>
        <w:rPr>
          <w:color w:val="auto"/>
          <w:sz w:val="22"/>
          <w:szCs w:val="22"/>
        </w:rPr>
      </w:pPr>
      <w:r>
        <w:rPr>
          <w:b/>
          <w:bCs/>
          <w:color w:val="auto"/>
          <w:sz w:val="22"/>
          <w:szCs w:val="22"/>
        </w:rPr>
        <w:t xml:space="preserve">Choices of methods </w:t>
      </w:r>
      <w:r>
        <w:rPr>
          <w:color w:val="auto"/>
          <w:sz w:val="22"/>
          <w:szCs w:val="22"/>
        </w:rPr>
        <w:t>should be as broad as is consistent with subject safety. Subjects should be told the short- and long-term advantages and disadvantages of the allowable methods.</w:t>
      </w:r>
    </w:p>
    <w:p w14:paraId="40F12269" w14:textId="16DE5E67" w:rsidR="00CD5D80" w:rsidRDefault="00CD5D80" w:rsidP="006B49DD">
      <w:pPr>
        <w:pStyle w:val="NoSpacing"/>
        <w:numPr>
          <w:ilvl w:val="0"/>
          <w:numId w:val="50"/>
        </w:numPr>
        <w:spacing w:after="120"/>
        <w:rPr>
          <w:color w:val="auto"/>
          <w:sz w:val="22"/>
          <w:szCs w:val="22"/>
        </w:rPr>
      </w:pPr>
      <w:r>
        <w:rPr>
          <w:b/>
          <w:bCs/>
          <w:color w:val="auto"/>
          <w:sz w:val="22"/>
          <w:szCs w:val="22"/>
        </w:rPr>
        <w:t xml:space="preserve">Barrier methods </w:t>
      </w:r>
      <w:r>
        <w:rPr>
          <w:color w:val="auto"/>
          <w:sz w:val="22"/>
          <w:szCs w:val="22"/>
        </w:rPr>
        <w:t xml:space="preserve">should be used when body fluids may transfer infectious agents, vectors, or medications. </w:t>
      </w:r>
    </w:p>
    <w:p w14:paraId="64D5BAD3" w14:textId="30DB6D3E" w:rsidR="00CD5D80" w:rsidRDefault="00CD5D80" w:rsidP="006B49DD">
      <w:pPr>
        <w:pStyle w:val="NoSpacing"/>
        <w:spacing w:after="120"/>
        <w:ind w:left="900" w:hanging="540"/>
        <w:rPr>
          <w:color w:val="auto"/>
          <w:sz w:val="22"/>
          <w:szCs w:val="22"/>
        </w:rPr>
      </w:pPr>
      <w:r>
        <w:rPr>
          <w:color w:val="auto"/>
          <w:sz w:val="22"/>
          <w:szCs w:val="22"/>
        </w:rPr>
        <w:t>7.6</w:t>
      </w:r>
      <w:r>
        <w:rPr>
          <w:color w:val="auto"/>
          <w:sz w:val="22"/>
          <w:szCs w:val="22"/>
        </w:rPr>
        <w:tab/>
      </w:r>
      <w:r>
        <w:rPr>
          <w:b/>
          <w:bCs/>
          <w:color w:val="auto"/>
          <w:sz w:val="22"/>
          <w:szCs w:val="22"/>
        </w:rPr>
        <w:t xml:space="preserve">Banking sperm and ova. </w:t>
      </w:r>
      <w:r>
        <w:rPr>
          <w:color w:val="auto"/>
          <w:sz w:val="22"/>
          <w:szCs w:val="22"/>
        </w:rPr>
        <w:t>When appropriate, the researcher should address the advisability of banking sperm and ova.</w:t>
      </w:r>
    </w:p>
    <w:p w14:paraId="535636C4" w14:textId="5887D87F" w:rsidR="00E35012" w:rsidRDefault="00CD5D80" w:rsidP="006B49DD">
      <w:pPr>
        <w:pStyle w:val="NoSpacing"/>
        <w:ind w:left="900" w:hanging="540"/>
        <w:rPr>
          <w:color w:val="auto"/>
          <w:sz w:val="22"/>
          <w:szCs w:val="22"/>
        </w:rPr>
      </w:pPr>
      <w:r>
        <w:rPr>
          <w:color w:val="auto"/>
          <w:sz w:val="22"/>
          <w:szCs w:val="22"/>
        </w:rPr>
        <w:t>7.7</w:t>
      </w:r>
      <w:r>
        <w:rPr>
          <w:color w:val="auto"/>
          <w:sz w:val="22"/>
          <w:szCs w:val="22"/>
        </w:rPr>
        <w:tab/>
      </w:r>
      <w:r>
        <w:rPr>
          <w:b/>
          <w:bCs/>
          <w:color w:val="auto"/>
          <w:sz w:val="22"/>
          <w:szCs w:val="22"/>
        </w:rPr>
        <w:t xml:space="preserve">If pregnancy occurs. </w:t>
      </w:r>
      <w:r>
        <w:rPr>
          <w:color w:val="auto"/>
          <w:sz w:val="22"/>
          <w:szCs w:val="22"/>
        </w:rPr>
        <w:t>The IRB application and consent form should describe what will happen if a subject, or the partner of a subject, becomes pregnant. Generally, the subject should contact the researcher, who can then discuss the risks and provide counseling about additional steps to be taken.</w:t>
      </w:r>
    </w:p>
    <w:p w14:paraId="1E4C7CF2" w14:textId="77777777" w:rsidR="00E35012" w:rsidRPr="00E35012" w:rsidRDefault="00E35012" w:rsidP="00E35012">
      <w:pPr>
        <w:pStyle w:val="NoSpacing"/>
        <w:ind w:left="360"/>
        <w:outlineLvl w:val="0"/>
        <w:rPr>
          <w:color w:val="auto"/>
          <w:sz w:val="22"/>
          <w:szCs w:val="22"/>
        </w:rPr>
      </w:pPr>
    </w:p>
    <w:p w14:paraId="4A94BBC7" w14:textId="273BE706" w:rsidR="00E35012" w:rsidRDefault="00E35012" w:rsidP="0026022B">
      <w:pPr>
        <w:pStyle w:val="NoSpacing"/>
        <w:numPr>
          <w:ilvl w:val="0"/>
          <w:numId w:val="41"/>
        </w:numPr>
        <w:outlineLvl w:val="0"/>
        <w:rPr>
          <w:b/>
          <w:bCs/>
          <w:color w:val="auto"/>
          <w:sz w:val="22"/>
          <w:szCs w:val="22"/>
        </w:rPr>
      </w:pPr>
      <w:r>
        <w:rPr>
          <w:b/>
          <w:bCs/>
          <w:color w:val="auto"/>
          <w:sz w:val="22"/>
          <w:szCs w:val="22"/>
        </w:rPr>
        <w:t>RELATED MATERIALS</w:t>
      </w:r>
    </w:p>
    <w:p w14:paraId="05D2A8E2" w14:textId="77777777" w:rsidR="00E35012" w:rsidRDefault="00E35012" w:rsidP="00E35012">
      <w:pPr>
        <w:pStyle w:val="NoSpacing"/>
        <w:ind w:left="360"/>
        <w:outlineLvl w:val="0"/>
        <w:rPr>
          <w:b/>
          <w:bCs/>
          <w:color w:val="auto"/>
          <w:sz w:val="22"/>
          <w:szCs w:val="22"/>
        </w:rPr>
      </w:pPr>
    </w:p>
    <w:p w14:paraId="5C1D54F6" w14:textId="69F5FCF4" w:rsidR="007441A4" w:rsidRPr="00CD5D80" w:rsidRDefault="007441A4" w:rsidP="006B49DD">
      <w:pPr>
        <w:pStyle w:val="NoSpacing"/>
        <w:ind w:left="360"/>
        <w:rPr>
          <w:color w:val="auto"/>
          <w:sz w:val="18"/>
          <w:szCs w:val="18"/>
        </w:rPr>
      </w:pPr>
      <w:r>
        <w:rPr>
          <w:color w:val="auto"/>
          <w:sz w:val="22"/>
          <w:szCs w:val="22"/>
        </w:rPr>
        <w:t>CHECKLIST Regulatory</w:t>
      </w:r>
      <w:r w:rsidR="00CD5D80">
        <w:rPr>
          <w:color w:val="auto"/>
          <w:sz w:val="22"/>
          <w:szCs w:val="22"/>
        </w:rPr>
        <w:t xml:space="preserve"> </w:t>
      </w:r>
      <w:r w:rsidR="00CD5D80">
        <w:rPr>
          <w:color w:val="auto"/>
          <w:sz w:val="18"/>
          <w:szCs w:val="18"/>
        </w:rPr>
        <w:t>[HSD staff access only]</w:t>
      </w:r>
    </w:p>
    <w:p w14:paraId="54C8AD52" w14:textId="4F4B4C7F" w:rsidR="00E35012" w:rsidRDefault="00E35012" w:rsidP="006B49DD">
      <w:pPr>
        <w:pStyle w:val="NoSpacing"/>
        <w:ind w:left="360"/>
        <w:rPr>
          <w:color w:val="auto"/>
          <w:sz w:val="22"/>
          <w:szCs w:val="22"/>
        </w:rPr>
      </w:pPr>
      <w:hyperlink r:id="rId16" w:history="1">
        <w:r w:rsidRPr="00CD5D80">
          <w:rPr>
            <w:rStyle w:val="Hyperlink"/>
            <w:sz w:val="22"/>
            <w:szCs w:val="22"/>
          </w:rPr>
          <w:t>GUIDANCE Author</w:t>
        </w:r>
        <w:r w:rsidRPr="00CD5D80">
          <w:rPr>
            <w:rStyle w:val="Hyperlink"/>
            <w:sz w:val="22"/>
            <w:szCs w:val="22"/>
          </w:rPr>
          <w:t>i</w:t>
        </w:r>
        <w:r w:rsidRPr="00CD5D80">
          <w:rPr>
            <w:rStyle w:val="Hyperlink"/>
            <w:sz w:val="22"/>
            <w:szCs w:val="22"/>
          </w:rPr>
          <w:t>ty and Responsibilities of HSD and UW IRB</w:t>
        </w:r>
      </w:hyperlink>
    </w:p>
    <w:p w14:paraId="05612E1D" w14:textId="00839F6F" w:rsidR="007441A4" w:rsidRDefault="007441A4" w:rsidP="006B49DD">
      <w:pPr>
        <w:pStyle w:val="NoSpacing"/>
        <w:ind w:left="360"/>
        <w:rPr>
          <w:color w:val="auto"/>
          <w:sz w:val="22"/>
          <w:szCs w:val="22"/>
        </w:rPr>
      </w:pPr>
      <w:hyperlink r:id="rId17" w:history="1">
        <w:r w:rsidRPr="00CD5D80">
          <w:rPr>
            <w:rStyle w:val="Hyperlink"/>
            <w:sz w:val="22"/>
            <w:szCs w:val="22"/>
          </w:rPr>
          <w:t>SOP Enviro</w:t>
        </w:r>
        <w:r w:rsidRPr="00CD5D80">
          <w:rPr>
            <w:rStyle w:val="Hyperlink"/>
            <w:sz w:val="22"/>
            <w:szCs w:val="22"/>
          </w:rPr>
          <w:t>n</w:t>
        </w:r>
        <w:r w:rsidRPr="00CD5D80">
          <w:rPr>
            <w:rStyle w:val="Hyperlink"/>
            <w:sz w:val="22"/>
            <w:szCs w:val="22"/>
          </w:rPr>
          <w:t>mental Protection Agency</w:t>
        </w:r>
      </w:hyperlink>
    </w:p>
    <w:p w14:paraId="3B8389C2" w14:textId="5E41CC6C" w:rsidR="00CD5D80" w:rsidRDefault="00CD5D80" w:rsidP="006B49DD">
      <w:pPr>
        <w:pStyle w:val="NoSpacing"/>
        <w:ind w:left="360"/>
        <w:rPr>
          <w:color w:val="auto"/>
          <w:sz w:val="22"/>
          <w:szCs w:val="22"/>
        </w:rPr>
      </w:pPr>
      <w:hyperlink r:id="rId18" w:history="1">
        <w:r w:rsidRPr="00CD5D80">
          <w:rPr>
            <w:rStyle w:val="Hyperlink"/>
            <w:sz w:val="22"/>
            <w:szCs w:val="22"/>
          </w:rPr>
          <w:t>WEBPAGE Designing the C</w:t>
        </w:r>
        <w:r w:rsidRPr="00CD5D80">
          <w:rPr>
            <w:rStyle w:val="Hyperlink"/>
            <w:sz w:val="22"/>
            <w:szCs w:val="22"/>
          </w:rPr>
          <w:t>o</w:t>
        </w:r>
        <w:r w:rsidRPr="00CD5D80">
          <w:rPr>
            <w:rStyle w:val="Hyperlink"/>
            <w:sz w:val="22"/>
            <w:szCs w:val="22"/>
          </w:rPr>
          <w:t>nsent Process Guidance</w:t>
        </w:r>
      </w:hyperlink>
    </w:p>
    <w:p w14:paraId="7E847B80" w14:textId="6F78E466" w:rsidR="00E35012" w:rsidRDefault="00E35012" w:rsidP="006B49DD">
      <w:pPr>
        <w:pStyle w:val="NoSpacing"/>
        <w:ind w:left="360"/>
        <w:rPr>
          <w:color w:val="auto"/>
          <w:sz w:val="22"/>
          <w:szCs w:val="22"/>
        </w:rPr>
      </w:pPr>
      <w:hyperlink r:id="rId19" w:history="1">
        <w:r w:rsidRPr="00CD5D80">
          <w:rPr>
            <w:rStyle w:val="Hyperlink"/>
            <w:sz w:val="22"/>
            <w:szCs w:val="22"/>
          </w:rPr>
          <w:t>WORKSHEET Envir</w:t>
        </w:r>
        <w:r w:rsidRPr="00CD5D80">
          <w:rPr>
            <w:rStyle w:val="Hyperlink"/>
            <w:sz w:val="22"/>
            <w:szCs w:val="22"/>
          </w:rPr>
          <w:t>o</w:t>
        </w:r>
        <w:r w:rsidRPr="00CD5D80">
          <w:rPr>
            <w:rStyle w:val="Hyperlink"/>
            <w:sz w:val="22"/>
            <w:szCs w:val="22"/>
          </w:rPr>
          <w:t>nmental Protection Agency</w:t>
        </w:r>
      </w:hyperlink>
      <w:r>
        <w:rPr>
          <w:color w:val="auto"/>
          <w:sz w:val="22"/>
          <w:szCs w:val="22"/>
        </w:rPr>
        <w:t xml:space="preserve"> </w:t>
      </w:r>
    </w:p>
    <w:p w14:paraId="56380678" w14:textId="6374540F" w:rsidR="00E35012" w:rsidRPr="00E35012" w:rsidRDefault="00E35012" w:rsidP="006B49DD">
      <w:pPr>
        <w:pStyle w:val="NoSpacing"/>
        <w:ind w:left="360"/>
        <w:rPr>
          <w:color w:val="auto"/>
          <w:sz w:val="22"/>
          <w:szCs w:val="22"/>
        </w:rPr>
      </w:pPr>
      <w:hyperlink r:id="rId20" w:history="1">
        <w:r w:rsidRPr="00CD5D80">
          <w:rPr>
            <w:rStyle w:val="Hyperlink"/>
            <w:sz w:val="22"/>
            <w:szCs w:val="22"/>
          </w:rPr>
          <w:t>WORKSHEET Pregnant Wo</w:t>
        </w:r>
        <w:r w:rsidRPr="00CD5D80">
          <w:rPr>
            <w:rStyle w:val="Hyperlink"/>
            <w:sz w:val="22"/>
            <w:szCs w:val="22"/>
          </w:rPr>
          <w:t>m</w:t>
        </w:r>
        <w:r w:rsidRPr="00CD5D80">
          <w:rPr>
            <w:rStyle w:val="Hyperlink"/>
            <w:sz w:val="22"/>
            <w:szCs w:val="22"/>
          </w:rPr>
          <w:t>en</w:t>
        </w:r>
      </w:hyperlink>
    </w:p>
    <w:p w14:paraId="13987122" w14:textId="77777777" w:rsidR="00E35012" w:rsidRDefault="00E35012" w:rsidP="00E35012">
      <w:pPr>
        <w:pStyle w:val="NoSpacing"/>
        <w:ind w:left="360"/>
        <w:outlineLvl w:val="0"/>
        <w:rPr>
          <w:b/>
          <w:bCs/>
          <w:color w:val="auto"/>
          <w:sz w:val="22"/>
          <w:szCs w:val="22"/>
        </w:rPr>
      </w:pPr>
    </w:p>
    <w:p w14:paraId="588D4298" w14:textId="4271A78B" w:rsidR="00E35012" w:rsidRDefault="00E35012" w:rsidP="0026022B">
      <w:pPr>
        <w:pStyle w:val="NoSpacing"/>
        <w:numPr>
          <w:ilvl w:val="0"/>
          <w:numId w:val="41"/>
        </w:numPr>
        <w:outlineLvl w:val="0"/>
        <w:rPr>
          <w:b/>
          <w:bCs/>
          <w:color w:val="auto"/>
          <w:sz w:val="22"/>
          <w:szCs w:val="22"/>
        </w:rPr>
      </w:pPr>
      <w:r>
        <w:rPr>
          <w:b/>
          <w:bCs/>
          <w:color w:val="auto"/>
          <w:sz w:val="22"/>
          <w:szCs w:val="22"/>
        </w:rPr>
        <w:t>REFERENCES</w:t>
      </w:r>
    </w:p>
    <w:p w14:paraId="341B979A" w14:textId="77777777" w:rsidR="00E35012" w:rsidRDefault="00E35012" w:rsidP="00E35012">
      <w:pPr>
        <w:pStyle w:val="NoSpacing"/>
        <w:ind w:left="360"/>
        <w:outlineLvl w:val="0"/>
        <w:rPr>
          <w:color w:val="auto"/>
          <w:sz w:val="22"/>
          <w:szCs w:val="22"/>
        </w:rPr>
      </w:pPr>
    </w:p>
    <w:p w14:paraId="7226A036" w14:textId="705CEEBF" w:rsidR="007C7606" w:rsidRPr="007C7606" w:rsidRDefault="007C7606" w:rsidP="006B49DD">
      <w:pPr>
        <w:pStyle w:val="NoSpacing"/>
        <w:ind w:left="634" w:hanging="274"/>
        <w:rPr>
          <w:color w:val="auto"/>
          <w:sz w:val="22"/>
          <w:szCs w:val="22"/>
        </w:rPr>
      </w:pPr>
      <w:r w:rsidRPr="007C7606">
        <w:rPr>
          <w:color w:val="auto"/>
          <w:sz w:val="22"/>
          <w:szCs w:val="22"/>
        </w:rPr>
        <w:t>45 CFR 46 Subpart B “Additional Protections for Pregnant Women, Human Fetuses and Neonates Involved in Research”</w:t>
      </w:r>
    </w:p>
    <w:p w14:paraId="4EDD1ABF" w14:textId="6F2D6421" w:rsidR="007C7606" w:rsidRPr="007C7606" w:rsidRDefault="007C7606" w:rsidP="006B49DD">
      <w:pPr>
        <w:pStyle w:val="NoSpacing"/>
        <w:ind w:left="634" w:hanging="274"/>
        <w:rPr>
          <w:color w:val="auto"/>
          <w:sz w:val="22"/>
          <w:szCs w:val="22"/>
        </w:rPr>
      </w:pPr>
      <w:r w:rsidRPr="007C7606">
        <w:rPr>
          <w:color w:val="auto"/>
          <w:sz w:val="22"/>
          <w:szCs w:val="22"/>
        </w:rPr>
        <w:t>Department of Defense Instruction 3216.02; November 8, 2011; “Protection of Human Subjects and Adherence to Ethical Standards in DOD-Supported Research”</w:t>
      </w:r>
    </w:p>
    <w:p w14:paraId="1357F738" w14:textId="402C0219" w:rsidR="007C7606" w:rsidRPr="007C7606" w:rsidRDefault="007C7606" w:rsidP="006B49DD">
      <w:pPr>
        <w:pStyle w:val="NoSpacing"/>
        <w:ind w:left="634" w:hanging="274"/>
        <w:rPr>
          <w:color w:val="auto"/>
          <w:sz w:val="22"/>
          <w:szCs w:val="22"/>
        </w:rPr>
      </w:pPr>
      <w:r w:rsidRPr="007C7606">
        <w:rPr>
          <w:color w:val="auto"/>
          <w:sz w:val="22"/>
          <w:szCs w:val="22"/>
        </w:rPr>
        <w:t xml:space="preserve">40 CFR 26 Subparts B and C, Environmental Protection Agency </w:t>
      </w:r>
    </w:p>
    <w:p w14:paraId="30B3CD0D" w14:textId="79143FB9" w:rsidR="007C7606" w:rsidRPr="007C7606" w:rsidRDefault="007C7606" w:rsidP="006B49DD">
      <w:pPr>
        <w:pStyle w:val="NoSpacing"/>
        <w:ind w:left="634" w:hanging="274"/>
        <w:rPr>
          <w:color w:val="auto"/>
          <w:sz w:val="22"/>
          <w:szCs w:val="22"/>
        </w:rPr>
      </w:pPr>
      <w:r w:rsidRPr="007C7606">
        <w:rPr>
          <w:color w:val="auto"/>
          <w:sz w:val="22"/>
          <w:szCs w:val="22"/>
        </w:rPr>
        <w:t>NIH Notice NOT-OD-19-128, “Changes to NIH Requirements Regarding Proposed Human Fetal Tissue Research”. July 26, 2019</w:t>
      </w:r>
    </w:p>
    <w:p w14:paraId="7CCE3DEA" w14:textId="6FE09FED" w:rsidR="007C7606" w:rsidRPr="007C7606" w:rsidRDefault="007C7606" w:rsidP="006B49DD">
      <w:pPr>
        <w:pStyle w:val="NoSpacing"/>
        <w:ind w:left="634" w:hanging="274"/>
        <w:rPr>
          <w:color w:val="auto"/>
          <w:sz w:val="22"/>
          <w:szCs w:val="22"/>
        </w:rPr>
      </w:pPr>
      <w:r w:rsidRPr="007C7606">
        <w:rPr>
          <w:color w:val="auto"/>
          <w:sz w:val="22"/>
          <w:szCs w:val="22"/>
        </w:rPr>
        <w:t>NIH Notice NOT-OD-19-137, “Clarifying Competing Application Instructions and Notice of Publication of Frequently Asked Questions (FAQs) Regarding Proposed Human Fetal Tissue Research”. August 23, 2019</w:t>
      </w:r>
    </w:p>
    <w:p w14:paraId="32E3A9CB" w14:textId="424B75C3" w:rsidR="007C7606" w:rsidRPr="00E35012" w:rsidRDefault="007C7606" w:rsidP="006B49DD">
      <w:pPr>
        <w:pStyle w:val="NoSpacing"/>
        <w:ind w:left="634" w:hanging="274"/>
        <w:rPr>
          <w:color w:val="auto"/>
          <w:sz w:val="22"/>
          <w:szCs w:val="22"/>
        </w:rPr>
      </w:pPr>
      <w:r w:rsidRPr="007C7606">
        <w:rPr>
          <w:color w:val="auto"/>
          <w:sz w:val="22"/>
          <w:szCs w:val="22"/>
        </w:rPr>
        <w:t xml:space="preserve">NIH Office of Extramural Research, Grants and Funding. “Frequently Asked Question: Human Fetal Tissue Research”.  Posted August 23, </w:t>
      </w:r>
      <w:proofErr w:type="gramStart"/>
      <w:r w:rsidRPr="007C7606">
        <w:rPr>
          <w:color w:val="auto"/>
          <w:sz w:val="22"/>
          <w:szCs w:val="22"/>
        </w:rPr>
        <w:t>2019</w:t>
      </w:r>
      <w:proofErr w:type="gramEnd"/>
      <w:r w:rsidRPr="007C7606">
        <w:rPr>
          <w:color w:val="auto"/>
          <w:sz w:val="22"/>
          <w:szCs w:val="22"/>
        </w:rPr>
        <w:t xml:space="preserve">  </w:t>
      </w:r>
      <w:hyperlink r:id="rId21" w:history="1">
        <w:r w:rsidRPr="00330EA6">
          <w:rPr>
            <w:rStyle w:val="Hyperlink"/>
            <w:sz w:val="22"/>
            <w:szCs w:val="22"/>
          </w:rPr>
          <w:t>https:</w:t>
        </w:r>
        <w:r w:rsidRPr="00330EA6">
          <w:rPr>
            <w:rStyle w:val="Hyperlink"/>
            <w:sz w:val="22"/>
            <w:szCs w:val="22"/>
          </w:rPr>
          <w:t>/</w:t>
        </w:r>
        <w:r w:rsidRPr="00330EA6">
          <w:rPr>
            <w:rStyle w:val="Hyperlink"/>
            <w:sz w:val="22"/>
            <w:szCs w:val="22"/>
          </w:rPr>
          <w:t>/grants.nih.gov/grants/human-fetal-tissue-research-faqs.htm</w:t>
        </w:r>
      </w:hyperlink>
      <w:r>
        <w:rPr>
          <w:color w:val="auto"/>
          <w:sz w:val="22"/>
          <w:szCs w:val="22"/>
        </w:rPr>
        <w:t xml:space="preserve"> </w:t>
      </w:r>
    </w:p>
    <w:p w14:paraId="0BF4E613" w14:textId="2E54D7F9" w:rsidR="00142909" w:rsidRDefault="000904C0" w:rsidP="00AF7A51">
      <w:pPr>
        <w:pStyle w:val="NoSpacing"/>
        <w:tabs>
          <w:tab w:val="left" w:pos="4575"/>
        </w:tabs>
        <w:ind w:left="360"/>
        <w:outlineLvl w:val="0"/>
        <w:rPr>
          <w:color w:val="auto"/>
          <w:sz w:val="22"/>
          <w:szCs w:val="22"/>
        </w:rPr>
      </w:pPr>
      <w:r>
        <w:rPr>
          <w:color w:val="auto"/>
          <w:sz w:val="22"/>
          <w:szCs w:val="22"/>
        </w:rPr>
        <w:tab/>
      </w:r>
      <w:r>
        <w:rPr>
          <w:color w:val="auto"/>
          <w:sz w:val="22"/>
          <w:szCs w:val="22"/>
        </w:rPr>
        <w:tab/>
      </w:r>
    </w:p>
    <w:p w14:paraId="09C1F33E" w14:textId="77777777" w:rsidR="00402916" w:rsidRDefault="00402916" w:rsidP="007C7606">
      <w:pPr>
        <w:pStyle w:val="NoSpacing"/>
        <w:outlineLvl w:val="0"/>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B9263B" w:rsidRPr="00ED134C" w14:paraId="237E37BD" w14:textId="77777777" w:rsidTr="73CF509B">
        <w:trPr>
          <w:trHeight w:val="233"/>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954C91" w:rsidRDefault="791D9845" w:rsidP="6C802FC0">
            <w:pPr>
              <w:pStyle w:val="NoSpacing"/>
              <w:jc w:val="center"/>
              <w:rPr>
                <w:b/>
                <w:bCs/>
                <w:color w:val="FFFFFF" w:themeColor="background1"/>
                <w:sz w:val="22"/>
                <w:szCs w:val="22"/>
              </w:rPr>
            </w:pPr>
            <w:r w:rsidRPr="00954C91">
              <w:rPr>
                <w:color w:val="FFFFFF" w:themeColor="background1"/>
                <w:sz w:val="22"/>
                <w:szCs w:val="22"/>
              </w:rPr>
              <w:t xml:space="preserve"> </w:t>
            </w:r>
            <w:r w:rsidR="011323B6" w:rsidRPr="00954C91">
              <w:rPr>
                <w:b/>
                <w:bCs/>
                <w:color w:val="FFFFFF" w:themeColor="background1"/>
                <w:sz w:val="22"/>
                <w:szCs w:val="22"/>
              </w:rPr>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1B1CF8" w:rsidRPr="00D26748" w14:paraId="23E895A5"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1DCC2" w14:textId="76FA201A" w:rsidR="001B1CF8" w:rsidRDefault="001B1CF8"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1.7</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F0ABF" w14:textId="0390C2CA" w:rsidR="001B1CF8" w:rsidRDefault="001B1CF8"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02.24.2026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BF611" w14:textId="34E6D71B" w:rsidR="001B1CF8" w:rsidRDefault="001B1CF8"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02.24.2026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B91E4" w14:textId="552524AB" w:rsidR="001B1CF8" w:rsidRDefault="001B1CF8"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Updates for accessibility</w:t>
            </w:r>
          </w:p>
        </w:tc>
      </w:tr>
      <w:tr w:rsidR="00B9263B" w:rsidRPr="00D26748" w14:paraId="03CF7C0D"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D063B" w14:textId="23A14790" w:rsidR="00B9263B" w:rsidRPr="00543DD2" w:rsidRDefault="00E35012"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E498" w14:textId="2F2BE59B" w:rsidR="00B9263B" w:rsidRDefault="00E35012"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06.25.2024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FE713" w14:textId="774F3C47" w:rsidR="00B9263B" w:rsidRPr="00543DD2" w:rsidRDefault="00E35012"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06.25.2024</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0865E" w14:textId="72A2FC9F" w:rsidR="00B9263B" w:rsidRPr="00543DD2" w:rsidRDefault="00E35012"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Revise reference to CHECKLIST Regulatory</w:t>
            </w:r>
          </w:p>
        </w:tc>
      </w:tr>
      <w:tr w:rsidR="00E35012" w:rsidRPr="00D26748" w14:paraId="4D896D8A"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64E0F" w14:textId="4CB4D9E8" w:rsidR="00E35012" w:rsidRDefault="00E35012"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D773A" w14:textId="71346FC3" w:rsidR="00E35012" w:rsidRPr="1301FCCD" w:rsidRDefault="00E35012"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04.29.2021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B3EDD9" w14:textId="3173CEEF" w:rsidR="00E35012" w:rsidRDefault="00E35012"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04.29.2021</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86863" w14:textId="0CAA7665" w:rsidR="00E35012" w:rsidRDefault="00E35012"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Revised HSD Flexibility Policy language; remove references to paper process</w:t>
            </w:r>
          </w:p>
        </w:tc>
      </w:tr>
      <w:tr w:rsidR="00E35012" w:rsidRPr="00D26748" w14:paraId="571C9700"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55889" w14:textId="0097E243" w:rsidR="00E35012" w:rsidRDefault="00E35012"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824633" w14:textId="56F84D1A" w:rsidR="00E35012" w:rsidRPr="1301FCCD" w:rsidRDefault="00E35012"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11.15.2019</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CC08D6" w14:textId="59FC3FBF" w:rsidR="00E35012" w:rsidRDefault="00E35012"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11.15.2019</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7BF2C0" w14:textId="737C2B0E" w:rsidR="00E35012" w:rsidRDefault="00E35012"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Added information about NIH human fetal tissue policy</w:t>
            </w:r>
          </w:p>
        </w:tc>
      </w:tr>
      <w:tr w:rsidR="00E35012" w:rsidRPr="00D26748" w14:paraId="72F5190D"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D9C060" w14:textId="444D6D1D" w:rsidR="00E35012" w:rsidRDefault="00E35012"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B619DD" w14:textId="4F940A75" w:rsidR="00E35012" w:rsidRPr="1301FCCD" w:rsidRDefault="00E35012"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09.07.2017</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AF7D9" w14:textId="647D99F3" w:rsidR="00E35012" w:rsidRDefault="00E35012"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09.07.2017</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2FB08" w14:textId="0F269140" w:rsidR="00E35012" w:rsidRDefault="00E35012"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Updated links; added note that Zipline applications do not require the vulnerable populations supplement</w:t>
            </w:r>
          </w:p>
        </w:tc>
      </w:tr>
      <w:tr w:rsidR="00E35012" w:rsidRPr="00D26748" w14:paraId="5DC70141"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2600F" w14:textId="2AB23BE4" w:rsidR="00E35012" w:rsidRDefault="00E35012" w:rsidP="00835027">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CBC9A1" w14:textId="71ECC3E8" w:rsidR="00E35012" w:rsidRDefault="00E35012" w:rsidP="1301FCCD">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08.28.2015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032FCF" w14:textId="6235B387" w:rsidR="00E35012" w:rsidRDefault="00E35012" w:rsidP="00B9263B">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08.28.2015</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4DEE98" w14:textId="39E0CB3E" w:rsidR="00E35012" w:rsidRDefault="00E35012" w:rsidP="00835027">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Updated to reflect populations of child-bearing age that are not targeted as such</w:t>
            </w:r>
          </w:p>
        </w:tc>
      </w:tr>
      <w:tr w:rsidR="00B9263B" w:rsidRPr="00D26748" w14:paraId="5E989F9C" w14:textId="77777777" w:rsidTr="73CF509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69F2B" w14:textId="28A845C3" w:rsidR="00B9263B" w:rsidRPr="00135B00" w:rsidRDefault="63A4BE2B" w:rsidP="73CF509B">
            <w:pPr>
              <w:pStyle w:val="NoSpacing"/>
              <w:jc w:val="center"/>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Previous versions</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5010C" w14:textId="77777777" w:rsidR="00B9263B" w:rsidRPr="00135B00" w:rsidRDefault="00B9263B" w:rsidP="00135B00">
            <w:pPr>
              <w:pStyle w:val="NoSpacing"/>
              <w:jc w:val="center"/>
              <w:rPr>
                <w:rFonts w:ascii="Calibri" w:eastAsiaTheme="majorEastAsia" w:hAnsi="Calibri" w:cstheme="majorBidi"/>
                <w:color w:val="000000" w:themeColor="text1"/>
                <w:sz w:val="22"/>
                <w:szCs w:val="26"/>
              </w:rPr>
            </w:pP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60DB0" w14:textId="77777777" w:rsidR="00B9263B" w:rsidRPr="00135B00" w:rsidRDefault="00B9263B" w:rsidP="00135B00">
            <w:pPr>
              <w:pStyle w:val="NoSpacing"/>
              <w:jc w:val="center"/>
              <w:rPr>
                <w:rFonts w:ascii="Calibri" w:eastAsiaTheme="majorEastAsia" w:hAnsi="Calibri" w:cstheme="majorBidi"/>
                <w:color w:val="000000" w:themeColor="text1"/>
                <w:sz w:val="22"/>
                <w:szCs w:val="26"/>
              </w:rPr>
            </w:pP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7FB19" w14:textId="45DA857F" w:rsidR="00B9263B" w:rsidRPr="00135B00" w:rsidRDefault="63A4BE2B" w:rsidP="73CF509B">
            <w:pPr>
              <w:pStyle w:val="NoSpacing"/>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sidR="00EB7350">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22" w:history="1">
              <w:r w:rsidR="00F97CF5"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 xml:space="preserve">. </w:t>
            </w:r>
          </w:p>
        </w:tc>
      </w:tr>
    </w:tbl>
    <w:p w14:paraId="66710738" w14:textId="6978CA04" w:rsidR="6647F9B2" w:rsidRPr="006D09D3" w:rsidRDefault="6647F9B2" w:rsidP="00A93620">
      <w:pPr>
        <w:spacing w:before="160" w:after="0" w:line="257" w:lineRule="auto"/>
        <w:rPr>
          <w:sz w:val="18"/>
          <w:szCs w:val="18"/>
        </w:rPr>
      </w:pPr>
      <w:r w:rsidRPr="006D09D3">
        <w:rPr>
          <w:rFonts w:ascii="Calibri" w:eastAsia="Calibri" w:hAnsi="Calibri" w:cs="Calibri"/>
          <w:b/>
          <w:bCs/>
          <w:sz w:val="18"/>
          <w:szCs w:val="18"/>
        </w:rPr>
        <w:t>Key</w:t>
      </w:r>
      <w:r w:rsidR="00A93620">
        <w:rPr>
          <w:rFonts w:ascii="Calibri" w:eastAsia="Calibri" w:hAnsi="Calibri" w:cs="Calibri"/>
          <w:b/>
          <w:bCs/>
          <w:sz w:val="18"/>
          <w:szCs w:val="18"/>
        </w:rPr>
        <w:t>w</w:t>
      </w:r>
      <w:r w:rsidRPr="006D09D3">
        <w:rPr>
          <w:rFonts w:ascii="Calibri" w:eastAsia="Calibri" w:hAnsi="Calibri" w:cs="Calibri"/>
          <w:b/>
          <w:bCs/>
          <w:sz w:val="18"/>
          <w:szCs w:val="18"/>
        </w:rPr>
        <w:t xml:space="preserve">ords: </w:t>
      </w:r>
      <w:r w:rsidR="00E35012">
        <w:rPr>
          <w:rFonts w:ascii="Calibri" w:eastAsia="Calibri" w:hAnsi="Calibri" w:cs="Calibri"/>
          <w:sz w:val="18"/>
          <w:szCs w:val="18"/>
        </w:rPr>
        <w:t>Flexibility policy; Pregnant women</w:t>
      </w:r>
    </w:p>
    <w:p w14:paraId="246B70C4" w14:textId="4B72E5E8" w:rsidR="5B00709C" w:rsidRDefault="5B00709C" w:rsidP="5B00709C"/>
    <w:sectPr w:rsidR="5B00709C" w:rsidSect="00B91761">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AD45" w14:textId="77777777" w:rsidR="0072762A" w:rsidRDefault="0072762A" w:rsidP="00BC532C">
      <w:pPr>
        <w:spacing w:after="0" w:line="240" w:lineRule="auto"/>
      </w:pPr>
      <w:r>
        <w:separator/>
      </w:r>
    </w:p>
  </w:endnote>
  <w:endnote w:type="continuationSeparator" w:id="0">
    <w:p w14:paraId="1BA72ACA" w14:textId="77777777" w:rsidR="0072762A" w:rsidRDefault="0072762A" w:rsidP="00BC532C">
      <w:pPr>
        <w:spacing w:after="0" w:line="240" w:lineRule="auto"/>
      </w:pPr>
      <w:r>
        <w:continuationSeparator/>
      </w:r>
    </w:p>
  </w:endnote>
  <w:endnote w:type="continuationNotice" w:id="1">
    <w:p w14:paraId="5414D67A" w14:textId="77777777" w:rsidR="0072762A" w:rsidRDefault="00727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3823" w14:textId="726836E2" w:rsidR="001B1CF8" w:rsidRDefault="001B1CF8" w:rsidP="001B1CF8">
    <w:pPr>
      <w:pStyle w:val="Footer"/>
      <w:tabs>
        <w:tab w:val="clear" w:pos="4680"/>
        <w:tab w:val="clear" w:pos="9360"/>
        <w:tab w:val="center" w:pos="5310"/>
        <w:tab w:val="right" w:pos="10800"/>
      </w:tabs>
    </w:pPr>
    <w:r w:rsidRPr="005031DB">
      <w:rPr>
        <w:rFonts w:ascii="Calibri" w:hAnsi="Calibri" w:cs="Calibri"/>
        <w:sz w:val="18"/>
        <w:szCs w:val="18"/>
      </w:rPr>
      <w:t>Date Posted 0</w:t>
    </w:r>
    <w:r>
      <w:rPr>
        <w:rFonts w:ascii="Calibri" w:hAnsi="Calibri" w:cs="Calibri"/>
        <w:sz w:val="18"/>
        <w:szCs w:val="18"/>
      </w:rPr>
      <w:t>2</w:t>
    </w:r>
    <w:r w:rsidRPr="005031DB">
      <w:rPr>
        <w:rFonts w:ascii="Calibri" w:hAnsi="Calibri" w:cs="Calibri"/>
        <w:sz w:val="18"/>
        <w:szCs w:val="18"/>
      </w:rPr>
      <w:t>.2</w:t>
    </w:r>
    <w:r>
      <w:rPr>
        <w:rFonts w:ascii="Calibri" w:hAnsi="Calibri" w:cs="Calibri"/>
        <w:sz w:val="18"/>
        <w:szCs w:val="18"/>
      </w:rPr>
      <w:t>4</w:t>
    </w:r>
    <w:r w:rsidRPr="005031DB">
      <w:rPr>
        <w:rFonts w:ascii="Calibri" w:hAnsi="Calibri" w:cs="Calibri"/>
        <w:sz w:val="18"/>
        <w:szCs w:val="18"/>
      </w:rPr>
      <w:t>.202</w:t>
    </w:r>
    <w:r>
      <w:rPr>
        <w:rFonts w:ascii="Calibri" w:hAnsi="Calibri" w:cs="Calibri"/>
        <w:sz w:val="18"/>
        <w:szCs w:val="18"/>
      </w:rPr>
      <w:t>6</w:t>
    </w:r>
  </w:p>
  <w:p w14:paraId="790F3C67" w14:textId="6F9298F6" w:rsidR="001B1CF8" w:rsidRDefault="001B1CF8" w:rsidP="001B1CF8">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Pregnant Women</w:t>
    </w:r>
  </w:p>
  <w:p w14:paraId="588D2345" w14:textId="3DCE66DF" w:rsidR="001B1CF8" w:rsidRDefault="001B1CF8" w:rsidP="001B1CF8">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1.7</w:t>
    </w:r>
  </w:p>
  <w:p w14:paraId="05BB0CB6" w14:textId="52908F76" w:rsidR="00925C4A" w:rsidRPr="001B1CF8" w:rsidRDefault="001B1CF8" w:rsidP="001B1CF8">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00E9" w14:textId="77777777" w:rsidR="0072762A" w:rsidRDefault="0072762A" w:rsidP="00BC532C">
      <w:pPr>
        <w:spacing w:after="0" w:line="240" w:lineRule="auto"/>
      </w:pPr>
      <w:r>
        <w:separator/>
      </w:r>
    </w:p>
  </w:footnote>
  <w:footnote w:type="continuationSeparator" w:id="0">
    <w:p w14:paraId="6EA46C3C" w14:textId="77777777" w:rsidR="0072762A" w:rsidRDefault="0072762A" w:rsidP="00BC532C">
      <w:pPr>
        <w:spacing w:after="0" w:line="240" w:lineRule="auto"/>
      </w:pPr>
      <w:r>
        <w:continuationSeparator/>
      </w:r>
    </w:p>
  </w:footnote>
  <w:footnote w:type="continuationNotice" w:id="1">
    <w:p w14:paraId="09B02510" w14:textId="77777777" w:rsidR="0072762A" w:rsidRDefault="007276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4B"/>
    <w:multiLevelType w:val="hybridMultilevel"/>
    <w:tmpl w:val="C1F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6CB3"/>
    <w:multiLevelType w:val="hybridMultilevel"/>
    <w:tmpl w:val="D05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AB67FC"/>
    <w:multiLevelType w:val="hybridMultilevel"/>
    <w:tmpl w:val="D91A5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7D201A"/>
    <w:multiLevelType w:val="hybridMultilevel"/>
    <w:tmpl w:val="6C8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F4032"/>
    <w:multiLevelType w:val="hybridMultilevel"/>
    <w:tmpl w:val="FFB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19C37A7A"/>
    <w:multiLevelType w:val="hybridMultilevel"/>
    <w:tmpl w:val="E93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661E1"/>
    <w:multiLevelType w:val="hybridMultilevel"/>
    <w:tmpl w:val="9606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17B4A"/>
    <w:multiLevelType w:val="hybridMultilevel"/>
    <w:tmpl w:val="12F8F1E0"/>
    <w:lvl w:ilvl="0" w:tplc="06068BC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3594C"/>
    <w:multiLevelType w:val="hybridMultilevel"/>
    <w:tmpl w:val="229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D55DB"/>
    <w:multiLevelType w:val="hybridMultilevel"/>
    <w:tmpl w:val="FF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72EDD"/>
    <w:multiLevelType w:val="hybridMultilevel"/>
    <w:tmpl w:val="051082C4"/>
    <w:lvl w:ilvl="0" w:tplc="7220C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096628"/>
    <w:multiLevelType w:val="hybridMultilevel"/>
    <w:tmpl w:val="94F61C12"/>
    <w:lvl w:ilvl="0" w:tplc="7220C31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6B2FDA"/>
    <w:multiLevelType w:val="hybridMultilevel"/>
    <w:tmpl w:val="134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74751"/>
    <w:multiLevelType w:val="hybridMultilevel"/>
    <w:tmpl w:val="7CEE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9E8"/>
    <w:multiLevelType w:val="hybridMultilevel"/>
    <w:tmpl w:val="E1E0D164"/>
    <w:lvl w:ilvl="0" w:tplc="D004BA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45E00"/>
    <w:multiLevelType w:val="hybridMultilevel"/>
    <w:tmpl w:val="FA4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336160"/>
    <w:multiLevelType w:val="hybridMultilevel"/>
    <w:tmpl w:val="EC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A142C5"/>
    <w:multiLevelType w:val="hybridMultilevel"/>
    <w:tmpl w:val="899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E694A"/>
    <w:multiLevelType w:val="hybridMultilevel"/>
    <w:tmpl w:val="29D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535C4"/>
    <w:multiLevelType w:val="hybridMultilevel"/>
    <w:tmpl w:val="DB0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2A3166"/>
    <w:multiLevelType w:val="hybridMultilevel"/>
    <w:tmpl w:val="A4B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B45FC5"/>
    <w:multiLevelType w:val="hybridMultilevel"/>
    <w:tmpl w:val="43B8451E"/>
    <w:lvl w:ilvl="0" w:tplc="7220C314">
      <w:start w:val="1"/>
      <w:numFmt w:val="decimal"/>
      <w:lvlText w:val="%1"/>
      <w:lvlJc w:val="left"/>
      <w:pPr>
        <w:ind w:left="360" w:hanging="360"/>
      </w:pPr>
      <w:rPr>
        <w:rFonts w:hint="default"/>
      </w:rPr>
    </w:lvl>
    <w:lvl w:ilvl="1" w:tplc="188ACC20">
      <w:start w:val="1"/>
      <w:numFmt w:val="decimal"/>
      <w:lvlText w:val="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A00667"/>
    <w:multiLevelType w:val="hybridMultilevel"/>
    <w:tmpl w:val="83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1749F"/>
    <w:multiLevelType w:val="hybridMultilevel"/>
    <w:tmpl w:val="90DCDD6E"/>
    <w:lvl w:ilvl="0" w:tplc="5C884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FE5DD0"/>
    <w:multiLevelType w:val="hybridMultilevel"/>
    <w:tmpl w:val="8C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F722F5"/>
    <w:multiLevelType w:val="hybridMultilevel"/>
    <w:tmpl w:val="811236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8CC0B1C"/>
    <w:multiLevelType w:val="hybridMultilevel"/>
    <w:tmpl w:val="762024D6"/>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DA3F2F"/>
    <w:multiLevelType w:val="hybridMultilevel"/>
    <w:tmpl w:val="5D1211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1B67C55"/>
    <w:multiLevelType w:val="hybridMultilevel"/>
    <w:tmpl w:val="40EABCF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136E8"/>
    <w:multiLevelType w:val="hybridMultilevel"/>
    <w:tmpl w:val="245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440B6"/>
    <w:multiLevelType w:val="hybridMultilevel"/>
    <w:tmpl w:val="9C2246C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5287D8D"/>
    <w:multiLevelType w:val="hybridMultilevel"/>
    <w:tmpl w:val="D2E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525D4"/>
    <w:multiLevelType w:val="hybridMultilevel"/>
    <w:tmpl w:val="EB8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337CB"/>
    <w:multiLevelType w:val="hybridMultilevel"/>
    <w:tmpl w:val="67F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421BC"/>
    <w:multiLevelType w:val="hybridMultilevel"/>
    <w:tmpl w:val="A6CA16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9070F9"/>
    <w:multiLevelType w:val="hybridMultilevel"/>
    <w:tmpl w:val="827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96749"/>
    <w:multiLevelType w:val="hybridMultilevel"/>
    <w:tmpl w:val="316E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480211"/>
    <w:multiLevelType w:val="hybridMultilevel"/>
    <w:tmpl w:val="E9F4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65571">
    <w:abstractNumId w:val="22"/>
  </w:num>
  <w:num w:numId="2" w16cid:durableId="680426679">
    <w:abstractNumId w:val="20"/>
  </w:num>
  <w:num w:numId="3" w16cid:durableId="987171014">
    <w:abstractNumId w:val="43"/>
  </w:num>
  <w:num w:numId="4" w16cid:durableId="229199469">
    <w:abstractNumId w:val="22"/>
  </w:num>
  <w:num w:numId="5" w16cid:durableId="70197284">
    <w:abstractNumId w:val="3"/>
  </w:num>
  <w:num w:numId="6" w16cid:durableId="228348557">
    <w:abstractNumId w:val="7"/>
  </w:num>
  <w:num w:numId="7" w16cid:durableId="1993094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6669241">
    <w:abstractNumId w:val="7"/>
  </w:num>
  <w:num w:numId="9" w16cid:durableId="289169461">
    <w:abstractNumId w:val="8"/>
  </w:num>
  <w:num w:numId="10" w16cid:durableId="1272475062">
    <w:abstractNumId w:val="4"/>
  </w:num>
  <w:num w:numId="11" w16cid:durableId="1160460881">
    <w:abstractNumId w:val="45"/>
  </w:num>
  <w:num w:numId="12" w16cid:durableId="262155038">
    <w:abstractNumId w:val="16"/>
  </w:num>
  <w:num w:numId="13" w16cid:durableId="2021540295">
    <w:abstractNumId w:val="39"/>
  </w:num>
  <w:num w:numId="14" w16cid:durableId="1435172967">
    <w:abstractNumId w:val="9"/>
  </w:num>
  <w:num w:numId="15" w16cid:durableId="437064120">
    <w:abstractNumId w:val="12"/>
  </w:num>
  <w:num w:numId="16" w16cid:durableId="1665352030">
    <w:abstractNumId w:val="10"/>
  </w:num>
  <w:num w:numId="17" w16cid:durableId="1998218513">
    <w:abstractNumId w:val="33"/>
  </w:num>
  <w:num w:numId="18" w16cid:durableId="1738480260">
    <w:abstractNumId w:val="2"/>
  </w:num>
  <w:num w:numId="19" w16cid:durableId="92633449">
    <w:abstractNumId w:val="1"/>
  </w:num>
  <w:num w:numId="20" w16cid:durableId="589001378">
    <w:abstractNumId w:val="23"/>
  </w:num>
  <w:num w:numId="21" w16cid:durableId="1807549239">
    <w:abstractNumId w:val="36"/>
  </w:num>
  <w:num w:numId="22" w16cid:durableId="550651183">
    <w:abstractNumId w:val="21"/>
  </w:num>
  <w:num w:numId="23" w16cid:durableId="996036895">
    <w:abstractNumId w:val="5"/>
  </w:num>
  <w:num w:numId="24" w16cid:durableId="1872721246">
    <w:abstractNumId w:val="28"/>
  </w:num>
  <w:num w:numId="25" w16cid:durableId="1472399674">
    <w:abstractNumId w:val="25"/>
  </w:num>
  <w:num w:numId="26" w16cid:durableId="1740135319">
    <w:abstractNumId w:val="24"/>
  </w:num>
  <w:num w:numId="27" w16cid:durableId="303320477">
    <w:abstractNumId w:val="17"/>
  </w:num>
  <w:num w:numId="28" w16cid:durableId="1905287894">
    <w:abstractNumId w:val="40"/>
  </w:num>
  <w:num w:numId="29" w16cid:durableId="1029916958">
    <w:abstractNumId w:val="37"/>
  </w:num>
  <w:num w:numId="30" w16cid:durableId="534931578">
    <w:abstractNumId w:val="26"/>
  </w:num>
  <w:num w:numId="31" w16cid:durableId="98180279">
    <w:abstractNumId w:val="19"/>
  </w:num>
  <w:num w:numId="32" w16cid:durableId="44841394">
    <w:abstractNumId w:val="41"/>
  </w:num>
  <w:num w:numId="33" w16cid:durableId="1859467408">
    <w:abstractNumId w:val="0"/>
  </w:num>
  <w:num w:numId="34" w16cid:durableId="1447576823">
    <w:abstractNumId w:val="44"/>
  </w:num>
  <w:num w:numId="35" w16cid:durableId="1830511098">
    <w:abstractNumId w:val="6"/>
  </w:num>
  <w:num w:numId="36" w16cid:durableId="451483329">
    <w:abstractNumId w:val="30"/>
  </w:num>
  <w:num w:numId="37" w16cid:durableId="443501521">
    <w:abstractNumId w:val="11"/>
  </w:num>
  <w:num w:numId="38" w16cid:durableId="1866018581">
    <w:abstractNumId w:val="29"/>
  </w:num>
  <w:num w:numId="39" w16cid:durableId="1523544041">
    <w:abstractNumId w:val="13"/>
  </w:num>
  <w:num w:numId="40" w16cid:durableId="2047631662">
    <w:abstractNumId w:val="46"/>
  </w:num>
  <w:num w:numId="41" w16cid:durableId="1047922095">
    <w:abstractNumId w:val="27"/>
  </w:num>
  <w:num w:numId="42" w16cid:durableId="105665375">
    <w:abstractNumId w:val="18"/>
  </w:num>
  <w:num w:numId="43" w16cid:durableId="2128235412">
    <w:abstractNumId w:val="15"/>
  </w:num>
  <w:num w:numId="44" w16cid:durableId="581643721">
    <w:abstractNumId w:val="14"/>
  </w:num>
  <w:num w:numId="45" w16cid:durableId="1937443398">
    <w:abstractNumId w:val="34"/>
  </w:num>
  <w:num w:numId="46" w16cid:durableId="1140609034">
    <w:abstractNumId w:val="31"/>
  </w:num>
  <w:num w:numId="47" w16cid:durableId="1320959772">
    <w:abstractNumId w:val="35"/>
  </w:num>
  <w:num w:numId="48" w16cid:durableId="449980937">
    <w:abstractNumId w:val="32"/>
  </w:num>
  <w:num w:numId="49" w16cid:durableId="2083676182">
    <w:abstractNumId w:val="42"/>
  </w:num>
  <w:num w:numId="50" w16cid:durableId="184589613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58CC"/>
    <w:rsid w:val="0001525B"/>
    <w:rsid w:val="00032560"/>
    <w:rsid w:val="000406B3"/>
    <w:rsid w:val="00054AC7"/>
    <w:rsid w:val="000616F4"/>
    <w:rsid w:val="000651A1"/>
    <w:rsid w:val="000729DE"/>
    <w:rsid w:val="00074749"/>
    <w:rsid w:val="000755A3"/>
    <w:rsid w:val="000904C0"/>
    <w:rsid w:val="000A32D4"/>
    <w:rsid w:val="000A4D85"/>
    <w:rsid w:val="000A6546"/>
    <w:rsid w:val="000B0517"/>
    <w:rsid w:val="000B7FBC"/>
    <w:rsid w:val="000C25E0"/>
    <w:rsid w:val="000D39EB"/>
    <w:rsid w:val="000E5D51"/>
    <w:rsid w:val="000F3417"/>
    <w:rsid w:val="00123FFF"/>
    <w:rsid w:val="00135B00"/>
    <w:rsid w:val="0014155E"/>
    <w:rsid w:val="00142909"/>
    <w:rsid w:val="00151784"/>
    <w:rsid w:val="00153865"/>
    <w:rsid w:val="00154A04"/>
    <w:rsid w:val="00164AFC"/>
    <w:rsid w:val="00165C97"/>
    <w:rsid w:val="001745E4"/>
    <w:rsid w:val="00177EEA"/>
    <w:rsid w:val="00183ABF"/>
    <w:rsid w:val="001975DB"/>
    <w:rsid w:val="001A1FEF"/>
    <w:rsid w:val="001A79D8"/>
    <w:rsid w:val="001B1196"/>
    <w:rsid w:val="001B1CF8"/>
    <w:rsid w:val="001D1C9B"/>
    <w:rsid w:val="001E1945"/>
    <w:rsid w:val="001E441B"/>
    <w:rsid w:val="001F12A4"/>
    <w:rsid w:val="00200AFC"/>
    <w:rsid w:val="00217C39"/>
    <w:rsid w:val="00236168"/>
    <w:rsid w:val="002468F3"/>
    <w:rsid w:val="0026022B"/>
    <w:rsid w:val="00265A0B"/>
    <w:rsid w:val="002767F8"/>
    <w:rsid w:val="002C2440"/>
    <w:rsid w:val="002C7607"/>
    <w:rsid w:val="002D7AAF"/>
    <w:rsid w:val="002E2000"/>
    <w:rsid w:val="002E6543"/>
    <w:rsid w:val="002F7B77"/>
    <w:rsid w:val="00322AF4"/>
    <w:rsid w:val="00325DEB"/>
    <w:rsid w:val="0033557F"/>
    <w:rsid w:val="00340575"/>
    <w:rsid w:val="003638AC"/>
    <w:rsid w:val="00375221"/>
    <w:rsid w:val="003763A3"/>
    <w:rsid w:val="00376A83"/>
    <w:rsid w:val="003803AC"/>
    <w:rsid w:val="00396236"/>
    <w:rsid w:val="003975E5"/>
    <w:rsid w:val="003E2A02"/>
    <w:rsid w:val="00401515"/>
    <w:rsid w:val="00402916"/>
    <w:rsid w:val="004070A0"/>
    <w:rsid w:val="00422266"/>
    <w:rsid w:val="00432F8C"/>
    <w:rsid w:val="00452A80"/>
    <w:rsid w:val="004561A4"/>
    <w:rsid w:val="00461414"/>
    <w:rsid w:val="00470C95"/>
    <w:rsid w:val="00472C83"/>
    <w:rsid w:val="00486123"/>
    <w:rsid w:val="00497376"/>
    <w:rsid w:val="004A47EE"/>
    <w:rsid w:val="004B5600"/>
    <w:rsid w:val="004B6D11"/>
    <w:rsid w:val="004E3D63"/>
    <w:rsid w:val="004F46F9"/>
    <w:rsid w:val="004F5BF1"/>
    <w:rsid w:val="00501E5B"/>
    <w:rsid w:val="005038D3"/>
    <w:rsid w:val="005063EF"/>
    <w:rsid w:val="00510120"/>
    <w:rsid w:val="005172F4"/>
    <w:rsid w:val="005206FA"/>
    <w:rsid w:val="00535A3B"/>
    <w:rsid w:val="0054008D"/>
    <w:rsid w:val="00543DD2"/>
    <w:rsid w:val="00560204"/>
    <w:rsid w:val="00563821"/>
    <w:rsid w:val="00573EEB"/>
    <w:rsid w:val="00580D84"/>
    <w:rsid w:val="005848DC"/>
    <w:rsid w:val="00590473"/>
    <w:rsid w:val="00592A19"/>
    <w:rsid w:val="00596A0A"/>
    <w:rsid w:val="005C3984"/>
    <w:rsid w:val="005C3E3F"/>
    <w:rsid w:val="005C5821"/>
    <w:rsid w:val="005E1D24"/>
    <w:rsid w:val="00600013"/>
    <w:rsid w:val="00600D18"/>
    <w:rsid w:val="00602004"/>
    <w:rsid w:val="006067EC"/>
    <w:rsid w:val="00630B1F"/>
    <w:rsid w:val="0063391E"/>
    <w:rsid w:val="00645756"/>
    <w:rsid w:val="00647F10"/>
    <w:rsid w:val="0066707C"/>
    <w:rsid w:val="006803C1"/>
    <w:rsid w:val="00680828"/>
    <w:rsid w:val="00682987"/>
    <w:rsid w:val="006935B8"/>
    <w:rsid w:val="00693C1D"/>
    <w:rsid w:val="006A302A"/>
    <w:rsid w:val="006A702C"/>
    <w:rsid w:val="006B49DD"/>
    <w:rsid w:val="006B513A"/>
    <w:rsid w:val="006C3810"/>
    <w:rsid w:val="006D09D3"/>
    <w:rsid w:val="006E46B6"/>
    <w:rsid w:val="006E5BF6"/>
    <w:rsid w:val="006F4E3D"/>
    <w:rsid w:val="00714898"/>
    <w:rsid w:val="00717467"/>
    <w:rsid w:val="007211CD"/>
    <w:rsid w:val="00726B02"/>
    <w:rsid w:val="0072762A"/>
    <w:rsid w:val="007309E1"/>
    <w:rsid w:val="00740DDB"/>
    <w:rsid w:val="007441A4"/>
    <w:rsid w:val="00747D98"/>
    <w:rsid w:val="00762248"/>
    <w:rsid w:val="007640AF"/>
    <w:rsid w:val="00782371"/>
    <w:rsid w:val="007876FD"/>
    <w:rsid w:val="00797B8A"/>
    <w:rsid w:val="007A4039"/>
    <w:rsid w:val="007A611F"/>
    <w:rsid w:val="007A73D0"/>
    <w:rsid w:val="007C7606"/>
    <w:rsid w:val="007D1151"/>
    <w:rsid w:val="007D7BAF"/>
    <w:rsid w:val="007E1DEC"/>
    <w:rsid w:val="008123E9"/>
    <w:rsid w:val="008229DC"/>
    <w:rsid w:val="008239B7"/>
    <w:rsid w:val="0082624C"/>
    <w:rsid w:val="00835027"/>
    <w:rsid w:val="00875FC3"/>
    <w:rsid w:val="00885754"/>
    <w:rsid w:val="008A3BED"/>
    <w:rsid w:val="008A5835"/>
    <w:rsid w:val="008A7133"/>
    <w:rsid w:val="008A7154"/>
    <w:rsid w:val="008C6822"/>
    <w:rsid w:val="008D37A4"/>
    <w:rsid w:val="008D613C"/>
    <w:rsid w:val="008D6D57"/>
    <w:rsid w:val="008E1A19"/>
    <w:rsid w:val="008E7422"/>
    <w:rsid w:val="008F4683"/>
    <w:rsid w:val="00925C4A"/>
    <w:rsid w:val="00925F6C"/>
    <w:rsid w:val="009420FE"/>
    <w:rsid w:val="009441C3"/>
    <w:rsid w:val="0095315E"/>
    <w:rsid w:val="00953CB6"/>
    <w:rsid w:val="00954C91"/>
    <w:rsid w:val="00961264"/>
    <w:rsid w:val="0097683A"/>
    <w:rsid w:val="00977495"/>
    <w:rsid w:val="0099016A"/>
    <w:rsid w:val="0099595C"/>
    <w:rsid w:val="009A48E7"/>
    <w:rsid w:val="009B0B26"/>
    <w:rsid w:val="009B187A"/>
    <w:rsid w:val="009B5EF8"/>
    <w:rsid w:val="009C4DD3"/>
    <w:rsid w:val="009D39EC"/>
    <w:rsid w:val="009E1BE8"/>
    <w:rsid w:val="009E223F"/>
    <w:rsid w:val="009F2510"/>
    <w:rsid w:val="009F53DE"/>
    <w:rsid w:val="00A03C60"/>
    <w:rsid w:val="00A15BBB"/>
    <w:rsid w:val="00A17229"/>
    <w:rsid w:val="00A47BCB"/>
    <w:rsid w:val="00A71D4E"/>
    <w:rsid w:val="00A80B78"/>
    <w:rsid w:val="00A848AA"/>
    <w:rsid w:val="00A86C60"/>
    <w:rsid w:val="00A928B7"/>
    <w:rsid w:val="00A929A9"/>
    <w:rsid w:val="00A93620"/>
    <w:rsid w:val="00AA2580"/>
    <w:rsid w:val="00AD37FC"/>
    <w:rsid w:val="00AD5583"/>
    <w:rsid w:val="00AE2DAD"/>
    <w:rsid w:val="00AE49A5"/>
    <w:rsid w:val="00AF7A51"/>
    <w:rsid w:val="00B00AFA"/>
    <w:rsid w:val="00B029D7"/>
    <w:rsid w:val="00B03D48"/>
    <w:rsid w:val="00B13FCD"/>
    <w:rsid w:val="00B229B8"/>
    <w:rsid w:val="00B301FB"/>
    <w:rsid w:val="00B44AD7"/>
    <w:rsid w:val="00B55261"/>
    <w:rsid w:val="00B55584"/>
    <w:rsid w:val="00B5609A"/>
    <w:rsid w:val="00B61206"/>
    <w:rsid w:val="00B91761"/>
    <w:rsid w:val="00B9263B"/>
    <w:rsid w:val="00BB1089"/>
    <w:rsid w:val="00BC532C"/>
    <w:rsid w:val="00BC53BF"/>
    <w:rsid w:val="00BC7098"/>
    <w:rsid w:val="00BD57B3"/>
    <w:rsid w:val="00BE1C70"/>
    <w:rsid w:val="00BE1F64"/>
    <w:rsid w:val="00BF0F77"/>
    <w:rsid w:val="00C03519"/>
    <w:rsid w:val="00C06212"/>
    <w:rsid w:val="00C07185"/>
    <w:rsid w:val="00C13468"/>
    <w:rsid w:val="00C1593A"/>
    <w:rsid w:val="00C210DD"/>
    <w:rsid w:val="00C2234D"/>
    <w:rsid w:val="00C22EF3"/>
    <w:rsid w:val="00C279A6"/>
    <w:rsid w:val="00C30289"/>
    <w:rsid w:val="00C37546"/>
    <w:rsid w:val="00C378D2"/>
    <w:rsid w:val="00C40A04"/>
    <w:rsid w:val="00C449B1"/>
    <w:rsid w:val="00C6746B"/>
    <w:rsid w:val="00C74168"/>
    <w:rsid w:val="00C829F2"/>
    <w:rsid w:val="00C8410E"/>
    <w:rsid w:val="00C91378"/>
    <w:rsid w:val="00CA0AE0"/>
    <w:rsid w:val="00CA2F63"/>
    <w:rsid w:val="00CA6B6F"/>
    <w:rsid w:val="00CD274A"/>
    <w:rsid w:val="00CD2FA9"/>
    <w:rsid w:val="00CD5079"/>
    <w:rsid w:val="00CD5D80"/>
    <w:rsid w:val="00CE2FB5"/>
    <w:rsid w:val="00CE3179"/>
    <w:rsid w:val="00CF0BB9"/>
    <w:rsid w:val="00CF7D7D"/>
    <w:rsid w:val="00D132DE"/>
    <w:rsid w:val="00D156FC"/>
    <w:rsid w:val="00D40919"/>
    <w:rsid w:val="00D51D60"/>
    <w:rsid w:val="00D604A6"/>
    <w:rsid w:val="00D72D0C"/>
    <w:rsid w:val="00D81383"/>
    <w:rsid w:val="00D869E9"/>
    <w:rsid w:val="00D87D81"/>
    <w:rsid w:val="00DA40D9"/>
    <w:rsid w:val="00DB2326"/>
    <w:rsid w:val="00DB50D9"/>
    <w:rsid w:val="00DB6A19"/>
    <w:rsid w:val="00DE1DA1"/>
    <w:rsid w:val="00E0760A"/>
    <w:rsid w:val="00E12C16"/>
    <w:rsid w:val="00E15F47"/>
    <w:rsid w:val="00E35012"/>
    <w:rsid w:val="00E705F5"/>
    <w:rsid w:val="00E70F5D"/>
    <w:rsid w:val="00E753A0"/>
    <w:rsid w:val="00E81DFC"/>
    <w:rsid w:val="00E81EDB"/>
    <w:rsid w:val="00E851CF"/>
    <w:rsid w:val="00E8640E"/>
    <w:rsid w:val="00E87966"/>
    <w:rsid w:val="00E96153"/>
    <w:rsid w:val="00EA79D6"/>
    <w:rsid w:val="00EB5C24"/>
    <w:rsid w:val="00EB7350"/>
    <w:rsid w:val="00ED134C"/>
    <w:rsid w:val="00ED27C2"/>
    <w:rsid w:val="00EE1798"/>
    <w:rsid w:val="00EF3C3A"/>
    <w:rsid w:val="00EF507E"/>
    <w:rsid w:val="00F12577"/>
    <w:rsid w:val="00F21F09"/>
    <w:rsid w:val="00F25167"/>
    <w:rsid w:val="00F3072D"/>
    <w:rsid w:val="00F322F9"/>
    <w:rsid w:val="00F4304B"/>
    <w:rsid w:val="00F54A6B"/>
    <w:rsid w:val="00F632E8"/>
    <w:rsid w:val="00F63634"/>
    <w:rsid w:val="00F846DA"/>
    <w:rsid w:val="00F87816"/>
    <w:rsid w:val="00F97CF5"/>
    <w:rsid w:val="00FA046F"/>
    <w:rsid w:val="00FA6D15"/>
    <w:rsid w:val="00FC372E"/>
    <w:rsid w:val="00FE5C08"/>
    <w:rsid w:val="00FF3EAE"/>
    <w:rsid w:val="011323B6"/>
    <w:rsid w:val="03834D79"/>
    <w:rsid w:val="04620ECD"/>
    <w:rsid w:val="055240B4"/>
    <w:rsid w:val="06B7D6EB"/>
    <w:rsid w:val="09169B08"/>
    <w:rsid w:val="0ACAC690"/>
    <w:rsid w:val="0B881E5E"/>
    <w:rsid w:val="116454C4"/>
    <w:rsid w:val="118723B5"/>
    <w:rsid w:val="1301FCCD"/>
    <w:rsid w:val="17C10C6E"/>
    <w:rsid w:val="19DE5C20"/>
    <w:rsid w:val="1A6F849C"/>
    <w:rsid w:val="1B6F4261"/>
    <w:rsid w:val="20ADA7F4"/>
    <w:rsid w:val="23320549"/>
    <w:rsid w:val="23532EF4"/>
    <w:rsid w:val="26AF2D70"/>
    <w:rsid w:val="2974CEB5"/>
    <w:rsid w:val="29775ED7"/>
    <w:rsid w:val="2A3925F1"/>
    <w:rsid w:val="2D63B218"/>
    <w:rsid w:val="2DB05732"/>
    <w:rsid w:val="32C77D14"/>
    <w:rsid w:val="3307B719"/>
    <w:rsid w:val="34B5781F"/>
    <w:rsid w:val="3544A5A6"/>
    <w:rsid w:val="3777AFC2"/>
    <w:rsid w:val="3BEAB91A"/>
    <w:rsid w:val="406D25F4"/>
    <w:rsid w:val="4218C27C"/>
    <w:rsid w:val="42673C31"/>
    <w:rsid w:val="43A4D5CA"/>
    <w:rsid w:val="43F355BB"/>
    <w:rsid w:val="495D83A3"/>
    <w:rsid w:val="4D8B6FF4"/>
    <w:rsid w:val="4F80B92F"/>
    <w:rsid w:val="5144B9FC"/>
    <w:rsid w:val="57F01BEB"/>
    <w:rsid w:val="58BCC529"/>
    <w:rsid w:val="597CF51A"/>
    <w:rsid w:val="5B00709C"/>
    <w:rsid w:val="5C2380C0"/>
    <w:rsid w:val="5EE92BD5"/>
    <w:rsid w:val="600E1B68"/>
    <w:rsid w:val="603BB871"/>
    <w:rsid w:val="63A4BE2B"/>
    <w:rsid w:val="648D8D46"/>
    <w:rsid w:val="654A5B9C"/>
    <w:rsid w:val="6647F9B2"/>
    <w:rsid w:val="68D7EA40"/>
    <w:rsid w:val="6A15D792"/>
    <w:rsid w:val="6C802FC0"/>
    <w:rsid w:val="6F7E2A05"/>
    <w:rsid w:val="726B72CA"/>
    <w:rsid w:val="73CF509B"/>
    <w:rsid w:val="7523FF9D"/>
    <w:rsid w:val="788F87CF"/>
    <w:rsid w:val="791D9845"/>
    <w:rsid w:val="7DBB4617"/>
    <w:rsid w:val="7E30DBF5"/>
    <w:rsid w:val="7F75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1C7BDB7F-772A-40A0-8E2F-CC204D1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76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customStyle="1" w:styleId="Heading2Char">
    <w:name w:val="Heading 2 Char"/>
    <w:basedOn w:val="DefaultParagraphFont"/>
    <w:link w:val="Heading2"/>
    <w:uiPriority w:val="9"/>
    <w:semiHidden/>
    <w:rsid w:val="007C760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6B4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guide/notice-files/NOT-OD-19-137.html" TargetMode="External"/><Relationship Id="rId18" Type="http://schemas.openxmlformats.org/officeDocument/2006/relationships/hyperlink" Target="https://www.washington.edu/research/hsd/guidance/consent/design/" TargetMode="External"/><Relationship Id="rId3" Type="http://schemas.openxmlformats.org/officeDocument/2006/relationships/customXml" Target="../customXml/item3.xml"/><Relationship Id="rId21" Type="http://schemas.openxmlformats.org/officeDocument/2006/relationships/hyperlink" Target="https://grants.nih.gov/grants/human-fetal-tissue-research-faqs.htm" TargetMode="External"/><Relationship Id="rId7" Type="http://schemas.openxmlformats.org/officeDocument/2006/relationships/settings" Target="settings.xml"/><Relationship Id="rId12" Type="http://schemas.openxmlformats.org/officeDocument/2006/relationships/hyperlink" Target="https://grants.nih.gov/grants/guide/notice-files/NOT-OD-19-128.html" TargetMode="External"/><Relationship Id="rId17" Type="http://schemas.openxmlformats.org/officeDocument/2006/relationships/hyperlink" Target="https://www.washington.edu/research/policies/sop-environmental-protection-agency-research-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ington.edu/research/policies/guidance-authority-and-responsibilities-of-hsd-and-uw-irb/" TargetMode="External"/><Relationship Id="rId20" Type="http://schemas.openxmlformats.org/officeDocument/2006/relationships/hyperlink" Target="https://www.washington.edu/research/forms-and-templates/worksheet-pregnant-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shington.edu/research/hsd/guidance/consent/desig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shington.edu/research/forms-and-templates/worksheet-environmental-protection-a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human-fetal-tissue-research-faqs.htm" TargetMode="External"/><Relationship Id="rId22" Type="http://schemas.openxmlformats.org/officeDocument/2006/relationships/hyperlink" Target="mailto:hsdinfo@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ate_x0020_Implemented xmlns="7c9d0ed2-8163-4b50-bae4-466292e5dd21" xsi:nil="true"/>
    <Archive_x003f__x0028_checkifyes_x0029_ xmlns="7c9d0ed2-8163-4b50-bae4-466292e5dd21">true</Archive_x003f__x0028_checkifyes_x0029_>
    <Change_x0020_Notes xmlns="7c9d0ed2-8163-4b50-bae4-466292e5dd21" xsi:nil="true"/>
    <Posted_x0020_Date xmlns="7c9d0ed2-8163-4b50-bae4-466292e5dd21">2024-06-25T07:00:00+00:00</Posted_x0020_Date>
    <Taxonomy0 xmlns="7c9d0ed2-8163-4b50-bae4-466292e5dd21">
      <Value>SOP (Standard Operating Procedure)</Value>
    </Taxonomy0>
    <Version_x0020_Number xmlns="7c9d0ed2-8163-4b50-bae4-466292e5dd21">1.6</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https://www.washington.edu/research/policies/sop-pregnant-women-2/</Url>
      <Description>https://www.washington.edu/research/policies/sop-pregnant-women-2/</Description>
    </Web_x0020_Page_x0020_URL>
  </documentManagement>
</p:properties>
</file>

<file path=customXml/itemProps1.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2.xml><?xml version="1.0" encoding="utf-8"?>
<ds:datastoreItem xmlns:ds="http://schemas.openxmlformats.org/officeDocument/2006/customXml" ds:itemID="{431DE409-D228-4149-8811-BAB14E45A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customXml/itemProps4.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2429</Words>
  <Characters>11635</Characters>
  <Application>Microsoft Office Word</Application>
  <DocSecurity>0</DocSecurity>
  <Lines>247</Lines>
  <Paragraphs>206</Paragraphs>
  <ScaleCrop>false</ScaleCrop>
  <HeadingPairs>
    <vt:vector size="2" baseType="variant">
      <vt:variant>
        <vt:lpstr>Title</vt:lpstr>
      </vt:variant>
      <vt:variant>
        <vt:i4>1</vt:i4>
      </vt:variant>
    </vt:vector>
  </HeadingPairs>
  <TitlesOfParts>
    <vt:vector size="1" baseType="lpstr">
      <vt:lpstr>SOP_Pregnant_Women_v1.6_2024.06.25</vt:lpstr>
    </vt:vector>
  </TitlesOfParts>
  <Company>University of Washington</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SOP_Pregnant_Women_v1.6_2024.06.25</dc:title>
  <dc:subject/>
  <dc:creator>Sherry Edwards</dc:creator>
  <cp:keywords>;#Pregnant women;#</cp:keywords>
  <cp:lastModifiedBy>Dolly Morse</cp:lastModifiedBy>
  <cp:revision>3</cp:revision>
  <dcterms:created xsi:type="dcterms:W3CDTF">2026-02-25T01:26:00Z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