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ocument Header"/>
        <w:tblDescription w:val="The document header contains the H S D  U W logo, the document type, and the document title."/>
      </w:tblPr>
      <w:tblGrid>
        <w:gridCol w:w="4644"/>
        <w:gridCol w:w="1996"/>
        <w:gridCol w:w="3440"/>
      </w:tblGrid>
      <w:tr w:rsidR="00ED134C" w:rsidRPr="00ED134C" w14:paraId="01063E5A" w14:textId="77777777" w:rsidTr="00604714">
        <w:trPr>
          <w:tblHeader/>
        </w:trPr>
        <w:tc>
          <w:tcPr>
            <w:tcW w:w="4644" w:type="dxa"/>
          </w:tcPr>
          <w:p w14:paraId="5199F0CA" w14:textId="77777777" w:rsidR="00ED134C" w:rsidRPr="00ED134C" w:rsidRDefault="00ED134C" w:rsidP="0055497A">
            <w:r w:rsidRPr="00ED134C">
              <w:rPr>
                <w:noProof/>
              </w:rPr>
              <w:drawing>
                <wp:inline distT="0" distB="0" distL="0" distR="0" wp14:anchorId="6BADFEC6" wp14:editId="0D13D224">
                  <wp:extent cx="2743200" cy="333528"/>
                  <wp:effectExtent l="0" t="0" r="0" b="9525"/>
                  <wp:docPr id="4" name="Picture 4" descr="University of Washington Human Subjects DIvision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W_HumanSubjDiv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vAlign w:val="center"/>
          </w:tcPr>
          <w:p w14:paraId="19B75179" w14:textId="503BC857" w:rsidR="00ED134C" w:rsidRPr="00ED134C" w:rsidRDefault="00ED134C" w:rsidP="00604714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14:paraId="28BD4B80" w14:textId="6D1F3841" w:rsidR="00ED134C" w:rsidRPr="00ED134C" w:rsidRDefault="00B67847" w:rsidP="00604714">
            <w:pPr>
              <w:jc w:val="righ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bCs/>
                <w:color w:val="404040" w:themeColor="text1" w:themeTint="BF"/>
                <w:sz w:val="28"/>
                <w:szCs w:val="28"/>
              </w:rPr>
              <w:t xml:space="preserve">SOP </w:t>
            </w:r>
            <w:r w:rsidR="00113357">
              <w:rPr>
                <w:b/>
                <w:bCs/>
                <w:color w:val="404040" w:themeColor="text1" w:themeTint="BF"/>
                <w:sz w:val="28"/>
                <w:szCs w:val="28"/>
              </w:rPr>
              <w:t>Pre-Review</w:t>
            </w:r>
          </w:p>
        </w:tc>
      </w:tr>
    </w:tbl>
    <w:p w14:paraId="6792B5CB" w14:textId="77777777" w:rsidR="009D39EC" w:rsidRDefault="009D39EC" w:rsidP="00CA0AE0">
      <w:pPr>
        <w:shd w:val="clear" w:color="auto" w:fill="33006F"/>
        <w:tabs>
          <w:tab w:val="right" w:pos="10080"/>
        </w:tabs>
      </w:pPr>
    </w:p>
    <w:p w14:paraId="0255284F" w14:textId="77777777" w:rsidR="00600013" w:rsidRDefault="00600013" w:rsidP="00A71D4E">
      <w:pPr>
        <w:pStyle w:val="NoSpacing"/>
        <w:rPr>
          <w:sz w:val="22"/>
          <w:szCs w:val="22"/>
        </w:rPr>
      </w:pPr>
    </w:p>
    <w:p w14:paraId="17F80B6F" w14:textId="20819663" w:rsidR="00A03C60" w:rsidRPr="00A03C60" w:rsidRDefault="008F0E05" w:rsidP="00B67847">
      <w:pPr>
        <w:pStyle w:val="NoSpacing"/>
        <w:ind w:left="270" w:hanging="27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 </w:t>
      </w:r>
      <w:r w:rsidR="00B67847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>PURPOSE</w:t>
      </w:r>
    </w:p>
    <w:p w14:paraId="2020769C" w14:textId="00893814" w:rsidR="001F12A4" w:rsidRDefault="001F12A4" w:rsidP="00A71D4E">
      <w:pPr>
        <w:pStyle w:val="NoSpacing"/>
        <w:rPr>
          <w:color w:val="auto"/>
          <w:sz w:val="22"/>
          <w:szCs w:val="22"/>
        </w:rPr>
      </w:pPr>
    </w:p>
    <w:p w14:paraId="053EC275" w14:textId="383AAB21" w:rsidR="00196D44" w:rsidRDefault="00113357" w:rsidP="00E93038">
      <w:pPr>
        <w:pStyle w:val="NoSpacing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This document describes the process by which Human Subject</w:t>
      </w:r>
      <w:r w:rsidR="0055385A">
        <w:rPr>
          <w:color w:val="auto"/>
          <w:sz w:val="22"/>
          <w:szCs w:val="22"/>
        </w:rPr>
        <w:t xml:space="preserve">s Division (HSD) staff conduct </w:t>
      </w:r>
      <w:r>
        <w:rPr>
          <w:color w:val="auto"/>
          <w:sz w:val="22"/>
          <w:szCs w:val="22"/>
        </w:rPr>
        <w:t>pre-review of</w:t>
      </w:r>
      <w:r w:rsidR="00604714">
        <w:rPr>
          <w:color w:val="auto"/>
          <w:sz w:val="22"/>
          <w:szCs w:val="22"/>
        </w:rPr>
        <w:t>:</w:t>
      </w:r>
    </w:p>
    <w:p w14:paraId="7574A8CE" w14:textId="26731335" w:rsidR="00196D44" w:rsidRDefault="00B1091E" w:rsidP="00196D44">
      <w:pPr>
        <w:pStyle w:val="NoSpacing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Initial applications </w:t>
      </w:r>
      <w:r w:rsidR="00A37AAC">
        <w:rPr>
          <w:color w:val="auto"/>
          <w:sz w:val="22"/>
          <w:szCs w:val="22"/>
        </w:rPr>
        <w:t>for UW IRB review</w:t>
      </w:r>
      <w:r>
        <w:rPr>
          <w:color w:val="auto"/>
          <w:sz w:val="22"/>
          <w:szCs w:val="22"/>
        </w:rPr>
        <w:t xml:space="preserve"> </w:t>
      </w:r>
    </w:p>
    <w:p w14:paraId="5341AFFF" w14:textId="77777777" w:rsidR="00196D44" w:rsidRDefault="00B1091E" w:rsidP="00196D44">
      <w:pPr>
        <w:pStyle w:val="NoSpacing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Modification applications</w:t>
      </w:r>
    </w:p>
    <w:p w14:paraId="17152808" w14:textId="77777777" w:rsidR="00196D44" w:rsidRDefault="00B1091E" w:rsidP="00196D44">
      <w:pPr>
        <w:pStyle w:val="NoSpacing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Continuing Review or Status Report applications</w:t>
      </w:r>
    </w:p>
    <w:p w14:paraId="5D30B9CF" w14:textId="044434A3" w:rsidR="00113357" w:rsidRDefault="00B1091E" w:rsidP="00196D44">
      <w:pPr>
        <w:pStyle w:val="NoSpacing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Responses to conditional approval </w:t>
      </w:r>
      <w:r w:rsidR="00911DEF">
        <w:rPr>
          <w:color w:val="auto"/>
          <w:sz w:val="22"/>
          <w:szCs w:val="22"/>
        </w:rPr>
        <w:t xml:space="preserve">(MRSA) </w:t>
      </w:r>
      <w:r>
        <w:rPr>
          <w:color w:val="auto"/>
          <w:sz w:val="22"/>
          <w:szCs w:val="22"/>
        </w:rPr>
        <w:t>letters or deferral letters</w:t>
      </w:r>
    </w:p>
    <w:p w14:paraId="0BEBFCE7" w14:textId="77777777" w:rsidR="00B1091E" w:rsidRDefault="00B1091E" w:rsidP="00A71D4E">
      <w:pPr>
        <w:pStyle w:val="NoSpacing"/>
        <w:rPr>
          <w:color w:val="auto"/>
          <w:sz w:val="22"/>
          <w:szCs w:val="22"/>
        </w:rPr>
      </w:pPr>
    </w:p>
    <w:p w14:paraId="0DEE0488" w14:textId="27B4976C" w:rsidR="00A03C60" w:rsidRPr="00A03C60" w:rsidRDefault="008F0E05" w:rsidP="00B67847">
      <w:pPr>
        <w:pStyle w:val="NoSpacing"/>
        <w:ind w:left="360" w:hanging="36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  </w:t>
      </w:r>
      <w:r w:rsidR="00B67847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 xml:space="preserve">CONTEXT </w:t>
      </w:r>
    </w:p>
    <w:p w14:paraId="03875D36" w14:textId="77777777" w:rsidR="00ED134C" w:rsidRDefault="00ED134C" w:rsidP="00A71D4E">
      <w:pPr>
        <w:pStyle w:val="NoSpacing"/>
        <w:rPr>
          <w:color w:val="auto"/>
          <w:sz w:val="22"/>
          <w:szCs w:val="22"/>
        </w:rPr>
      </w:pPr>
    </w:p>
    <w:p w14:paraId="75823C34" w14:textId="31AEFE42" w:rsidR="00113357" w:rsidRDefault="00E93038" w:rsidP="00E93038">
      <w:pPr>
        <w:pStyle w:val="NoSpacing"/>
        <w:ind w:left="810" w:hanging="450"/>
        <w:rPr>
          <w:color w:val="auto"/>
          <w:sz w:val="22"/>
          <w:szCs w:val="22"/>
        </w:rPr>
      </w:pPr>
      <w:r w:rsidRPr="00E93038">
        <w:rPr>
          <w:bCs/>
          <w:color w:val="auto"/>
          <w:sz w:val="22"/>
          <w:szCs w:val="22"/>
        </w:rPr>
        <w:t>2.1</w:t>
      </w:r>
      <w:r>
        <w:rPr>
          <w:b/>
          <w:bCs/>
          <w:color w:val="auto"/>
          <w:sz w:val="22"/>
          <w:szCs w:val="22"/>
        </w:rPr>
        <w:tab/>
      </w:r>
      <w:r w:rsidR="00F011CB" w:rsidRPr="006A1520">
        <w:rPr>
          <w:b/>
          <w:bCs/>
          <w:color w:val="auto"/>
          <w:sz w:val="22"/>
          <w:szCs w:val="22"/>
        </w:rPr>
        <w:t>Rationale</w:t>
      </w:r>
      <w:r w:rsidR="00F011CB">
        <w:rPr>
          <w:color w:val="auto"/>
          <w:sz w:val="22"/>
          <w:szCs w:val="22"/>
        </w:rPr>
        <w:t xml:space="preserve">. </w:t>
      </w:r>
      <w:r w:rsidR="00113357">
        <w:rPr>
          <w:color w:val="auto"/>
          <w:sz w:val="22"/>
          <w:szCs w:val="22"/>
        </w:rPr>
        <w:t>Pre-review is the initial assessment of an application. The purpose of pre-review is to:</w:t>
      </w:r>
    </w:p>
    <w:p w14:paraId="2648A809" w14:textId="1F467F54" w:rsidR="00113357" w:rsidRDefault="00113357" w:rsidP="00E93038">
      <w:pPr>
        <w:pStyle w:val="NoSpacing"/>
        <w:numPr>
          <w:ilvl w:val="0"/>
          <w:numId w:val="9"/>
        </w:numPr>
        <w:ind w:left="1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Ensure that the application is eligible for review by HSD or the UW IRB</w:t>
      </w:r>
    </w:p>
    <w:p w14:paraId="2BCAD47D" w14:textId="5DBC9A41" w:rsidR="00113357" w:rsidRDefault="00113357" w:rsidP="00E93038">
      <w:pPr>
        <w:pStyle w:val="NoSpacing"/>
        <w:numPr>
          <w:ilvl w:val="0"/>
          <w:numId w:val="9"/>
        </w:numPr>
        <w:ind w:left="1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Identify the applicable regulations</w:t>
      </w:r>
    </w:p>
    <w:p w14:paraId="27D2D185" w14:textId="0A1FC1B5" w:rsidR="00113357" w:rsidRDefault="00113357" w:rsidP="00E93038">
      <w:pPr>
        <w:pStyle w:val="NoSpacing"/>
        <w:numPr>
          <w:ilvl w:val="0"/>
          <w:numId w:val="9"/>
        </w:numPr>
        <w:ind w:left="1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Determine whether the application requires IRB review</w:t>
      </w:r>
    </w:p>
    <w:p w14:paraId="7BE1379F" w14:textId="42111307" w:rsidR="00113357" w:rsidRDefault="00113357" w:rsidP="00E93038">
      <w:pPr>
        <w:pStyle w:val="NoSpacing"/>
        <w:numPr>
          <w:ilvl w:val="0"/>
          <w:numId w:val="9"/>
        </w:numPr>
        <w:ind w:left="1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Identify the type of review that is required and appropriate</w:t>
      </w:r>
    </w:p>
    <w:p w14:paraId="6CF9B13B" w14:textId="7DE6A7DD" w:rsidR="00113357" w:rsidRDefault="00113357" w:rsidP="00E93038">
      <w:pPr>
        <w:pStyle w:val="NoSpacing"/>
        <w:numPr>
          <w:ilvl w:val="0"/>
          <w:numId w:val="9"/>
        </w:numPr>
        <w:ind w:left="1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Promote compliance, consistency, and efficiency of HSD and IRB reviews</w:t>
      </w:r>
    </w:p>
    <w:p w14:paraId="720D28E4" w14:textId="5BC8F7C5" w:rsidR="00113357" w:rsidRDefault="00113357" w:rsidP="00E93038">
      <w:pPr>
        <w:pStyle w:val="NoSpacing"/>
        <w:numPr>
          <w:ilvl w:val="0"/>
          <w:numId w:val="9"/>
        </w:numPr>
        <w:ind w:left="1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 </w:t>
      </w:r>
      <w:r w:rsidR="00037A46">
        <w:rPr>
          <w:color w:val="auto"/>
          <w:sz w:val="22"/>
          <w:szCs w:val="22"/>
        </w:rPr>
        <w:t xml:space="preserve">researcher </w:t>
      </w:r>
      <w:r>
        <w:rPr>
          <w:color w:val="auto"/>
          <w:sz w:val="22"/>
          <w:szCs w:val="22"/>
        </w:rPr>
        <w:t xml:space="preserve">responses: </w:t>
      </w:r>
      <w:r w:rsidR="00E93038">
        <w:rPr>
          <w:color w:val="auto"/>
          <w:sz w:val="22"/>
          <w:szCs w:val="22"/>
        </w:rPr>
        <w:t>Ensure</w:t>
      </w:r>
      <w:r>
        <w:rPr>
          <w:color w:val="auto"/>
          <w:sz w:val="22"/>
          <w:szCs w:val="22"/>
        </w:rPr>
        <w:t xml:space="preserve"> that </w:t>
      </w:r>
      <w:r w:rsidR="002A39DD">
        <w:rPr>
          <w:color w:val="auto"/>
          <w:sz w:val="22"/>
          <w:szCs w:val="22"/>
        </w:rPr>
        <w:t xml:space="preserve">responses do not change </w:t>
      </w:r>
      <w:r>
        <w:rPr>
          <w:color w:val="auto"/>
          <w:sz w:val="22"/>
          <w:szCs w:val="22"/>
        </w:rPr>
        <w:t>previous pre</w:t>
      </w:r>
      <w:r w:rsidR="002A39DD">
        <w:rPr>
          <w:color w:val="auto"/>
          <w:sz w:val="22"/>
          <w:szCs w:val="22"/>
        </w:rPr>
        <w:t>-review assessments</w:t>
      </w:r>
    </w:p>
    <w:p w14:paraId="3BD0938F" w14:textId="5DA19E28" w:rsidR="00113357" w:rsidRDefault="00113357" w:rsidP="00E93038">
      <w:pPr>
        <w:pStyle w:val="NoSpacing"/>
        <w:numPr>
          <w:ilvl w:val="0"/>
          <w:numId w:val="9"/>
        </w:numPr>
        <w:ind w:left="1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Provide the IRBs with assurance that (1) applicable regulatory requirements and determinations have been identified, and (2) the provided materials and information are ready for review</w:t>
      </w:r>
    </w:p>
    <w:p w14:paraId="0A2F8F85" w14:textId="240F0179" w:rsidR="00113357" w:rsidRDefault="00113357" w:rsidP="00E93038">
      <w:pPr>
        <w:pStyle w:val="NoSpacing"/>
        <w:numPr>
          <w:ilvl w:val="0"/>
          <w:numId w:val="9"/>
        </w:numPr>
        <w:ind w:left="11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Allow the IRB to focus on the criteria for approval, ethical principles, and required determinations</w:t>
      </w:r>
    </w:p>
    <w:p w14:paraId="16A54F1C" w14:textId="54898FD6" w:rsidR="00113357" w:rsidRPr="00604714" w:rsidRDefault="00113357" w:rsidP="5C1FFA97">
      <w:pPr>
        <w:pStyle w:val="NoSpacing"/>
        <w:tabs>
          <w:tab w:val="left" w:pos="630"/>
        </w:tabs>
        <w:rPr>
          <w:color w:val="auto"/>
          <w:sz w:val="22"/>
          <w:szCs w:val="22"/>
        </w:rPr>
      </w:pPr>
    </w:p>
    <w:p w14:paraId="6E08D033" w14:textId="434400FB" w:rsidR="00113357" w:rsidRDefault="00E93038" w:rsidP="00E93038">
      <w:pPr>
        <w:pStyle w:val="NoSpacing"/>
        <w:ind w:left="810" w:hanging="450"/>
        <w:rPr>
          <w:color w:val="auto"/>
          <w:sz w:val="22"/>
          <w:szCs w:val="22"/>
        </w:rPr>
      </w:pPr>
      <w:r w:rsidRPr="00E93038">
        <w:rPr>
          <w:bCs/>
          <w:color w:val="auto"/>
          <w:sz w:val="22"/>
          <w:szCs w:val="22"/>
        </w:rPr>
        <w:t>2.2</w:t>
      </w:r>
      <w:r>
        <w:rPr>
          <w:b/>
          <w:bCs/>
          <w:color w:val="auto"/>
          <w:sz w:val="22"/>
          <w:szCs w:val="22"/>
        </w:rPr>
        <w:tab/>
      </w:r>
      <w:r w:rsidR="00F011CB" w:rsidRPr="00F011CB">
        <w:rPr>
          <w:b/>
          <w:bCs/>
          <w:color w:val="auto"/>
          <w:sz w:val="22"/>
          <w:szCs w:val="22"/>
        </w:rPr>
        <w:t>Required</w:t>
      </w:r>
      <w:r w:rsidR="00F011CB" w:rsidRPr="006A1520">
        <w:rPr>
          <w:color w:val="auto"/>
          <w:sz w:val="22"/>
          <w:szCs w:val="22"/>
        </w:rPr>
        <w:t xml:space="preserve">. </w:t>
      </w:r>
      <w:r w:rsidR="00113357" w:rsidRPr="006A1520">
        <w:rPr>
          <w:color w:val="auto"/>
          <w:sz w:val="22"/>
          <w:szCs w:val="22"/>
        </w:rPr>
        <w:t>Pre-review is required</w:t>
      </w:r>
      <w:r w:rsidR="00113357" w:rsidRPr="00113357">
        <w:rPr>
          <w:color w:val="auto"/>
          <w:sz w:val="22"/>
          <w:szCs w:val="22"/>
        </w:rPr>
        <w:t xml:space="preserve">. However, </w:t>
      </w:r>
      <w:r w:rsidR="00037A46">
        <w:rPr>
          <w:color w:val="auto"/>
          <w:sz w:val="22"/>
          <w:szCs w:val="22"/>
        </w:rPr>
        <w:t>it</w:t>
      </w:r>
      <w:r w:rsidR="00113357" w:rsidRPr="00113357">
        <w:rPr>
          <w:color w:val="auto"/>
          <w:sz w:val="22"/>
          <w:szCs w:val="22"/>
        </w:rPr>
        <w:t xml:space="preserve"> may be abbreviated when IRB review is urgently required. In such cases, staff are expected to conduct the pre-review assessment at the same time as the IRB does its review, to ensure that no regulatory requirements and determinations are overlooked or undocumented.</w:t>
      </w:r>
    </w:p>
    <w:p w14:paraId="62F68F67" w14:textId="77777777" w:rsidR="00113357" w:rsidRDefault="00113357" w:rsidP="00113357">
      <w:pPr>
        <w:pStyle w:val="NoSpacing"/>
        <w:rPr>
          <w:color w:val="auto"/>
          <w:sz w:val="22"/>
          <w:szCs w:val="22"/>
        </w:rPr>
      </w:pPr>
    </w:p>
    <w:p w14:paraId="4313EF3B" w14:textId="063654FE" w:rsidR="00113357" w:rsidRDefault="00E93038" w:rsidP="00E93038">
      <w:pPr>
        <w:pStyle w:val="NoSpacing"/>
        <w:ind w:left="810" w:hanging="450"/>
        <w:rPr>
          <w:color w:val="auto"/>
          <w:sz w:val="22"/>
          <w:szCs w:val="22"/>
        </w:rPr>
      </w:pPr>
      <w:r w:rsidRPr="00E93038">
        <w:rPr>
          <w:bCs/>
          <w:color w:val="auto"/>
          <w:sz w:val="22"/>
          <w:szCs w:val="22"/>
        </w:rPr>
        <w:t>2.3</w:t>
      </w:r>
      <w:r>
        <w:rPr>
          <w:b/>
          <w:bCs/>
          <w:color w:val="auto"/>
          <w:sz w:val="22"/>
          <w:szCs w:val="22"/>
        </w:rPr>
        <w:tab/>
      </w:r>
      <w:r w:rsidR="00F011CB" w:rsidRPr="006A1520">
        <w:rPr>
          <w:b/>
          <w:bCs/>
          <w:color w:val="auto"/>
          <w:sz w:val="22"/>
          <w:szCs w:val="22"/>
        </w:rPr>
        <w:t>Who does pre-review</w:t>
      </w:r>
      <w:r w:rsidR="00F011CB">
        <w:rPr>
          <w:color w:val="auto"/>
          <w:sz w:val="22"/>
          <w:szCs w:val="22"/>
        </w:rPr>
        <w:t xml:space="preserve">. </w:t>
      </w:r>
      <w:r w:rsidR="00113357">
        <w:rPr>
          <w:color w:val="auto"/>
          <w:sz w:val="22"/>
          <w:szCs w:val="22"/>
        </w:rPr>
        <w:t xml:space="preserve">Pre-review is generally conducted by the HSD staff person assigned to the application at initial intake. However, any </w:t>
      </w:r>
      <w:r w:rsidR="00B1091E">
        <w:rPr>
          <w:color w:val="auto"/>
          <w:sz w:val="22"/>
          <w:szCs w:val="22"/>
        </w:rPr>
        <w:t>of the following</w:t>
      </w:r>
      <w:r w:rsidR="00113357">
        <w:rPr>
          <w:color w:val="auto"/>
          <w:sz w:val="22"/>
          <w:szCs w:val="22"/>
        </w:rPr>
        <w:t xml:space="preserve"> </w:t>
      </w:r>
      <w:r w:rsidR="00B1091E">
        <w:rPr>
          <w:color w:val="auto"/>
          <w:sz w:val="22"/>
          <w:szCs w:val="22"/>
        </w:rPr>
        <w:t xml:space="preserve">HSD staff </w:t>
      </w:r>
      <w:r w:rsidR="00113357">
        <w:rPr>
          <w:color w:val="auto"/>
          <w:sz w:val="22"/>
          <w:szCs w:val="22"/>
        </w:rPr>
        <w:t>may perform the pre-review</w:t>
      </w:r>
      <w:r w:rsidR="00604714">
        <w:rPr>
          <w:color w:val="auto"/>
          <w:sz w:val="22"/>
          <w:szCs w:val="22"/>
        </w:rPr>
        <w:t xml:space="preserve">: </w:t>
      </w:r>
      <w:r w:rsidR="00B1091E">
        <w:rPr>
          <w:color w:val="auto"/>
          <w:sz w:val="22"/>
          <w:szCs w:val="22"/>
        </w:rPr>
        <w:t>members of the IRB support teams; members of the HSD management team; any other HSD staff who have significant experience at HSD with shepherding initial IRB applicati</w:t>
      </w:r>
      <w:r w:rsidR="00604714">
        <w:rPr>
          <w:color w:val="auto"/>
          <w:sz w:val="22"/>
          <w:szCs w:val="22"/>
        </w:rPr>
        <w:t>ons through the review process.</w:t>
      </w:r>
    </w:p>
    <w:p w14:paraId="5BF2903C" w14:textId="77777777" w:rsidR="00F011CB" w:rsidRDefault="00F011CB" w:rsidP="00E93038">
      <w:pPr>
        <w:pStyle w:val="NoSpacing"/>
        <w:ind w:left="810" w:hanging="450"/>
        <w:rPr>
          <w:color w:val="auto"/>
          <w:sz w:val="22"/>
          <w:szCs w:val="22"/>
        </w:rPr>
      </w:pPr>
    </w:p>
    <w:p w14:paraId="03819212" w14:textId="54590086" w:rsidR="00F011CB" w:rsidRPr="00113357" w:rsidRDefault="00E93038" w:rsidP="00E93038">
      <w:pPr>
        <w:pStyle w:val="NoSpacing"/>
        <w:ind w:left="810" w:hanging="450"/>
        <w:rPr>
          <w:color w:val="auto"/>
          <w:sz w:val="22"/>
          <w:szCs w:val="22"/>
        </w:rPr>
      </w:pPr>
      <w:r w:rsidRPr="00E93038">
        <w:rPr>
          <w:bCs/>
          <w:color w:val="auto"/>
          <w:sz w:val="22"/>
          <w:szCs w:val="22"/>
        </w:rPr>
        <w:t>2.4</w:t>
      </w:r>
      <w:r>
        <w:rPr>
          <w:b/>
          <w:bCs/>
          <w:color w:val="auto"/>
          <w:sz w:val="22"/>
          <w:szCs w:val="22"/>
        </w:rPr>
        <w:tab/>
      </w:r>
      <w:r w:rsidR="00F011CB" w:rsidRPr="006A1520">
        <w:rPr>
          <w:b/>
          <w:bCs/>
          <w:color w:val="auto"/>
          <w:sz w:val="22"/>
          <w:szCs w:val="22"/>
        </w:rPr>
        <w:t>Relationship with expedited review</w:t>
      </w:r>
      <w:r w:rsidR="00F011CB">
        <w:rPr>
          <w:color w:val="auto"/>
          <w:sz w:val="22"/>
          <w:szCs w:val="22"/>
        </w:rPr>
        <w:t>. Pre-review evaluates the eligibility of initial, modification, and continuing review applications for expedited review. If an application is eligible, the pre-reviewer may combine the pre-review and the expedited review processes (that is, perform both) – if and only if the pre-reviewer is an IRB member authorized to conduct expedited review and has the e</w:t>
      </w:r>
      <w:r w:rsidR="00604714">
        <w:rPr>
          <w:color w:val="auto"/>
          <w:sz w:val="22"/>
          <w:szCs w:val="22"/>
        </w:rPr>
        <w:t>xpertise to conduct the review.</w:t>
      </w:r>
    </w:p>
    <w:p w14:paraId="2B264F9D" w14:textId="77C8F4C7" w:rsidR="00113357" w:rsidRDefault="00113357" w:rsidP="5C1FFA97">
      <w:pPr>
        <w:pStyle w:val="NoSpacing"/>
        <w:rPr>
          <w:b/>
          <w:bCs/>
          <w:color w:val="auto"/>
          <w:sz w:val="22"/>
          <w:szCs w:val="22"/>
        </w:rPr>
      </w:pPr>
    </w:p>
    <w:p w14:paraId="4CAB6BE7" w14:textId="5621C26E" w:rsidR="00A03C60" w:rsidRPr="00A03C60" w:rsidRDefault="008F0E05" w:rsidP="00B67847">
      <w:pPr>
        <w:pStyle w:val="NoSpacing"/>
        <w:tabs>
          <w:tab w:val="left" w:pos="270"/>
        </w:tabs>
        <w:spacing w:after="120"/>
        <w:ind w:left="360" w:hanging="45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  </w:t>
      </w:r>
      <w:r w:rsidR="00B67847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 xml:space="preserve">PROCEDURES </w:t>
      </w:r>
      <w:r w:rsidR="5C1FFA97" w:rsidRPr="5C1FFA97">
        <w:rPr>
          <w:b/>
          <w:bCs/>
          <w:color w:val="auto"/>
          <w:sz w:val="22"/>
          <w:szCs w:val="22"/>
        </w:rPr>
        <w:t xml:space="preserve"> </w:t>
      </w:r>
    </w:p>
    <w:p w14:paraId="5D787156" w14:textId="2165DD79" w:rsidR="00B1091E" w:rsidRDefault="00E93038" w:rsidP="00E93038">
      <w:pPr>
        <w:pStyle w:val="NoSpacing"/>
        <w:ind w:left="810" w:hanging="4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911DEF">
        <w:rPr>
          <w:color w:val="auto"/>
          <w:sz w:val="22"/>
          <w:szCs w:val="22"/>
        </w:rPr>
        <w:t>.1</w:t>
      </w:r>
      <w:r w:rsidR="00B1091E">
        <w:rPr>
          <w:color w:val="auto"/>
          <w:sz w:val="22"/>
          <w:szCs w:val="22"/>
        </w:rPr>
        <w:tab/>
      </w:r>
      <w:r w:rsidR="00B1091E" w:rsidRPr="006A1520">
        <w:rPr>
          <w:b/>
          <w:bCs/>
          <w:color w:val="auto"/>
          <w:sz w:val="22"/>
          <w:szCs w:val="22"/>
        </w:rPr>
        <w:t>Conflict of interest</w:t>
      </w:r>
      <w:r w:rsidR="00B1091E">
        <w:rPr>
          <w:color w:val="auto"/>
          <w:sz w:val="22"/>
          <w:szCs w:val="22"/>
        </w:rPr>
        <w:t xml:space="preserve">. Staff do not perform pre-review of an application when they have a </w:t>
      </w:r>
      <w:r w:rsidR="00B1091E" w:rsidRPr="00154582">
        <w:rPr>
          <w:color w:val="auto"/>
          <w:sz w:val="22"/>
          <w:szCs w:val="22"/>
        </w:rPr>
        <w:t>conflict of interest</w:t>
      </w:r>
      <w:r w:rsidR="00B1091E">
        <w:rPr>
          <w:color w:val="auto"/>
          <w:sz w:val="22"/>
          <w:szCs w:val="22"/>
        </w:rPr>
        <w:t xml:space="preserve"> with respect to the application being pre-reviewed</w:t>
      </w:r>
      <w:r w:rsidR="00154582">
        <w:rPr>
          <w:color w:val="auto"/>
          <w:sz w:val="22"/>
          <w:szCs w:val="22"/>
        </w:rPr>
        <w:t xml:space="preserve"> (</w:t>
      </w:r>
      <w:r w:rsidR="00154582" w:rsidRPr="00154582">
        <w:rPr>
          <w:b/>
          <w:bCs/>
          <w:color w:val="auto"/>
          <w:sz w:val="22"/>
          <w:szCs w:val="22"/>
        </w:rPr>
        <w:t>SOP Reviewer Conflict of Interest</w:t>
      </w:r>
      <w:r w:rsidR="00154582" w:rsidRPr="00154582">
        <w:rPr>
          <w:color w:val="auto"/>
          <w:sz w:val="22"/>
          <w:szCs w:val="22"/>
        </w:rPr>
        <w:t>)</w:t>
      </w:r>
      <w:r w:rsidR="00B1091E">
        <w:rPr>
          <w:color w:val="auto"/>
          <w:sz w:val="22"/>
          <w:szCs w:val="22"/>
        </w:rPr>
        <w:t>.</w:t>
      </w:r>
    </w:p>
    <w:p w14:paraId="2CAEC2E4" w14:textId="3DC555F1" w:rsidR="00B1091E" w:rsidRDefault="00B1091E" w:rsidP="00E93038">
      <w:pPr>
        <w:pStyle w:val="NoSpacing"/>
        <w:ind w:left="810" w:hanging="450"/>
        <w:rPr>
          <w:color w:val="auto"/>
          <w:sz w:val="22"/>
          <w:szCs w:val="22"/>
        </w:rPr>
      </w:pPr>
    </w:p>
    <w:p w14:paraId="567ED0F9" w14:textId="3340B6D3" w:rsidR="00B1091E" w:rsidRDefault="00E93038" w:rsidP="00E93038">
      <w:pPr>
        <w:pStyle w:val="NoSpacing"/>
        <w:ind w:left="810" w:hanging="4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B1091E">
        <w:rPr>
          <w:color w:val="auto"/>
          <w:sz w:val="22"/>
          <w:szCs w:val="22"/>
        </w:rPr>
        <w:t>.2</w:t>
      </w:r>
      <w:r w:rsidR="00B1091E">
        <w:rPr>
          <w:color w:val="auto"/>
          <w:sz w:val="22"/>
          <w:szCs w:val="22"/>
        </w:rPr>
        <w:tab/>
      </w:r>
      <w:r w:rsidR="00B1091E" w:rsidRPr="006A1520">
        <w:rPr>
          <w:b/>
          <w:bCs/>
          <w:color w:val="auto"/>
          <w:sz w:val="22"/>
          <w:szCs w:val="22"/>
        </w:rPr>
        <w:t>Doing the pre-review</w:t>
      </w:r>
    </w:p>
    <w:p w14:paraId="1664A17D" w14:textId="77777777" w:rsidR="00037A46" w:rsidRDefault="00037A46" w:rsidP="00B1091E">
      <w:pPr>
        <w:pStyle w:val="NoSpacing"/>
        <w:ind w:left="540" w:hanging="540"/>
        <w:rPr>
          <w:color w:val="auto"/>
          <w:sz w:val="22"/>
          <w:szCs w:val="22"/>
        </w:rPr>
      </w:pPr>
    </w:p>
    <w:p w14:paraId="1A8A2A8F" w14:textId="7BF1C031" w:rsidR="00B1091E" w:rsidRDefault="00E93038" w:rsidP="00FE4623">
      <w:pPr>
        <w:pStyle w:val="NoSpacing"/>
        <w:ind w:left="1440" w:hanging="6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3</w:t>
      </w:r>
      <w:r w:rsidR="00B1091E">
        <w:rPr>
          <w:color w:val="auto"/>
          <w:sz w:val="22"/>
          <w:szCs w:val="22"/>
        </w:rPr>
        <w:t>.2.1</w:t>
      </w:r>
      <w:r w:rsidR="00B1091E">
        <w:rPr>
          <w:color w:val="auto"/>
          <w:sz w:val="22"/>
          <w:szCs w:val="22"/>
        </w:rPr>
        <w:tab/>
      </w:r>
      <w:r w:rsidR="002A39DD">
        <w:rPr>
          <w:bCs/>
          <w:color w:val="auto"/>
          <w:sz w:val="22"/>
          <w:szCs w:val="22"/>
          <w:u w:val="single"/>
        </w:rPr>
        <w:t>Read and e</w:t>
      </w:r>
      <w:r w:rsidR="00B1091E" w:rsidRPr="00911DEF">
        <w:rPr>
          <w:bCs/>
          <w:color w:val="auto"/>
          <w:sz w:val="22"/>
          <w:szCs w:val="22"/>
          <w:u w:val="single"/>
        </w:rPr>
        <w:t>valuate the provided information</w:t>
      </w:r>
      <w:r w:rsidR="00B1091E">
        <w:rPr>
          <w:color w:val="auto"/>
          <w:sz w:val="22"/>
          <w:szCs w:val="22"/>
        </w:rPr>
        <w:t>, using the appropriate Worksheet and taking any acti</w:t>
      </w:r>
      <w:r w:rsidR="00604714">
        <w:rPr>
          <w:color w:val="auto"/>
          <w:sz w:val="22"/>
          <w:szCs w:val="22"/>
        </w:rPr>
        <w:t>ons specified by the Worksheet.</w:t>
      </w:r>
    </w:p>
    <w:p w14:paraId="02347D60" w14:textId="2E94CDA8" w:rsidR="00196D44" w:rsidRPr="00604714" w:rsidRDefault="00196D44" w:rsidP="00FE4623">
      <w:pPr>
        <w:pStyle w:val="NoSpacing"/>
        <w:numPr>
          <w:ilvl w:val="0"/>
          <w:numId w:val="10"/>
        </w:numPr>
        <w:ind w:left="1800"/>
        <w:rPr>
          <w:b/>
          <w:color w:val="auto"/>
          <w:sz w:val="22"/>
          <w:szCs w:val="22"/>
        </w:rPr>
      </w:pPr>
      <w:r w:rsidRPr="00604714">
        <w:rPr>
          <w:b/>
          <w:color w:val="auto"/>
          <w:sz w:val="22"/>
          <w:szCs w:val="22"/>
        </w:rPr>
        <w:t>W</w:t>
      </w:r>
      <w:r w:rsidR="00E71C10" w:rsidRPr="00604714">
        <w:rPr>
          <w:b/>
          <w:color w:val="auto"/>
          <w:sz w:val="22"/>
          <w:szCs w:val="22"/>
        </w:rPr>
        <w:t>ORKSHEET Pre-revie</w:t>
      </w:r>
      <w:r w:rsidR="00604714" w:rsidRPr="00604714">
        <w:rPr>
          <w:b/>
          <w:color w:val="auto"/>
          <w:sz w:val="22"/>
          <w:szCs w:val="22"/>
        </w:rPr>
        <w:t>w, Initial</w:t>
      </w:r>
    </w:p>
    <w:p w14:paraId="0562FAE3" w14:textId="1DA27D53" w:rsidR="00196D44" w:rsidRPr="00604714" w:rsidRDefault="00196D44" w:rsidP="00FE4623">
      <w:pPr>
        <w:pStyle w:val="NoSpacing"/>
        <w:numPr>
          <w:ilvl w:val="0"/>
          <w:numId w:val="10"/>
        </w:numPr>
        <w:ind w:left="1800"/>
        <w:rPr>
          <w:b/>
          <w:color w:val="auto"/>
          <w:sz w:val="22"/>
          <w:szCs w:val="22"/>
        </w:rPr>
      </w:pPr>
      <w:r w:rsidRPr="00604714">
        <w:rPr>
          <w:b/>
          <w:color w:val="auto"/>
          <w:sz w:val="22"/>
          <w:szCs w:val="22"/>
        </w:rPr>
        <w:t>WORK</w:t>
      </w:r>
      <w:r w:rsidR="00E71C10" w:rsidRPr="00604714">
        <w:rPr>
          <w:b/>
          <w:color w:val="auto"/>
          <w:sz w:val="22"/>
          <w:szCs w:val="22"/>
        </w:rPr>
        <w:t>SHEET</w:t>
      </w:r>
      <w:r w:rsidR="00604714" w:rsidRPr="00604714">
        <w:rPr>
          <w:b/>
          <w:color w:val="auto"/>
          <w:sz w:val="22"/>
          <w:szCs w:val="22"/>
        </w:rPr>
        <w:t xml:space="preserve"> Pre-review, Modification</w:t>
      </w:r>
    </w:p>
    <w:p w14:paraId="3E2B6DC2" w14:textId="7DAEA414" w:rsidR="00196D44" w:rsidRPr="00604714" w:rsidRDefault="00196D44" w:rsidP="00FE4623">
      <w:pPr>
        <w:pStyle w:val="NoSpacing"/>
        <w:numPr>
          <w:ilvl w:val="0"/>
          <w:numId w:val="10"/>
        </w:numPr>
        <w:ind w:left="1800"/>
        <w:rPr>
          <w:b/>
          <w:color w:val="auto"/>
          <w:sz w:val="22"/>
          <w:szCs w:val="22"/>
        </w:rPr>
      </w:pPr>
      <w:r w:rsidRPr="00604714">
        <w:rPr>
          <w:b/>
          <w:color w:val="auto"/>
          <w:sz w:val="22"/>
          <w:szCs w:val="22"/>
        </w:rPr>
        <w:t>WORKSHEET</w:t>
      </w:r>
      <w:r w:rsidR="00604714" w:rsidRPr="00604714">
        <w:rPr>
          <w:b/>
          <w:color w:val="auto"/>
          <w:sz w:val="22"/>
          <w:szCs w:val="22"/>
        </w:rPr>
        <w:t xml:space="preserve"> Pre-review, Continuing Review</w:t>
      </w:r>
    </w:p>
    <w:p w14:paraId="605E1B4D" w14:textId="77777777" w:rsidR="00911DEF" w:rsidRDefault="00911DEF" w:rsidP="00911DEF">
      <w:pPr>
        <w:pStyle w:val="NoSpacing"/>
        <w:ind w:left="1532"/>
        <w:rPr>
          <w:color w:val="auto"/>
          <w:sz w:val="22"/>
          <w:szCs w:val="22"/>
        </w:rPr>
      </w:pPr>
    </w:p>
    <w:p w14:paraId="7C92EB17" w14:textId="150F9051" w:rsidR="001305AF" w:rsidRDefault="00E93038" w:rsidP="00FE4623">
      <w:pPr>
        <w:pStyle w:val="NoSpacing"/>
        <w:ind w:left="1440" w:hanging="6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B1091E">
        <w:rPr>
          <w:color w:val="auto"/>
          <w:sz w:val="22"/>
          <w:szCs w:val="22"/>
        </w:rPr>
        <w:t>.2.</w:t>
      </w:r>
      <w:r w:rsidR="00155427">
        <w:rPr>
          <w:color w:val="auto"/>
          <w:sz w:val="22"/>
          <w:szCs w:val="22"/>
        </w:rPr>
        <w:t>2</w:t>
      </w:r>
      <w:r w:rsidR="00B1091E">
        <w:rPr>
          <w:color w:val="auto"/>
          <w:sz w:val="22"/>
          <w:szCs w:val="22"/>
        </w:rPr>
        <w:tab/>
      </w:r>
      <w:r w:rsidR="00B1091E" w:rsidRPr="00911DEF">
        <w:rPr>
          <w:bCs/>
          <w:color w:val="auto"/>
          <w:sz w:val="22"/>
          <w:szCs w:val="22"/>
          <w:u w:val="single"/>
        </w:rPr>
        <w:t>Communicate with the researcher</w:t>
      </w:r>
      <w:r w:rsidR="00196D44" w:rsidRPr="00911DEF">
        <w:rPr>
          <w:bCs/>
          <w:color w:val="auto"/>
          <w:sz w:val="22"/>
          <w:szCs w:val="22"/>
          <w:u w:val="single"/>
        </w:rPr>
        <w:t xml:space="preserve"> and primary contact person</w:t>
      </w:r>
      <w:r w:rsidR="00B1091E">
        <w:rPr>
          <w:color w:val="auto"/>
          <w:sz w:val="22"/>
          <w:szCs w:val="22"/>
        </w:rPr>
        <w:t xml:space="preserve"> as needed to obtain</w:t>
      </w:r>
      <w:r w:rsidR="00196D44">
        <w:rPr>
          <w:color w:val="auto"/>
          <w:sz w:val="22"/>
          <w:szCs w:val="22"/>
        </w:rPr>
        <w:t xml:space="preserve"> clarification or additional information and mat</w:t>
      </w:r>
      <w:r w:rsidR="00604714">
        <w:rPr>
          <w:color w:val="auto"/>
          <w:sz w:val="22"/>
          <w:szCs w:val="22"/>
        </w:rPr>
        <w:t>erials.</w:t>
      </w:r>
    </w:p>
    <w:p w14:paraId="3782BDFA" w14:textId="77777777" w:rsidR="00911DEF" w:rsidRDefault="00911DEF" w:rsidP="001305AF">
      <w:pPr>
        <w:pStyle w:val="NoSpacing"/>
        <w:ind w:left="1170" w:hanging="630"/>
        <w:rPr>
          <w:color w:val="auto"/>
          <w:sz w:val="22"/>
          <w:szCs w:val="22"/>
        </w:rPr>
      </w:pPr>
    </w:p>
    <w:p w14:paraId="2968EBEB" w14:textId="69925A08" w:rsidR="001305AF" w:rsidRDefault="00EA62CA" w:rsidP="00FE4623">
      <w:pPr>
        <w:pStyle w:val="NoSpacing"/>
        <w:numPr>
          <w:ilvl w:val="0"/>
          <w:numId w:val="14"/>
        </w:numPr>
        <w:ind w:left="1800"/>
        <w:rPr>
          <w:color w:val="auto"/>
          <w:sz w:val="22"/>
          <w:szCs w:val="22"/>
        </w:rPr>
      </w:pPr>
      <w:r w:rsidRPr="00911DEF">
        <w:rPr>
          <w:bCs/>
          <w:i/>
          <w:color w:val="auto"/>
          <w:sz w:val="22"/>
          <w:szCs w:val="22"/>
        </w:rPr>
        <w:t>Communication to the researcher</w:t>
      </w:r>
      <w:r w:rsidRPr="00911DEF">
        <w:rPr>
          <w:i/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r w:rsidR="002F3196">
        <w:rPr>
          <w:color w:val="auto"/>
          <w:sz w:val="22"/>
          <w:szCs w:val="22"/>
        </w:rPr>
        <w:t>T</w:t>
      </w:r>
      <w:r w:rsidR="00D3133B">
        <w:rPr>
          <w:color w:val="auto"/>
          <w:sz w:val="22"/>
          <w:szCs w:val="22"/>
        </w:rPr>
        <w:t xml:space="preserve">his should </w:t>
      </w:r>
      <w:r w:rsidR="002F3196">
        <w:rPr>
          <w:color w:val="auto"/>
          <w:sz w:val="22"/>
          <w:szCs w:val="22"/>
        </w:rPr>
        <w:t xml:space="preserve">almost </w:t>
      </w:r>
      <w:r w:rsidR="00D3133B">
        <w:rPr>
          <w:color w:val="auto"/>
          <w:sz w:val="22"/>
          <w:szCs w:val="22"/>
        </w:rPr>
        <w:t>always be done within Zipline</w:t>
      </w:r>
      <w:r w:rsidR="002F3196">
        <w:rPr>
          <w:color w:val="auto"/>
          <w:sz w:val="22"/>
          <w:szCs w:val="22"/>
        </w:rPr>
        <w:t xml:space="preserve">, using the </w:t>
      </w:r>
      <w:r w:rsidR="00F50B17">
        <w:rPr>
          <w:color w:val="auto"/>
          <w:sz w:val="22"/>
          <w:szCs w:val="22"/>
        </w:rPr>
        <w:t xml:space="preserve">activity </w:t>
      </w:r>
      <w:r w:rsidR="00F50B17" w:rsidRPr="006A1520">
        <w:rPr>
          <w:b/>
          <w:bCs/>
          <w:color w:val="auto"/>
          <w:sz w:val="22"/>
          <w:szCs w:val="22"/>
        </w:rPr>
        <w:t>Request Pre-Review Clarification</w:t>
      </w:r>
      <w:r w:rsidR="00F50B17">
        <w:rPr>
          <w:color w:val="auto"/>
          <w:sz w:val="22"/>
          <w:szCs w:val="22"/>
        </w:rPr>
        <w:t>.</w:t>
      </w:r>
      <w:r w:rsidR="00931D2E">
        <w:rPr>
          <w:color w:val="auto"/>
          <w:sz w:val="22"/>
          <w:szCs w:val="22"/>
        </w:rPr>
        <w:t xml:space="preserve"> Questions </w:t>
      </w:r>
      <w:r w:rsidR="002F3196">
        <w:rPr>
          <w:color w:val="auto"/>
          <w:sz w:val="22"/>
          <w:szCs w:val="22"/>
        </w:rPr>
        <w:t xml:space="preserve">and requests </w:t>
      </w:r>
      <w:r w:rsidR="00931D2E">
        <w:rPr>
          <w:color w:val="auto"/>
          <w:sz w:val="22"/>
          <w:szCs w:val="22"/>
        </w:rPr>
        <w:t xml:space="preserve">can be sent </w:t>
      </w:r>
      <w:r w:rsidR="001F375B">
        <w:rPr>
          <w:color w:val="auto"/>
          <w:sz w:val="22"/>
          <w:szCs w:val="22"/>
        </w:rPr>
        <w:t>in the activity text box</w:t>
      </w:r>
      <w:r w:rsidR="00911DEF">
        <w:rPr>
          <w:color w:val="auto"/>
          <w:sz w:val="22"/>
          <w:szCs w:val="22"/>
        </w:rPr>
        <w:t xml:space="preserve"> </w:t>
      </w:r>
      <w:r w:rsidR="00931D2E">
        <w:rPr>
          <w:color w:val="auto"/>
          <w:sz w:val="22"/>
          <w:szCs w:val="22"/>
        </w:rPr>
        <w:t xml:space="preserve">or as an attached Pre-review Letter. </w:t>
      </w:r>
      <w:r w:rsidR="004A2F27">
        <w:rPr>
          <w:color w:val="auto"/>
          <w:sz w:val="22"/>
          <w:szCs w:val="22"/>
        </w:rPr>
        <w:t xml:space="preserve">Refer to </w:t>
      </w:r>
      <w:r w:rsidR="004A2F27">
        <w:rPr>
          <w:b/>
          <w:color w:val="auto"/>
          <w:sz w:val="22"/>
          <w:szCs w:val="22"/>
        </w:rPr>
        <w:t xml:space="preserve">GUIDANCE </w:t>
      </w:r>
      <w:r w:rsidR="00691511">
        <w:rPr>
          <w:b/>
          <w:color w:val="auto"/>
          <w:sz w:val="22"/>
          <w:szCs w:val="22"/>
        </w:rPr>
        <w:t>Pre-Review</w:t>
      </w:r>
      <w:r w:rsidR="004A2F27" w:rsidRPr="004A2F27">
        <w:rPr>
          <w:color w:val="auto"/>
          <w:sz w:val="22"/>
          <w:szCs w:val="22"/>
        </w:rPr>
        <w:t xml:space="preserve"> for more detailed information about </w:t>
      </w:r>
      <w:r w:rsidR="004A2F27">
        <w:rPr>
          <w:color w:val="auto"/>
          <w:sz w:val="22"/>
          <w:szCs w:val="22"/>
        </w:rPr>
        <w:t xml:space="preserve">communicating with researchers and composing review correspondence. </w:t>
      </w:r>
    </w:p>
    <w:p w14:paraId="343B7024" w14:textId="2D17444E" w:rsidR="001305AF" w:rsidRDefault="00D3133B" w:rsidP="00604714">
      <w:pPr>
        <w:pStyle w:val="NoSpacing"/>
        <w:ind w:left="1890"/>
        <w:rPr>
          <w:color w:val="auto"/>
          <w:sz w:val="22"/>
          <w:szCs w:val="22"/>
        </w:rPr>
      </w:pPr>
      <w:r w:rsidRPr="00911DEF">
        <w:rPr>
          <w:bCs/>
          <w:i/>
          <w:color w:val="auto"/>
          <w:sz w:val="22"/>
          <w:szCs w:val="22"/>
        </w:rPr>
        <w:t>Researcher response</w:t>
      </w:r>
      <w:r>
        <w:rPr>
          <w:color w:val="auto"/>
          <w:sz w:val="22"/>
          <w:szCs w:val="22"/>
        </w:rPr>
        <w:t xml:space="preserve">. </w:t>
      </w:r>
      <w:r w:rsidR="001305AF">
        <w:rPr>
          <w:color w:val="auto"/>
          <w:sz w:val="22"/>
          <w:szCs w:val="22"/>
        </w:rPr>
        <w:t xml:space="preserve">All clarifications and new information must be documented as (1) </w:t>
      </w:r>
      <w:r w:rsidR="00844B16">
        <w:rPr>
          <w:color w:val="auto"/>
          <w:sz w:val="22"/>
          <w:szCs w:val="22"/>
        </w:rPr>
        <w:t xml:space="preserve">uploaded response </w:t>
      </w:r>
      <w:r w:rsidR="001305AF">
        <w:rPr>
          <w:color w:val="auto"/>
          <w:sz w:val="22"/>
          <w:szCs w:val="22"/>
        </w:rPr>
        <w:t>letters</w:t>
      </w:r>
      <w:r w:rsidR="00911DEF">
        <w:rPr>
          <w:color w:val="auto"/>
          <w:sz w:val="22"/>
          <w:szCs w:val="22"/>
        </w:rPr>
        <w:t>, other materials,</w:t>
      </w:r>
      <w:r w:rsidR="001305AF">
        <w:rPr>
          <w:color w:val="auto"/>
          <w:sz w:val="22"/>
          <w:szCs w:val="22"/>
        </w:rPr>
        <w:t xml:space="preserve"> or </w:t>
      </w:r>
      <w:r w:rsidR="00844B16">
        <w:rPr>
          <w:color w:val="auto"/>
          <w:sz w:val="22"/>
          <w:szCs w:val="22"/>
        </w:rPr>
        <w:t>C</w:t>
      </w:r>
      <w:r w:rsidR="001305AF">
        <w:rPr>
          <w:color w:val="auto"/>
          <w:sz w:val="22"/>
          <w:szCs w:val="22"/>
        </w:rPr>
        <w:t>omments and/or (2) edits to the application materials</w:t>
      </w:r>
      <w:r w:rsidR="00C27785">
        <w:rPr>
          <w:color w:val="auto"/>
          <w:sz w:val="22"/>
          <w:szCs w:val="22"/>
        </w:rPr>
        <w:t xml:space="preserve"> and </w:t>
      </w:r>
      <w:r w:rsidR="00844B16">
        <w:rPr>
          <w:color w:val="auto"/>
          <w:sz w:val="22"/>
          <w:szCs w:val="22"/>
        </w:rPr>
        <w:t xml:space="preserve">SmartForms. </w:t>
      </w:r>
    </w:p>
    <w:p w14:paraId="0613E8BE" w14:textId="77777777" w:rsidR="004A2F27" w:rsidRDefault="004A2F27" w:rsidP="00E93038">
      <w:pPr>
        <w:pStyle w:val="NoSpacing"/>
        <w:ind w:left="810" w:hanging="450"/>
        <w:rPr>
          <w:color w:val="auto"/>
          <w:sz w:val="22"/>
          <w:szCs w:val="22"/>
        </w:rPr>
      </w:pPr>
    </w:p>
    <w:p w14:paraId="20CDB9C7" w14:textId="3DDDEE83" w:rsidR="009529A1" w:rsidRDefault="00E93038" w:rsidP="00E93038">
      <w:pPr>
        <w:pStyle w:val="NoSpacing"/>
        <w:ind w:left="810" w:hanging="4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B1091E">
        <w:rPr>
          <w:color w:val="auto"/>
          <w:sz w:val="22"/>
          <w:szCs w:val="22"/>
        </w:rPr>
        <w:t>.3</w:t>
      </w:r>
      <w:r w:rsidR="00B1091E">
        <w:rPr>
          <w:color w:val="auto"/>
          <w:sz w:val="22"/>
          <w:szCs w:val="22"/>
        </w:rPr>
        <w:tab/>
      </w:r>
      <w:r w:rsidR="00037A46">
        <w:rPr>
          <w:b/>
          <w:bCs/>
          <w:color w:val="auto"/>
          <w:sz w:val="22"/>
          <w:szCs w:val="22"/>
        </w:rPr>
        <w:t>Relationship with expedited r</w:t>
      </w:r>
      <w:r w:rsidR="009529A1" w:rsidRPr="006A1520">
        <w:rPr>
          <w:b/>
          <w:bCs/>
          <w:color w:val="auto"/>
          <w:sz w:val="22"/>
          <w:szCs w:val="22"/>
        </w:rPr>
        <w:t>eview</w:t>
      </w:r>
      <w:r w:rsidR="009529A1">
        <w:rPr>
          <w:color w:val="auto"/>
          <w:sz w:val="22"/>
          <w:szCs w:val="22"/>
        </w:rPr>
        <w:t>. The pre-review assessment may indicate that the study requires IRB review and that it qualifies for expedited review</w:t>
      </w:r>
      <w:r w:rsidR="00F747FF">
        <w:rPr>
          <w:color w:val="auto"/>
          <w:sz w:val="22"/>
          <w:szCs w:val="22"/>
        </w:rPr>
        <w:t>. In these cases, the pre-reviewer almost always combines the expedited review with the pre-review, if the pre-reviewer is an IRB member with appropriate expertise. Th</w:t>
      </w:r>
      <w:r w:rsidR="00604714">
        <w:rPr>
          <w:color w:val="auto"/>
          <w:sz w:val="22"/>
          <w:szCs w:val="22"/>
        </w:rPr>
        <w:t>is is assumed in this document.</w:t>
      </w:r>
      <w:r w:rsidR="00D353A5">
        <w:rPr>
          <w:color w:val="auto"/>
          <w:sz w:val="22"/>
          <w:szCs w:val="22"/>
        </w:rPr>
        <w:t xml:space="preserve"> The IRB member conducting the expedited review should use the appropriate Worksheet listed below. </w:t>
      </w:r>
    </w:p>
    <w:p w14:paraId="22D8A30D" w14:textId="75907567" w:rsidR="00314B9C" w:rsidRPr="00604714" w:rsidRDefault="00314B9C" w:rsidP="00314B9C">
      <w:pPr>
        <w:pStyle w:val="NoSpacing"/>
        <w:numPr>
          <w:ilvl w:val="0"/>
          <w:numId w:val="10"/>
        </w:numPr>
        <w:ind w:left="1800"/>
        <w:rPr>
          <w:b/>
          <w:color w:val="auto"/>
          <w:sz w:val="22"/>
          <w:szCs w:val="22"/>
        </w:rPr>
      </w:pPr>
      <w:r w:rsidRPr="00604714">
        <w:rPr>
          <w:b/>
          <w:color w:val="auto"/>
          <w:sz w:val="22"/>
          <w:szCs w:val="22"/>
        </w:rPr>
        <w:t>WORKSHEET</w:t>
      </w:r>
      <w:r>
        <w:rPr>
          <w:b/>
          <w:color w:val="auto"/>
          <w:sz w:val="22"/>
          <w:szCs w:val="22"/>
        </w:rPr>
        <w:t xml:space="preserve"> Primary Reviewer Initial Application</w:t>
      </w:r>
    </w:p>
    <w:p w14:paraId="6BF3EB82" w14:textId="41F4DB6A" w:rsidR="00314B9C" w:rsidRPr="00604714" w:rsidRDefault="00314B9C" w:rsidP="00314B9C">
      <w:pPr>
        <w:pStyle w:val="NoSpacing"/>
        <w:numPr>
          <w:ilvl w:val="0"/>
          <w:numId w:val="10"/>
        </w:numPr>
        <w:ind w:left="1800"/>
        <w:rPr>
          <w:b/>
          <w:color w:val="auto"/>
          <w:sz w:val="22"/>
          <w:szCs w:val="22"/>
        </w:rPr>
      </w:pPr>
      <w:r w:rsidRPr="00604714">
        <w:rPr>
          <w:b/>
          <w:color w:val="auto"/>
          <w:sz w:val="22"/>
          <w:szCs w:val="22"/>
        </w:rPr>
        <w:t>WORKSHEET</w:t>
      </w:r>
      <w:r>
        <w:rPr>
          <w:b/>
          <w:color w:val="auto"/>
          <w:sz w:val="22"/>
          <w:szCs w:val="22"/>
        </w:rPr>
        <w:t xml:space="preserve"> Primary Reviewer CR and Mod</w:t>
      </w:r>
    </w:p>
    <w:p w14:paraId="220F240D" w14:textId="77777777" w:rsidR="00314B9C" w:rsidRDefault="00314B9C" w:rsidP="00E93038">
      <w:pPr>
        <w:pStyle w:val="NoSpacing"/>
        <w:ind w:left="810" w:hanging="450"/>
        <w:rPr>
          <w:color w:val="auto"/>
          <w:sz w:val="22"/>
          <w:szCs w:val="22"/>
        </w:rPr>
      </w:pPr>
    </w:p>
    <w:p w14:paraId="311E1DFB" w14:textId="16B55818" w:rsidR="00B1091E" w:rsidRDefault="00E93038" w:rsidP="00E93038">
      <w:pPr>
        <w:pStyle w:val="NoSpacing"/>
        <w:ind w:left="810" w:hanging="4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9529A1">
        <w:rPr>
          <w:color w:val="auto"/>
          <w:sz w:val="22"/>
          <w:szCs w:val="22"/>
        </w:rPr>
        <w:t>.4</w:t>
      </w:r>
      <w:r w:rsidR="009529A1">
        <w:rPr>
          <w:color w:val="auto"/>
          <w:sz w:val="22"/>
          <w:szCs w:val="22"/>
        </w:rPr>
        <w:tab/>
      </w:r>
      <w:r w:rsidR="00B1091E" w:rsidRPr="006A1520">
        <w:rPr>
          <w:b/>
          <w:bCs/>
          <w:color w:val="auto"/>
          <w:sz w:val="22"/>
          <w:szCs w:val="22"/>
        </w:rPr>
        <w:t>Documenting the pre-review</w:t>
      </w:r>
      <w:r w:rsidR="00F011CB" w:rsidRPr="006A1520">
        <w:rPr>
          <w:b/>
          <w:bCs/>
          <w:color w:val="auto"/>
          <w:sz w:val="22"/>
          <w:szCs w:val="22"/>
        </w:rPr>
        <w:t xml:space="preserve"> outcomes</w:t>
      </w:r>
    </w:p>
    <w:p w14:paraId="5E5CA849" w14:textId="77777777" w:rsidR="00037A46" w:rsidRDefault="00037A46" w:rsidP="00B1091E">
      <w:pPr>
        <w:pStyle w:val="NoSpacing"/>
        <w:ind w:left="540" w:hanging="540"/>
        <w:rPr>
          <w:color w:val="auto"/>
          <w:sz w:val="22"/>
          <w:szCs w:val="22"/>
        </w:rPr>
      </w:pPr>
    </w:p>
    <w:p w14:paraId="044DCBB7" w14:textId="48896A88" w:rsidR="00D9702F" w:rsidRDefault="00E93038" w:rsidP="00FE4623">
      <w:pPr>
        <w:pStyle w:val="NoSpacing"/>
        <w:ind w:left="1440" w:hanging="6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EA62CA">
        <w:rPr>
          <w:color w:val="auto"/>
          <w:sz w:val="22"/>
          <w:szCs w:val="22"/>
        </w:rPr>
        <w:t>.</w:t>
      </w:r>
      <w:r w:rsidR="00E0066A">
        <w:rPr>
          <w:color w:val="auto"/>
          <w:sz w:val="22"/>
          <w:szCs w:val="22"/>
        </w:rPr>
        <w:t>4</w:t>
      </w:r>
      <w:r w:rsidR="00EA62CA">
        <w:rPr>
          <w:color w:val="auto"/>
          <w:sz w:val="22"/>
          <w:szCs w:val="22"/>
        </w:rPr>
        <w:t>.1</w:t>
      </w:r>
      <w:r w:rsidR="00EA62CA">
        <w:rPr>
          <w:color w:val="auto"/>
          <w:sz w:val="22"/>
          <w:szCs w:val="22"/>
        </w:rPr>
        <w:tab/>
      </w:r>
      <w:r w:rsidR="00146711" w:rsidRPr="00911DEF">
        <w:rPr>
          <w:bCs/>
          <w:color w:val="auto"/>
          <w:sz w:val="22"/>
          <w:szCs w:val="22"/>
          <w:u w:val="single"/>
        </w:rPr>
        <w:t>Initial applications</w:t>
      </w:r>
      <w:r w:rsidR="00146711">
        <w:rPr>
          <w:color w:val="auto"/>
          <w:sz w:val="22"/>
          <w:szCs w:val="22"/>
        </w:rPr>
        <w:t xml:space="preserve">. Use the Zipline activity </w:t>
      </w:r>
      <w:r w:rsidR="00146711" w:rsidRPr="00037A46">
        <w:rPr>
          <w:b/>
          <w:color w:val="auto"/>
          <w:sz w:val="22"/>
          <w:szCs w:val="22"/>
        </w:rPr>
        <w:t>Submit Pre-review</w:t>
      </w:r>
      <w:r w:rsidR="00146711">
        <w:rPr>
          <w:color w:val="auto"/>
          <w:sz w:val="22"/>
          <w:szCs w:val="22"/>
        </w:rPr>
        <w:t xml:space="preserve">. This activity interacts with </w:t>
      </w:r>
      <w:r w:rsidR="00A37AAC">
        <w:rPr>
          <w:color w:val="auto"/>
          <w:sz w:val="22"/>
          <w:szCs w:val="22"/>
        </w:rPr>
        <w:t xml:space="preserve">several </w:t>
      </w:r>
      <w:r w:rsidR="00146711">
        <w:rPr>
          <w:color w:val="auto"/>
          <w:sz w:val="22"/>
          <w:szCs w:val="22"/>
        </w:rPr>
        <w:t xml:space="preserve">other Zipline activities. See </w:t>
      </w:r>
      <w:hyperlink r:id="rId12" w:history="1">
        <w:r w:rsidR="00A37AAC" w:rsidRPr="005E4855">
          <w:rPr>
            <w:rStyle w:val="Hyperlink"/>
            <w:b/>
            <w:sz w:val="22"/>
            <w:szCs w:val="22"/>
            <w:u w:val="none"/>
          </w:rPr>
          <w:t>INSTRUCTIONS Zipline for Staff</w:t>
        </w:r>
      </w:hyperlink>
      <w:r w:rsidR="00A37AAC">
        <w:rPr>
          <w:color w:val="auto"/>
          <w:sz w:val="22"/>
          <w:szCs w:val="22"/>
        </w:rPr>
        <w:t>, for details about how to submit the pre-review for each type of outcome (</w:t>
      </w:r>
      <w:r w:rsidR="00037A46">
        <w:rPr>
          <w:color w:val="auto"/>
          <w:sz w:val="22"/>
          <w:szCs w:val="22"/>
        </w:rPr>
        <w:t>i.e.,</w:t>
      </w:r>
      <w:r w:rsidR="00A37AAC">
        <w:rPr>
          <w:color w:val="auto"/>
          <w:sz w:val="22"/>
          <w:szCs w:val="22"/>
        </w:rPr>
        <w:t xml:space="preserve"> Not Research, Not Human Subjects, Not Engaged, decision that expedited review is required, decision that full board review is required). </w:t>
      </w:r>
    </w:p>
    <w:p w14:paraId="34B58252" w14:textId="77777777" w:rsidR="00037A46" w:rsidRPr="00F3601D" w:rsidRDefault="00037A46" w:rsidP="00FE4623">
      <w:pPr>
        <w:pStyle w:val="NoSpacing"/>
        <w:ind w:left="1440" w:hanging="630"/>
        <w:rPr>
          <w:color w:val="auto"/>
          <w:sz w:val="22"/>
          <w:szCs w:val="22"/>
        </w:rPr>
      </w:pPr>
    </w:p>
    <w:p w14:paraId="31A14EA9" w14:textId="08B9D50B" w:rsidR="00146711" w:rsidRDefault="00E93038" w:rsidP="00FE4623">
      <w:pPr>
        <w:pStyle w:val="NoSpacing"/>
        <w:ind w:left="1440" w:hanging="6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146711">
        <w:rPr>
          <w:color w:val="auto"/>
          <w:sz w:val="22"/>
          <w:szCs w:val="22"/>
        </w:rPr>
        <w:t>.</w:t>
      </w:r>
      <w:r w:rsidR="00E0066A">
        <w:rPr>
          <w:color w:val="auto"/>
          <w:sz w:val="22"/>
          <w:szCs w:val="22"/>
        </w:rPr>
        <w:t>4</w:t>
      </w:r>
      <w:r w:rsidR="00146711">
        <w:rPr>
          <w:color w:val="auto"/>
          <w:sz w:val="22"/>
          <w:szCs w:val="22"/>
        </w:rPr>
        <w:t>.2</w:t>
      </w:r>
      <w:r w:rsidR="00146711">
        <w:rPr>
          <w:color w:val="auto"/>
          <w:sz w:val="22"/>
          <w:szCs w:val="22"/>
        </w:rPr>
        <w:tab/>
      </w:r>
      <w:r w:rsidR="00037A46">
        <w:rPr>
          <w:bCs/>
          <w:color w:val="auto"/>
          <w:sz w:val="22"/>
          <w:szCs w:val="22"/>
          <w:u w:val="single"/>
        </w:rPr>
        <w:t>All other applications</w:t>
      </w:r>
      <w:r w:rsidR="005E4855">
        <w:rPr>
          <w:color w:val="auto"/>
          <w:sz w:val="22"/>
          <w:szCs w:val="22"/>
        </w:rPr>
        <w:t>.</w:t>
      </w:r>
    </w:p>
    <w:p w14:paraId="132FA632" w14:textId="00D82504" w:rsidR="00D9702F" w:rsidRDefault="00D9702F" w:rsidP="00FE4623">
      <w:pPr>
        <w:pStyle w:val="NoSpacing"/>
        <w:numPr>
          <w:ilvl w:val="0"/>
          <w:numId w:val="14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Submit Pre-review </w:t>
      </w:r>
      <w:r w:rsidR="00037A46">
        <w:rPr>
          <w:color w:val="auto"/>
          <w:sz w:val="22"/>
          <w:szCs w:val="22"/>
        </w:rPr>
        <w:t>SmartF</w:t>
      </w:r>
      <w:r>
        <w:rPr>
          <w:color w:val="auto"/>
          <w:sz w:val="22"/>
          <w:szCs w:val="22"/>
        </w:rPr>
        <w:t xml:space="preserve">orm is pre-populated for these applications. </w:t>
      </w:r>
      <w:r w:rsidR="00A37AAC">
        <w:rPr>
          <w:color w:val="auto"/>
          <w:sz w:val="22"/>
          <w:szCs w:val="22"/>
        </w:rPr>
        <w:t>It is read-only for Continuing Review applications and for Study Team Modifications.</w:t>
      </w:r>
    </w:p>
    <w:p w14:paraId="1E25584A" w14:textId="1E067FA7" w:rsidR="00146711" w:rsidRDefault="00D9702F" w:rsidP="00FE4623">
      <w:pPr>
        <w:pStyle w:val="NoSpacing"/>
        <w:numPr>
          <w:ilvl w:val="0"/>
          <w:numId w:val="14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Fol</w:t>
      </w:r>
      <w:r w:rsidR="00F3601D">
        <w:rPr>
          <w:color w:val="auto"/>
          <w:sz w:val="22"/>
          <w:szCs w:val="22"/>
        </w:rPr>
        <w:t xml:space="preserve">low the appropriate sections of the </w:t>
      </w:r>
      <w:r w:rsidR="00F3601D" w:rsidRPr="00037A46">
        <w:rPr>
          <w:b/>
          <w:color w:val="auto"/>
          <w:sz w:val="22"/>
          <w:szCs w:val="22"/>
        </w:rPr>
        <w:t>INSTRUCTIONS Submit Expedited Review</w:t>
      </w:r>
      <w:r w:rsidR="00F3601D">
        <w:rPr>
          <w:color w:val="auto"/>
          <w:sz w:val="22"/>
          <w:szCs w:val="22"/>
        </w:rPr>
        <w:t xml:space="preserve"> or </w:t>
      </w:r>
      <w:r w:rsidR="00F3601D" w:rsidRPr="00037A46">
        <w:rPr>
          <w:b/>
          <w:color w:val="auto"/>
          <w:sz w:val="22"/>
          <w:szCs w:val="22"/>
        </w:rPr>
        <w:t xml:space="preserve">INSTRUCTIONS Submit </w:t>
      </w:r>
      <w:r w:rsidRPr="00037A46">
        <w:rPr>
          <w:b/>
          <w:color w:val="auto"/>
          <w:sz w:val="22"/>
          <w:szCs w:val="22"/>
        </w:rPr>
        <w:t>Pre-Review</w:t>
      </w:r>
      <w:r>
        <w:rPr>
          <w:color w:val="auto"/>
          <w:sz w:val="22"/>
          <w:szCs w:val="22"/>
        </w:rPr>
        <w:t xml:space="preserve"> </w:t>
      </w:r>
      <w:r w:rsidR="00037A46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for Full Board Items</w:t>
      </w:r>
      <w:r w:rsidR="00037A46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. </w:t>
      </w:r>
    </w:p>
    <w:p w14:paraId="4AFF3536" w14:textId="7A5BE3E2" w:rsidR="00E0066A" w:rsidRDefault="00E93038" w:rsidP="00FE4623">
      <w:pPr>
        <w:pStyle w:val="NoSpacing"/>
        <w:numPr>
          <w:ilvl w:val="0"/>
          <w:numId w:val="14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E0066A">
        <w:rPr>
          <w:color w:val="auto"/>
          <w:sz w:val="22"/>
          <w:szCs w:val="22"/>
        </w:rPr>
        <w:t xml:space="preserve">f the pre-review indicates that the information in the existing Submit Pre-review SmartForm is no longer accurate, follow the </w:t>
      </w:r>
      <w:r w:rsidR="00E0066A" w:rsidRPr="00037A46">
        <w:rPr>
          <w:b/>
          <w:color w:val="auto"/>
          <w:sz w:val="22"/>
          <w:szCs w:val="22"/>
        </w:rPr>
        <w:t>INSTRUCTIONS Edit Pre-Review</w:t>
      </w:r>
      <w:r w:rsidR="005E4855">
        <w:rPr>
          <w:color w:val="auto"/>
          <w:sz w:val="22"/>
          <w:szCs w:val="22"/>
        </w:rPr>
        <w:t xml:space="preserve"> to document the changes.</w:t>
      </w:r>
    </w:p>
    <w:p w14:paraId="620010F0" w14:textId="77777777" w:rsidR="00F3601D" w:rsidRDefault="00F3601D" w:rsidP="009529A1">
      <w:pPr>
        <w:pStyle w:val="NoSpacing"/>
        <w:ind w:left="1170" w:hanging="630"/>
        <w:rPr>
          <w:b/>
          <w:color w:val="auto"/>
          <w:sz w:val="22"/>
          <w:szCs w:val="22"/>
        </w:rPr>
      </w:pPr>
    </w:p>
    <w:p w14:paraId="0E60C2EA" w14:textId="171E95B2" w:rsidR="00F011CB" w:rsidRDefault="00E93038" w:rsidP="00E93038">
      <w:pPr>
        <w:pStyle w:val="NoSpacing"/>
        <w:ind w:left="810" w:hanging="450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F011CB">
        <w:rPr>
          <w:color w:val="auto"/>
          <w:sz w:val="22"/>
          <w:szCs w:val="22"/>
        </w:rPr>
        <w:t>.</w:t>
      </w:r>
      <w:r w:rsidR="00E0066A">
        <w:rPr>
          <w:color w:val="auto"/>
          <w:sz w:val="22"/>
          <w:szCs w:val="22"/>
        </w:rPr>
        <w:t>5</w:t>
      </w:r>
      <w:r w:rsidR="00F011CB">
        <w:rPr>
          <w:color w:val="auto"/>
          <w:sz w:val="22"/>
          <w:szCs w:val="22"/>
        </w:rPr>
        <w:tab/>
      </w:r>
      <w:r w:rsidR="00F011CB" w:rsidRPr="006A1520">
        <w:rPr>
          <w:b/>
          <w:bCs/>
          <w:color w:val="auto"/>
          <w:sz w:val="22"/>
          <w:szCs w:val="22"/>
        </w:rPr>
        <w:t>Pre-Review Note</w:t>
      </w:r>
      <w:r w:rsidR="00467884" w:rsidRPr="006A1520">
        <w:rPr>
          <w:b/>
          <w:bCs/>
          <w:color w:val="auto"/>
          <w:sz w:val="22"/>
          <w:szCs w:val="22"/>
        </w:rPr>
        <w:t xml:space="preserve"> (or Memo)</w:t>
      </w:r>
    </w:p>
    <w:p w14:paraId="564D2D07" w14:textId="77777777" w:rsidR="00037A46" w:rsidRDefault="00037A46" w:rsidP="00467884">
      <w:pPr>
        <w:pStyle w:val="NoSpacing"/>
        <w:ind w:left="540" w:hanging="540"/>
        <w:rPr>
          <w:color w:val="auto"/>
          <w:sz w:val="22"/>
          <w:szCs w:val="22"/>
        </w:rPr>
      </w:pPr>
    </w:p>
    <w:p w14:paraId="473257BE" w14:textId="18A1C63C" w:rsidR="00467884" w:rsidRDefault="00E93038" w:rsidP="00FE4623">
      <w:pPr>
        <w:pStyle w:val="NoSpacing"/>
        <w:ind w:left="1440" w:hanging="6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021DEC">
        <w:rPr>
          <w:color w:val="auto"/>
          <w:sz w:val="22"/>
          <w:szCs w:val="22"/>
        </w:rPr>
        <w:t>.5</w:t>
      </w:r>
      <w:r w:rsidR="00F011CB">
        <w:rPr>
          <w:color w:val="auto"/>
          <w:sz w:val="22"/>
          <w:szCs w:val="22"/>
        </w:rPr>
        <w:t>.</w:t>
      </w:r>
      <w:r w:rsidR="00021DEC">
        <w:rPr>
          <w:color w:val="auto"/>
          <w:sz w:val="22"/>
          <w:szCs w:val="22"/>
        </w:rPr>
        <w:t>1</w:t>
      </w:r>
      <w:r w:rsidR="00F011CB">
        <w:rPr>
          <w:color w:val="auto"/>
          <w:sz w:val="22"/>
          <w:szCs w:val="22"/>
        </w:rPr>
        <w:tab/>
      </w:r>
      <w:r w:rsidR="00911DEF" w:rsidRPr="00911DEF">
        <w:rPr>
          <w:color w:val="auto"/>
          <w:sz w:val="22"/>
          <w:szCs w:val="22"/>
          <w:u w:val="single"/>
        </w:rPr>
        <w:t>Purpose</w:t>
      </w:r>
    </w:p>
    <w:p w14:paraId="56666B60" w14:textId="02822AFE" w:rsidR="00467884" w:rsidRDefault="00037A46" w:rsidP="00FE4623">
      <w:pPr>
        <w:pStyle w:val="NoSpacing"/>
        <w:numPr>
          <w:ilvl w:val="0"/>
          <w:numId w:val="18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Identify </w:t>
      </w:r>
      <w:r w:rsidR="00467884">
        <w:rPr>
          <w:color w:val="auto"/>
          <w:sz w:val="22"/>
          <w:szCs w:val="22"/>
        </w:rPr>
        <w:t>for the IRB the regulatory determinations that must be made (e.g., meeting the criteria for approval, determining the approval period, granting a waiver of consent)</w:t>
      </w:r>
    </w:p>
    <w:p w14:paraId="40924219" w14:textId="6ADCA7F5" w:rsidR="00037A46" w:rsidRDefault="00467884" w:rsidP="00FE4623">
      <w:pPr>
        <w:pStyle w:val="NoSpacing"/>
        <w:numPr>
          <w:ilvl w:val="0"/>
          <w:numId w:val="18"/>
        </w:numPr>
        <w:ind w:left="1800"/>
        <w:rPr>
          <w:color w:val="auto"/>
          <w:sz w:val="22"/>
          <w:szCs w:val="22"/>
        </w:rPr>
      </w:pPr>
      <w:r w:rsidRPr="00037A46">
        <w:rPr>
          <w:color w:val="auto"/>
          <w:sz w:val="22"/>
          <w:szCs w:val="22"/>
        </w:rPr>
        <w:t>Provide a brief overview of the study</w:t>
      </w:r>
      <w:r w:rsidR="00037A46">
        <w:rPr>
          <w:color w:val="auto"/>
          <w:sz w:val="22"/>
          <w:szCs w:val="22"/>
        </w:rPr>
        <w:t>, to frame the IRB members’ reading of the application</w:t>
      </w:r>
    </w:p>
    <w:p w14:paraId="550760CA" w14:textId="16EC94FB" w:rsidR="00467884" w:rsidRDefault="00467884" w:rsidP="00FE4623">
      <w:pPr>
        <w:pStyle w:val="NoSpacing"/>
        <w:numPr>
          <w:ilvl w:val="0"/>
          <w:numId w:val="18"/>
        </w:numPr>
        <w:ind w:left="1800"/>
        <w:rPr>
          <w:color w:val="auto"/>
          <w:sz w:val="22"/>
          <w:szCs w:val="22"/>
        </w:rPr>
      </w:pPr>
      <w:r w:rsidRPr="00037A46">
        <w:rPr>
          <w:color w:val="auto"/>
          <w:sz w:val="22"/>
          <w:szCs w:val="22"/>
        </w:rPr>
        <w:t xml:space="preserve">Draw to the </w:t>
      </w:r>
      <w:r w:rsidR="00037A46">
        <w:rPr>
          <w:color w:val="auto"/>
          <w:sz w:val="22"/>
          <w:szCs w:val="22"/>
        </w:rPr>
        <w:t xml:space="preserve">IRB’s </w:t>
      </w:r>
      <w:r w:rsidRPr="00037A46">
        <w:rPr>
          <w:color w:val="auto"/>
          <w:sz w:val="22"/>
          <w:szCs w:val="22"/>
        </w:rPr>
        <w:t>attention any issues likely to require discussio</w:t>
      </w:r>
      <w:r w:rsidR="00FE4623">
        <w:rPr>
          <w:color w:val="auto"/>
          <w:sz w:val="22"/>
          <w:szCs w:val="22"/>
        </w:rPr>
        <w:t>n or to be controverted</w:t>
      </w:r>
    </w:p>
    <w:p w14:paraId="7BFD9D0D" w14:textId="77777777" w:rsidR="00037A46" w:rsidRPr="00037A46" w:rsidRDefault="00037A46" w:rsidP="00037A46">
      <w:pPr>
        <w:pStyle w:val="NoSpacing"/>
        <w:ind w:left="1530"/>
        <w:rPr>
          <w:color w:val="auto"/>
          <w:sz w:val="22"/>
          <w:szCs w:val="22"/>
        </w:rPr>
      </w:pPr>
    </w:p>
    <w:p w14:paraId="0B5AE3FE" w14:textId="1169E470" w:rsidR="00467884" w:rsidRDefault="00E93038" w:rsidP="00FE4623">
      <w:pPr>
        <w:pStyle w:val="NoSpacing"/>
        <w:ind w:left="1440" w:hanging="6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3</w:t>
      </w:r>
      <w:r w:rsidR="00021DEC">
        <w:rPr>
          <w:color w:val="auto"/>
          <w:sz w:val="22"/>
          <w:szCs w:val="22"/>
        </w:rPr>
        <w:t>.5.2</w:t>
      </w:r>
      <w:r w:rsidR="00021DEC">
        <w:rPr>
          <w:color w:val="auto"/>
          <w:sz w:val="22"/>
          <w:szCs w:val="22"/>
        </w:rPr>
        <w:tab/>
      </w:r>
      <w:r w:rsidR="00911DEF" w:rsidRPr="00911DEF">
        <w:rPr>
          <w:color w:val="auto"/>
          <w:sz w:val="22"/>
          <w:szCs w:val="22"/>
          <w:u w:val="single"/>
        </w:rPr>
        <w:t>Content</w:t>
      </w:r>
    </w:p>
    <w:p w14:paraId="213D1E29" w14:textId="40BADD17" w:rsidR="00467884" w:rsidRDefault="00467884" w:rsidP="00FE4623">
      <w:pPr>
        <w:pStyle w:val="NoSpacing"/>
        <w:numPr>
          <w:ilvl w:val="0"/>
          <w:numId w:val="19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IRB meeting date</w:t>
      </w:r>
    </w:p>
    <w:p w14:paraId="4440F848" w14:textId="38E94670" w:rsidR="00021DEC" w:rsidRDefault="00021DEC" w:rsidP="00FE4623">
      <w:pPr>
        <w:pStyle w:val="NoSpacing"/>
        <w:numPr>
          <w:ilvl w:val="0"/>
          <w:numId w:val="19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Zipline # and/or DORA #</w:t>
      </w:r>
    </w:p>
    <w:p w14:paraId="5BC09F29" w14:textId="2CCE48BB" w:rsidR="00467884" w:rsidRDefault="00467884" w:rsidP="00FE4623">
      <w:pPr>
        <w:pStyle w:val="NoSpacing"/>
        <w:numPr>
          <w:ilvl w:val="0"/>
          <w:numId w:val="19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Type of item (for example, initial application)</w:t>
      </w:r>
    </w:p>
    <w:p w14:paraId="72366BB1" w14:textId="3B758604" w:rsidR="00467884" w:rsidRDefault="00467884" w:rsidP="00FE4623">
      <w:pPr>
        <w:pStyle w:val="NoSpacing"/>
        <w:numPr>
          <w:ilvl w:val="0"/>
          <w:numId w:val="19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PI name</w:t>
      </w:r>
    </w:p>
    <w:p w14:paraId="00C90946" w14:textId="5A5561FC" w:rsidR="00467884" w:rsidRDefault="00467884" w:rsidP="00FE4623">
      <w:pPr>
        <w:pStyle w:val="NoSpacing"/>
        <w:numPr>
          <w:ilvl w:val="0"/>
          <w:numId w:val="19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Long application title</w:t>
      </w:r>
    </w:p>
    <w:p w14:paraId="26A31B27" w14:textId="05E6C58E" w:rsidR="00467884" w:rsidRDefault="00467884" w:rsidP="00FE4623">
      <w:pPr>
        <w:pStyle w:val="NoSpacing"/>
        <w:numPr>
          <w:ilvl w:val="0"/>
          <w:numId w:val="19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Brief summary of the study</w:t>
      </w:r>
      <w:r w:rsidR="00037A46">
        <w:rPr>
          <w:color w:val="auto"/>
          <w:sz w:val="22"/>
          <w:szCs w:val="22"/>
        </w:rPr>
        <w:t xml:space="preserve"> (s</w:t>
      </w:r>
      <w:r>
        <w:rPr>
          <w:color w:val="auto"/>
          <w:sz w:val="22"/>
          <w:szCs w:val="22"/>
        </w:rPr>
        <w:t>ubject populations, study groups, procedures</w:t>
      </w:r>
      <w:r w:rsidR="002A39DD">
        <w:rPr>
          <w:color w:val="auto"/>
          <w:sz w:val="22"/>
          <w:szCs w:val="22"/>
        </w:rPr>
        <w:t>, purpose)</w:t>
      </w:r>
      <w:r>
        <w:rPr>
          <w:color w:val="auto"/>
          <w:sz w:val="22"/>
          <w:szCs w:val="22"/>
        </w:rPr>
        <w:t xml:space="preserve"> </w:t>
      </w:r>
    </w:p>
    <w:p w14:paraId="57D412B5" w14:textId="097C615F" w:rsidR="00467884" w:rsidRDefault="00467884" w:rsidP="00FE4623">
      <w:pPr>
        <w:pStyle w:val="NoSpacing"/>
        <w:numPr>
          <w:ilvl w:val="0"/>
          <w:numId w:val="19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List of regulatory considerations and determinations that must be made</w:t>
      </w:r>
    </w:p>
    <w:p w14:paraId="23F30BC8" w14:textId="4E1F9CDB" w:rsidR="00467884" w:rsidRDefault="00467884" w:rsidP="00FE4623">
      <w:pPr>
        <w:pStyle w:val="NoSpacing"/>
        <w:numPr>
          <w:ilvl w:val="0"/>
          <w:numId w:val="19"/>
        </w:numPr>
        <w:ind w:left="18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Other issues that may be of particular interest to the IRB</w:t>
      </w:r>
      <w:r w:rsidR="00135242">
        <w:rPr>
          <w:color w:val="auto"/>
          <w:sz w:val="22"/>
          <w:szCs w:val="22"/>
        </w:rPr>
        <w:t xml:space="preserve"> (e.g. possible consent form revisions, issues that might require Conditional Approval such as confirmation of ancillary review approvals or receipt of a Certificate of Confidentiality).  </w:t>
      </w:r>
    </w:p>
    <w:p w14:paraId="079FD11E" w14:textId="7DF1F640" w:rsidR="00D9702F" w:rsidRDefault="00D9702F" w:rsidP="00E0066A">
      <w:pPr>
        <w:pStyle w:val="NoSpacing"/>
        <w:rPr>
          <w:color w:val="auto"/>
          <w:sz w:val="22"/>
          <w:szCs w:val="22"/>
        </w:rPr>
      </w:pPr>
    </w:p>
    <w:p w14:paraId="2EE46E9F" w14:textId="32425A7A" w:rsidR="00B1091E" w:rsidRDefault="00E93038" w:rsidP="00E93038">
      <w:pPr>
        <w:pStyle w:val="NoSpacing"/>
        <w:ind w:left="810" w:hanging="4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E0066A">
        <w:rPr>
          <w:color w:val="auto"/>
          <w:sz w:val="22"/>
          <w:szCs w:val="22"/>
        </w:rPr>
        <w:t>.6</w:t>
      </w:r>
      <w:r w:rsidR="00D9702F">
        <w:rPr>
          <w:color w:val="auto"/>
          <w:sz w:val="22"/>
          <w:szCs w:val="22"/>
        </w:rPr>
        <w:tab/>
      </w:r>
      <w:r w:rsidR="00B1091E" w:rsidRPr="006A1520">
        <w:rPr>
          <w:b/>
          <w:bCs/>
          <w:color w:val="auto"/>
          <w:sz w:val="22"/>
          <w:szCs w:val="22"/>
        </w:rPr>
        <w:t>Changing a pre-review assessment</w:t>
      </w:r>
      <w:r w:rsidR="00B1091E">
        <w:rPr>
          <w:color w:val="auto"/>
          <w:sz w:val="22"/>
          <w:szCs w:val="22"/>
        </w:rPr>
        <w:t xml:space="preserve">. </w:t>
      </w:r>
      <w:r w:rsidR="00E26F58">
        <w:rPr>
          <w:color w:val="auto"/>
          <w:sz w:val="22"/>
          <w:szCs w:val="22"/>
        </w:rPr>
        <w:t xml:space="preserve">See the </w:t>
      </w:r>
      <w:r w:rsidR="00E26F58" w:rsidRPr="00750DDA">
        <w:rPr>
          <w:b/>
          <w:color w:val="auto"/>
          <w:sz w:val="22"/>
          <w:szCs w:val="22"/>
        </w:rPr>
        <w:t>INSTRUCTIONS Edit Pre-review</w:t>
      </w:r>
      <w:r w:rsidR="00BB2266">
        <w:rPr>
          <w:color w:val="auto"/>
          <w:sz w:val="22"/>
          <w:szCs w:val="22"/>
        </w:rPr>
        <w:t>.</w:t>
      </w:r>
    </w:p>
    <w:p w14:paraId="2E2EB737" w14:textId="3ED17EE5" w:rsidR="002A39DD" w:rsidRDefault="002A39DD" w:rsidP="00E93038">
      <w:pPr>
        <w:pStyle w:val="NoSpacing"/>
        <w:ind w:left="810" w:hanging="450"/>
        <w:rPr>
          <w:color w:val="auto"/>
          <w:sz w:val="22"/>
          <w:szCs w:val="22"/>
        </w:rPr>
      </w:pPr>
    </w:p>
    <w:p w14:paraId="525C4268" w14:textId="77777777" w:rsidR="00467884" w:rsidRDefault="00467884" w:rsidP="5C1FFA97">
      <w:pPr>
        <w:pStyle w:val="NoSpacing"/>
        <w:rPr>
          <w:b/>
          <w:bCs/>
          <w:color w:val="auto"/>
          <w:sz w:val="22"/>
          <w:szCs w:val="22"/>
        </w:rPr>
      </w:pPr>
    </w:p>
    <w:p w14:paraId="044355B3" w14:textId="5E378D29" w:rsidR="00B67847" w:rsidRDefault="00B67847" w:rsidP="00F3072D">
      <w:pPr>
        <w:pStyle w:val="NoSpacing"/>
        <w:rPr>
          <w:b/>
          <w:bCs/>
          <w:color w:val="auto"/>
          <w:sz w:val="22"/>
          <w:szCs w:val="22"/>
        </w:rPr>
      </w:pPr>
      <w:r w:rsidRPr="00B67847">
        <w:rPr>
          <w:b/>
          <w:bCs/>
          <w:color w:val="auto"/>
          <w:sz w:val="22"/>
          <w:szCs w:val="22"/>
        </w:rPr>
        <w:t xml:space="preserve">4 </w:t>
      </w:r>
      <w:r w:rsidR="00BD291A">
        <w:rPr>
          <w:b/>
          <w:bCs/>
          <w:color w:val="auto"/>
          <w:sz w:val="22"/>
          <w:szCs w:val="22"/>
        </w:rPr>
        <w:t xml:space="preserve">    </w:t>
      </w:r>
      <w:r w:rsidRPr="00B67847">
        <w:rPr>
          <w:b/>
          <w:bCs/>
          <w:color w:val="auto"/>
          <w:sz w:val="22"/>
          <w:szCs w:val="22"/>
        </w:rPr>
        <w:t>RELATED MATERIALS</w:t>
      </w:r>
    </w:p>
    <w:p w14:paraId="1905FA7C" w14:textId="52D7E2FA" w:rsidR="00BB2266" w:rsidRDefault="00BB2266" w:rsidP="00F3072D">
      <w:pPr>
        <w:pStyle w:val="NoSpacing"/>
        <w:rPr>
          <w:color w:val="auto"/>
          <w:sz w:val="22"/>
          <w:szCs w:val="22"/>
        </w:rPr>
      </w:pPr>
    </w:p>
    <w:p w14:paraId="08CF2A90" w14:textId="77777777" w:rsidR="007267BD" w:rsidRDefault="007267BD" w:rsidP="007267BD">
      <w:pPr>
        <w:pStyle w:val="NoSpacing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GUIDANCE Pre-Review</w:t>
      </w:r>
    </w:p>
    <w:p w14:paraId="0EA09D59" w14:textId="7565776B" w:rsidR="007267BD" w:rsidRDefault="00154582" w:rsidP="007267BD">
      <w:pPr>
        <w:pStyle w:val="NoSpacing"/>
        <w:ind w:left="360"/>
        <w:rPr>
          <w:color w:val="auto"/>
          <w:sz w:val="22"/>
          <w:szCs w:val="22"/>
        </w:rPr>
      </w:pPr>
      <w:hyperlink r:id="rId13" w:history="1">
        <w:r w:rsidR="007267BD" w:rsidRPr="00DE5612">
          <w:rPr>
            <w:rStyle w:val="Hyperlink"/>
            <w:sz w:val="22"/>
            <w:szCs w:val="22"/>
          </w:rPr>
          <w:t>INSTRUCTIONS Zipline for Staff</w:t>
        </w:r>
      </w:hyperlink>
    </w:p>
    <w:p w14:paraId="42C11A4D" w14:textId="12244B31" w:rsidR="007267BD" w:rsidRDefault="00154582" w:rsidP="007267BD">
      <w:pPr>
        <w:pStyle w:val="NoSpacing"/>
        <w:ind w:left="360"/>
        <w:rPr>
          <w:color w:val="auto"/>
          <w:sz w:val="22"/>
          <w:szCs w:val="22"/>
        </w:rPr>
      </w:pPr>
      <w:hyperlink r:id="rId14" w:history="1">
        <w:r w:rsidR="007267BD" w:rsidRPr="00DE5612">
          <w:rPr>
            <w:rStyle w:val="Hyperlink"/>
            <w:sz w:val="22"/>
            <w:szCs w:val="22"/>
          </w:rPr>
          <w:t>SOP Reviewer Conflict of Interest</w:t>
        </w:r>
      </w:hyperlink>
      <w:r w:rsidR="007267BD">
        <w:rPr>
          <w:color w:val="auto"/>
          <w:sz w:val="22"/>
          <w:szCs w:val="22"/>
        </w:rPr>
        <w:t xml:space="preserve"> </w:t>
      </w:r>
    </w:p>
    <w:p w14:paraId="051AD3F1" w14:textId="77777777" w:rsidR="007267BD" w:rsidRDefault="007267BD" w:rsidP="007267BD">
      <w:pPr>
        <w:pStyle w:val="NoSpacing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WORKSHEET Pre-Review, Continuing Review</w:t>
      </w:r>
    </w:p>
    <w:p w14:paraId="71418177" w14:textId="77777777" w:rsidR="007267BD" w:rsidRDefault="007267BD" w:rsidP="007267BD">
      <w:pPr>
        <w:pStyle w:val="NoSpacing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WORKSHEET Pre-Review, Initial Applications</w:t>
      </w:r>
    </w:p>
    <w:p w14:paraId="7910A5EB" w14:textId="0817C20B" w:rsidR="007267BD" w:rsidRDefault="007267BD" w:rsidP="007267BD">
      <w:pPr>
        <w:pStyle w:val="NoSpacing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WORKSHEET Pre-Review, Modifications</w:t>
      </w:r>
    </w:p>
    <w:p w14:paraId="127BCCA8" w14:textId="341431C9" w:rsidR="00154582" w:rsidRDefault="00154582" w:rsidP="007267BD">
      <w:pPr>
        <w:pStyle w:val="NoSpacing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WORKSHEET Primary Reviewer, Initial Application</w:t>
      </w:r>
    </w:p>
    <w:p w14:paraId="05C6A8CA" w14:textId="33D0CA0E" w:rsidR="00154582" w:rsidRDefault="00154582" w:rsidP="007267BD">
      <w:pPr>
        <w:pStyle w:val="NoSpacing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WORKSHEET Primary Reviewer, CR and Mod</w:t>
      </w:r>
    </w:p>
    <w:p w14:paraId="405BB94E" w14:textId="0EBA1399" w:rsidR="001F12A4" w:rsidRDefault="001F12A4"/>
    <w:p w14:paraId="0BEB1973" w14:textId="77777777" w:rsidR="007267BD" w:rsidRPr="007267BD" w:rsidRDefault="007267BD" w:rsidP="007267BD">
      <w:pPr>
        <w:ind w:left="360" w:hanging="360"/>
        <w:rPr>
          <w:b/>
          <w:bCs/>
        </w:rPr>
      </w:pPr>
      <w:r w:rsidRPr="007267BD">
        <w:rPr>
          <w:b/>
          <w:bCs/>
        </w:rPr>
        <w:t xml:space="preserve">5 </w:t>
      </w:r>
      <w:r w:rsidRPr="007267BD">
        <w:rPr>
          <w:b/>
          <w:bCs/>
        </w:rPr>
        <w:tab/>
        <w:t>REGULATORY REFERENCES</w:t>
      </w:r>
    </w:p>
    <w:p w14:paraId="1F6F6066" w14:textId="1D404862" w:rsidR="007267BD" w:rsidRDefault="007267BD" w:rsidP="007267BD">
      <w:pPr>
        <w:ind w:left="360"/>
      </w:pPr>
      <w:r>
        <w:t>None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  <w:tblCaption w:val="Version history table"/>
        <w:tblDescription w:val="contains version number, posted date, implementation date and revision summary"/>
      </w:tblPr>
      <w:tblGrid>
        <w:gridCol w:w="2160"/>
        <w:gridCol w:w="1755"/>
        <w:gridCol w:w="1755"/>
        <w:gridCol w:w="4500"/>
      </w:tblGrid>
      <w:tr w:rsidR="007267BD" w:rsidRPr="00ED134C" w14:paraId="4ADBC64F" w14:textId="77777777" w:rsidTr="00D300E0">
        <w:trPr>
          <w:trHeight w:val="233"/>
        </w:trPr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4120FA0A" w14:textId="77777777" w:rsidR="007267BD" w:rsidRPr="00954C91" w:rsidRDefault="007267BD" w:rsidP="00D300E0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Version Number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</w:tcPr>
          <w:p w14:paraId="292534D7" w14:textId="77777777" w:rsidR="007267BD" w:rsidRPr="00954C91" w:rsidRDefault="007267BD" w:rsidP="00D300E0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Posted Date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1368E277" w14:textId="77777777" w:rsidR="007267BD" w:rsidRPr="00954C91" w:rsidRDefault="007267BD" w:rsidP="00D300E0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Implementation Date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39C4B836" w14:textId="77777777" w:rsidR="007267BD" w:rsidRPr="00954C91" w:rsidRDefault="007267BD" w:rsidP="00D300E0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Summary of Changes</w:t>
            </w:r>
          </w:p>
        </w:tc>
      </w:tr>
      <w:tr w:rsidR="00B0468B" w:rsidRPr="00D26748" w14:paraId="712B17F7" w14:textId="77777777" w:rsidTr="00D300E0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AC382" w14:textId="70C941DC" w:rsidR="00B0468B" w:rsidRDefault="00B0468B" w:rsidP="00D300E0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1.2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AFFC8" w14:textId="69836BE1" w:rsidR="00B0468B" w:rsidRDefault="00B0468B" w:rsidP="00D300E0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  <w:t>05/27/2021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38647" w14:textId="6FA6BC83" w:rsidR="00B0468B" w:rsidRDefault="00B0468B" w:rsidP="00D300E0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05/27/2021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33DEB" w14:textId="08859DC4" w:rsidR="00B0468B" w:rsidRDefault="00B0468B" w:rsidP="00D300E0">
            <w:pPr>
              <w:pStyle w:val="NoSpacing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Remove references to paper process; update links; transfer to current document template</w:t>
            </w:r>
          </w:p>
        </w:tc>
      </w:tr>
      <w:tr w:rsidR="007267BD" w:rsidRPr="00D26748" w14:paraId="42CCD24B" w14:textId="77777777" w:rsidTr="00D300E0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3A49B" w14:textId="02831A7F" w:rsidR="007267BD" w:rsidRPr="00543DD2" w:rsidRDefault="007267BD" w:rsidP="00D300E0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1.1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DEBB54" w14:textId="38364DC3" w:rsidR="007267BD" w:rsidRDefault="007267BD" w:rsidP="00D300E0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  <w:t>01/03/2020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C56A71" w14:textId="3CDD11DA" w:rsidR="007267BD" w:rsidRPr="00543DD2" w:rsidRDefault="007267BD" w:rsidP="00D300E0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01/03/2020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916496" w14:textId="022D5AE9" w:rsidR="007267BD" w:rsidRPr="00543DD2" w:rsidRDefault="00B0468B" w:rsidP="00D300E0">
            <w:pPr>
              <w:pStyle w:val="NoSpacing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Revised to reference the new document GUIDANCE Pre-Review</w:t>
            </w:r>
          </w:p>
        </w:tc>
      </w:tr>
      <w:tr w:rsidR="007267BD" w:rsidRPr="00D26748" w14:paraId="658B6AAB" w14:textId="77777777" w:rsidTr="00D300E0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AC4E34" w14:textId="42036150" w:rsidR="007267BD" w:rsidRPr="00135B00" w:rsidRDefault="007267BD" w:rsidP="00D300E0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1.0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40FB41" w14:textId="0D29C1F0" w:rsidR="007267BD" w:rsidRPr="00135B00" w:rsidRDefault="007267BD" w:rsidP="00D300E0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08/31/2018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3C8B3" w14:textId="15622013" w:rsidR="007267BD" w:rsidRPr="00135B00" w:rsidRDefault="007267BD" w:rsidP="00D300E0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08/31/2018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75DEF" w14:textId="1777AE6C" w:rsidR="007267BD" w:rsidRPr="00135B00" w:rsidRDefault="007267BD" w:rsidP="00D300E0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Document newly implemented</w:t>
            </w:r>
          </w:p>
        </w:tc>
      </w:tr>
    </w:tbl>
    <w:p w14:paraId="4625AAD9" w14:textId="2E18191B" w:rsidR="007267BD" w:rsidRDefault="007267BD" w:rsidP="007267BD"/>
    <w:p w14:paraId="6D87E537" w14:textId="13878D0C" w:rsidR="007267BD" w:rsidRPr="00154582" w:rsidRDefault="00154582" w:rsidP="00DE5612">
      <w:r>
        <w:rPr>
          <w:b/>
          <w:bCs/>
        </w:rPr>
        <w:t xml:space="preserve">Key Words: </w:t>
      </w:r>
      <w:r>
        <w:t>Pre-review</w:t>
      </w:r>
    </w:p>
    <w:p w14:paraId="6A15FC1C" w14:textId="348ED4D7" w:rsidR="001F12A4" w:rsidRPr="00600013" w:rsidRDefault="001F12A4" w:rsidP="00A71D4E">
      <w:pPr>
        <w:pStyle w:val="NoSpacing"/>
        <w:rPr>
          <w:sz w:val="22"/>
          <w:szCs w:val="22"/>
        </w:rPr>
      </w:pPr>
    </w:p>
    <w:p w14:paraId="346D7DBC" w14:textId="5A955B2E" w:rsidR="00A71D4E" w:rsidRPr="005172F4" w:rsidRDefault="00A71D4E" w:rsidP="005172F4"/>
    <w:sectPr w:rsidR="00A71D4E" w:rsidRPr="005172F4" w:rsidSect="006A1520"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A5CA" w14:textId="77777777" w:rsidR="00B73F70" w:rsidRDefault="00B73F70" w:rsidP="00BC532C">
      <w:pPr>
        <w:spacing w:after="0" w:line="240" w:lineRule="auto"/>
      </w:pPr>
      <w:r>
        <w:separator/>
      </w:r>
    </w:p>
  </w:endnote>
  <w:endnote w:type="continuationSeparator" w:id="0">
    <w:p w14:paraId="645D2E47" w14:textId="77777777" w:rsidR="00B73F70" w:rsidRDefault="00B73F70" w:rsidP="00BC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Document Footer"/>
      <w:tblDescription w:val="Contains the date posted, the document title, the page number, and the document number."/>
    </w:tblPr>
    <w:tblGrid>
      <w:gridCol w:w="3356"/>
      <w:gridCol w:w="3357"/>
      <w:gridCol w:w="3357"/>
    </w:tblGrid>
    <w:tr w:rsidR="00177CBE" w14:paraId="10336876" w14:textId="77777777" w:rsidTr="00604714">
      <w:trPr>
        <w:tblHeader/>
      </w:trPr>
      <w:tc>
        <w:tcPr>
          <w:tcW w:w="3356" w:type="dxa"/>
        </w:tcPr>
        <w:p w14:paraId="5D7BCC38" w14:textId="089E6652" w:rsidR="00177CBE" w:rsidRPr="000C25E0" w:rsidRDefault="00177CBE" w:rsidP="00D23893">
          <w:pPr>
            <w:pStyle w:val="Footer"/>
            <w:rPr>
              <w:sz w:val="18"/>
              <w:szCs w:val="18"/>
            </w:rPr>
          </w:pPr>
          <w:r w:rsidRPr="5C1FFA97">
            <w:rPr>
              <w:sz w:val="18"/>
              <w:szCs w:val="18"/>
            </w:rPr>
            <w:t xml:space="preserve">Date </w:t>
          </w:r>
          <w:r w:rsidR="00604714">
            <w:rPr>
              <w:sz w:val="18"/>
              <w:szCs w:val="18"/>
            </w:rPr>
            <w:t>Implemented</w:t>
          </w:r>
          <w:r w:rsidRPr="5C1FFA97">
            <w:rPr>
              <w:sz w:val="18"/>
              <w:szCs w:val="18"/>
            </w:rPr>
            <w:t xml:space="preserve"> </w:t>
          </w:r>
          <w:r w:rsidR="00B67847">
            <w:rPr>
              <w:sz w:val="18"/>
              <w:szCs w:val="18"/>
            </w:rPr>
            <w:t>05/27/2021</w:t>
          </w:r>
        </w:p>
      </w:tc>
      <w:tc>
        <w:tcPr>
          <w:tcW w:w="3357" w:type="dxa"/>
        </w:tcPr>
        <w:p w14:paraId="715657B5" w14:textId="35FA13C2" w:rsidR="00177CBE" w:rsidRPr="000C25E0" w:rsidRDefault="00604714" w:rsidP="001F12A4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SOP Pre-Review</w:t>
          </w:r>
        </w:p>
      </w:tc>
      <w:tc>
        <w:tcPr>
          <w:tcW w:w="3357" w:type="dxa"/>
        </w:tcPr>
        <w:p w14:paraId="186FB304" w14:textId="6CC9708C" w:rsidR="00177CBE" w:rsidRPr="000C25E0" w:rsidRDefault="00177CBE" w:rsidP="00BC532C">
          <w:pPr>
            <w:pStyle w:val="Footer"/>
            <w:jc w:val="right"/>
            <w:rPr>
              <w:sz w:val="18"/>
              <w:szCs w:val="18"/>
            </w:rPr>
          </w:pPr>
          <w:r w:rsidRPr="000C25E0">
            <w:rPr>
              <w:sz w:val="18"/>
              <w:szCs w:val="18"/>
            </w:rPr>
            <w:t xml:space="preserve">Page </w:t>
          </w:r>
          <w:r w:rsidRPr="00A37AAC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PAGE  \* Arabic  \* MERGEFORMAT </w:instrText>
          </w:r>
          <w:r w:rsidRPr="00A37AAC">
            <w:rPr>
              <w:bCs/>
              <w:sz w:val="18"/>
              <w:szCs w:val="18"/>
            </w:rPr>
            <w:fldChar w:fldCharType="separate"/>
          </w:r>
          <w:r w:rsidR="00FD4635">
            <w:rPr>
              <w:bCs/>
              <w:noProof/>
              <w:sz w:val="18"/>
              <w:szCs w:val="18"/>
            </w:rPr>
            <w:t>3</w:t>
          </w:r>
          <w:r w:rsidRPr="00A37AAC">
            <w:rPr>
              <w:bCs/>
              <w:sz w:val="18"/>
              <w:szCs w:val="18"/>
            </w:rPr>
            <w:fldChar w:fldCharType="end"/>
          </w:r>
          <w:r w:rsidRPr="000C25E0">
            <w:rPr>
              <w:sz w:val="18"/>
              <w:szCs w:val="18"/>
            </w:rPr>
            <w:t xml:space="preserve"> of </w:t>
          </w:r>
          <w:r w:rsidRPr="00A37AAC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NUMPAGES  \* Arabic  \* MERGEFORMAT </w:instrText>
          </w:r>
          <w:r w:rsidRPr="00A37AAC">
            <w:rPr>
              <w:bCs/>
              <w:sz w:val="18"/>
              <w:szCs w:val="18"/>
            </w:rPr>
            <w:fldChar w:fldCharType="separate"/>
          </w:r>
          <w:r w:rsidR="00FD4635" w:rsidRPr="00FD4635">
            <w:rPr>
              <w:noProof/>
              <w:sz w:val="18"/>
              <w:szCs w:val="18"/>
            </w:rPr>
            <w:t>4</w:t>
          </w:r>
          <w:r w:rsidRPr="00A37AAC">
            <w:rPr>
              <w:bCs/>
              <w:sz w:val="18"/>
              <w:szCs w:val="18"/>
            </w:rPr>
            <w:fldChar w:fldCharType="end"/>
          </w:r>
        </w:p>
      </w:tc>
    </w:tr>
    <w:tr w:rsidR="00177CBE" w14:paraId="5DE7191B" w14:textId="77777777" w:rsidTr="00604714">
      <w:trPr>
        <w:tblHeader/>
      </w:trPr>
      <w:tc>
        <w:tcPr>
          <w:tcW w:w="0" w:type="auto"/>
        </w:tcPr>
        <w:p w14:paraId="1F3B3FB3" w14:textId="3FC7FBE8" w:rsidR="00177CBE" w:rsidRPr="000C25E0" w:rsidRDefault="00177CBE" w:rsidP="00604714">
          <w:pPr>
            <w:pStyle w:val="Footer"/>
            <w:tabs>
              <w:tab w:val="clear" w:pos="4680"/>
              <w:tab w:val="clear" w:pos="9360"/>
              <w:tab w:val="center" w:pos="1570"/>
              <w:tab w:val="left" w:pos="194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 </w:t>
          </w:r>
          <w:r w:rsidR="00604714">
            <w:rPr>
              <w:sz w:val="18"/>
              <w:szCs w:val="18"/>
            </w:rPr>
            <w:t>1.</w:t>
          </w:r>
          <w:r w:rsidR="00B67847">
            <w:rPr>
              <w:sz w:val="18"/>
              <w:szCs w:val="18"/>
            </w:rPr>
            <w:t>20</w:t>
          </w:r>
        </w:p>
      </w:tc>
      <w:tc>
        <w:tcPr>
          <w:tcW w:w="0" w:type="auto"/>
        </w:tcPr>
        <w:p w14:paraId="3F077EC8" w14:textId="77777777" w:rsidR="00177CBE" w:rsidRPr="000C25E0" w:rsidRDefault="00177CBE">
          <w:pPr>
            <w:pStyle w:val="Footer"/>
            <w:rPr>
              <w:sz w:val="18"/>
              <w:szCs w:val="18"/>
            </w:rPr>
          </w:pPr>
        </w:p>
      </w:tc>
      <w:tc>
        <w:tcPr>
          <w:tcW w:w="3357" w:type="dxa"/>
        </w:tcPr>
        <w:p w14:paraId="1D97A6CF" w14:textId="7C217E31" w:rsidR="00177CBE" w:rsidRPr="000C25E0" w:rsidRDefault="00177CBE" w:rsidP="00BC532C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05BB0CB6" w14:textId="77777777" w:rsidR="00177CBE" w:rsidRDefault="00177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3DB2" w14:textId="77777777" w:rsidR="00B73F70" w:rsidRDefault="00B73F70" w:rsidP="00BC532C">
      <w:pPr>
        <w:spacing w:after="0" w:line="240" w:lineRule="auto"/>
      </w:pPr>
      <w:r>
        <w:separator/>
      </w:r>
    </w:p>
  </w:footnote>
  <w:footnote w:type="continuationSeparator" w:id="0">
    <w:p w14:paraId="7AD9D68F" w14:textId="77777777" w:rsidR="00B73F70" w:rsidRDefault="00B73F70" w:rsidP="00BC5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A5B"/>
    <w:multiLevelType w:val="hybridMultilevel"/>
    <w:tmpl w:val="4AB8C3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572037"/>
    <w:multiLevelType w:val="hybridMultilevel"/>
    <w:tmpl w:val="0ACEBCCC"/>
    <w:name w:val="SOP List2"/>
    <w:lvl w:ilvl="0" w:tplc="9AA2C1F2">
      <w:start w:val="1"/>
      <w:numFmt w:val="decimal"/>
      <w:lvlText w:val="1.%1"/>
      <w:lvlJc w:val="left"/>
      <w:pPr>
        <w:ind w:left="180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534091"/>
    <w:multiLevelType w:val="hybridMultilevel"/>
    <w:tmpl w:val="6538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9D5"/>
    <w:multiLevelType w:val="multilevel"/>
    <w:tmpl w:val="E9389894"/>
    <w:styleLink w:val="SOPHeadings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2424453C"/>
    <w:multiLevelType w:val="hybridMultilevel"/>
    <w:tmpl w:val="9126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84370"/>
    <w:multiLevelType w:val="hybridMultilevel"/>
    <w:tmpl w:val="422CEE1A"/>
    <w:lvl w:ilvl="0" w:tplc="81F644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4781B"/>
    <w:multiLevelType w:val="hybridMultilevel"/>
    <w:tmpl w:val="CDC6C868"/>
    <w:lvl w:ilvl="0" w:tplc="6868C72C">
      <w:start w:val="1"/>
      <w:numFmt w:val="decimal"/>
      <w:lvlText w:val="1.%1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27B13"/>
    <w:multiLevelType w:val="hybridMultilevel"/>
    <w:tmpl w:val="939AF24C"/>
    <w:lvl w:ilvl="0" w:tplc="0409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8" w15:restartNumberingAfterBreak="0">
    <w:nsid w:val="37F27B00"/>
    <w:multiLevelType w:val="multilevel"/>
    <w:tmpl w:val="396A1A7A"/>
    <w:name w:val="SOP List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3F845EC"/>
    <w:multiLevelType w:val="hybridMultilevel"/>
    <w:tmpl w:val="933E26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4AF2ECA"/>
    <w:multiLevelType w:val="hybridMultilevel"/>
    <w:tmpl w:val="5CD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A57CB"/>
    <w:multiLevelType w:val="hybridMultilevel"/>
    <w:tmpl w:val="7F72CA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83F7D7A"/>
    <w:multiLevelType w:val="hybridMultilevel"/>
    <w:tmpl w:val="2EC45EC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762C4756"/>
    <w:multiLevelType w:val="hybridMultilevel"/>
    <w:tmpl w:val="C81E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47B4"/>
    <w:multiLevelType w:val="hybridMultilevel"/>
    <w:tmpl w:val="1C400B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C3423EF"/>
    <w:multiLevelType w:val="hybridMultilevel"/>
    <w:tmpl w:val="68FE3830"/>
    <w:lvl w:ilvl="0" w:tplc="21BA4D04">
      <w:start w:val="1"/>
      <w:numFmt w:val="decimal"/>
      <w:lvlText w:val="1.%1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2440B"/>
    <w:multiLevelType w:val="hybridMultilevel"/>
    <w:tmpl w:val="0FC2C4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8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10"/>
  </w:num>
  <w:num w:numId="16">
    <w:abstractNumId w:val="2"/>
  </w:num>
  <w:num w:numId="17">
    <w:abstractNumId w:val="0"/>
  </w:num>
  <w:num w:numId="18">
    <w:abstractNumId w:val="9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61"/>
    <w:rsid w:val="000058CC"/>
    <w:rsid w:val="00021DEC"/>
    <w:rsid w:val="0002284B"/>
    <w:rsid w:val="00037A46"/>
    <w:rsid w:val="00074749"/>
    <w:rsid w:val="000B7FBC"/>
    <w:rsid w:val="000C25E0"/>
    <w:rsid w:val="00113357"/>
    <w:rsid w:val="00127355"/>
    <w:rsid w:val="001305AF"/>
    <w:rsid w:val="00135242"/>
    <w:rsid w:val="00146711"/>
    <w:rsid w:val="00154582"/>
    <w:rsid w:val="00155427"/>
    <w:rsid w:val="00165C97"/>
    <w:rsid w:val="00177CBE"/>
    <w:rsid w:val="00196D44"/>
    <w:rsid w:val="001A4EE1"/>
    <w:rsid w:val="001B1196"/>
    <w:rsid w:val="001D1C9B"/>
    <w:rsid w:val="001F12A4"/>
    <w:rsid w:val="001F375B"/>
    <w:rsid w:val="00202A22"/>
    <w:rsid w:val="002718B7"/>
    <w:rsid w:val="002A39DD"/>
    <w:rsid w:val="002B09ED"/>
    <w:rsid w:val="002E6543"/>
    <w:rsid w:val="002F3196"/>
    <w:rsid w:val="00314B9C"/>
    <w:rsid w:val="003638AC"/>
    <w:rsid w:val="003803AC"/>
    <w:rsid w:val="003911CA"/>
    <w:rsid w:val="003C2D5A"/>
    <w:rsid w:val="00414DB1"/>
    <w:rsid w:val="00414FBD"/>
    <w:rsid w:val="00467884"/>
    <w:rsid w:val="004A2F27"/>
    <w:rsid w:val="004A47EE"/>
    <w:rsid w:val="004B0153"/>
    <w:rsid w:val="004E3262"/>
    <w:rsid w:val="004F10C8"/>
    <w:rsid w:val="00501E5B"/>
    <w:rsid w:val="005172F4"/>
    <w:rsid w:val="00531A93"/>
    <w:rsid w:val="00543DD2"/>
    <w:rsid w:val="0055385A"/>
    <w:rsid w:val="0055497A"/>
    <w:rsid w:val="005A5CF8"/>
    <w:rsid w:val="005D78C4"/>
    <w:rsid w:val="005E1D24"/>
    <w:rsid w:val="005E4855"/>
    <w:rsid w:val="00600013"/>
    <w:rsid w:val="00604714"/>
    <w:rsid w:val="00647F10"/>
    <w:rsid w:val="006743BC"/>
    <w:rsid w:val="00680828"/>
    <w:rsid w:val="00691511"/>
    <w:rsid w:val="006A1520"/>
    <w:rsid w:val="006E46B6"/>
    <w:rsid w:val="007267BD"/>
    <w:rsid w:val="00750DDA"/>
    <w:rsid w:val="00804651"/>
    <w:rsid w:val="0082410A"/>
    <w:rsid w:val="00844B16"/>
    <w:rsid w:val="0084533A"/>
    <w:rsid w:val="00875FC3"/>
    <w:rsid w:val="008D6D57"/>
    <w:rsid w:val="008F0E05"/>
    <w:rsid w:val="008F7CAC"/>
    <w:rsid w:val="00911DEF"/>
    <w:rsid w:val="00925F6C"/>
    <w:rsid w:val="00931D2E"/>
    <w:rsid w:val="009441C3"/>
    <w:rsid w:val="009529A1"/>
    <w:rsid w:val="009B187A"/>
    <w:rsid w:val="009C2F31"/>
    <w:rsid w:val="009C4512"/>
    <w:rsid w:val="009D1AA1"/>
    <w:rsid w:val="009D39EC"/>
    <w:rsid w:val="009F53DE"/>
    <w:rsid w:val="00A03C60"/>
    <w:rsid w:val="00A31958"/>
    <w:rsid w:val="00A37AAC"/>
    <w:rsid w:val="00A701A2"/>
    <w:rsid w:val="00A71D4E"/>
    <w:rsid w:val="00B0468B"/>
    <w:rsid w:val="00B1091E"/>
    <w:rsid w:val="00B549A1"/>
    <w:rsid w:val="00B67847"/>
    <w:rsid w:val="00B73F70"/>
    <w:rsid w:val="00B91761"/>
    <w:rsid w:val="00BA5113"/>
    <w:rsid w:val="00BB2266"/>
    <w:rsid w:val="00BC532C"/>
    <w:rsid w:val="00BD291A"/>
    <w:rsid w:val="00BE1F64"/>
    <w:rsid w:val="00C06212"/>
    <w:rsid w:val="00C27785"/>
    <w:rsid w:val="00C378D2"/>
    <w:rsid w:val="00C74168"/>
    <w:rsid w:val="00CA0AE0"/>
    <w:rsid w:val="00CA1807"/>
    <w:rsid w:val="00CA2F63"/>
    <w:rsid w:val="00CD2FA9"/>
    <w:rsid w:val="00CF0BB9"/>
    <w:rsid w:val="00D23893"/>
    <w:rsid w:val="00D3133B"/>
    <w:rsid w:val="00D353A5"/>
    <w:rsid w:val="00D42D42"/>
    <w:rsid w:val="00D9702F"/>
    <w:rsid w:val="00DA40D9"/>
    <w:rsid w:val="00DA7C58"/>
    <w:rsid w:val="00DE5612"/>
    <w:rsid w:val="00E0066A"/>
    <w:rsid w:val="00E12C16"/>
    <w:rsid w:val="00E24002"/>
    <w:rsid w:val="00E26F58"/>
    <w:rsid w:val="00E30B9E"/>
    <w:rsid w:val="00E71C10"/>
    <w:rsid w:val="00E90BAA"/>
    <w:rsid w:val="00E93038"/>
    <w:rsid w:val="00EA62CA"/>
    <w:rsid w:val="00ED134C"/>
    <w:rsid w:val="00EE61A4"/>
    <w:rsid w:val="00EF507E"/>
    <w:rsid w:val="00EF52FC"/>
    <w:rsid w:val="00F011CB"/>
    <w:rsid w:val="00F305A2"/>
    <w:rsid w:val="00F3072D"/>
    <w:rsid w:val="00F3601D"/>
    <w:rsid w:val="00F50B17"/>
    <w:rsid w:val="00F747FF"/>
    <w:rsid w:val="00FD4635"/>
    <w:rsid w:val="00FE4623"/>
    <w:rsid w:val="18A37BBE"/>
    <w:rsid w:val="3707C379"/>
    <w:rsid w:val="5C1FFA97"/>
    <w:rsid w:val="6DEC9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4F7715"/>
  <w15:docId w15:val="{E305234F-345B-4422-BBB6-D199E3FC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32C"/>
  </w:style>
  <w:style w:type="paragraph" w:styleId="Footer">
    <w:name w:val="footer"/>
    <w:basedOn w:val="Normal"/>
    <w:link w:val="FooterChar"/>
    <w:uiPriority w:val="99"/>
    <w:unhideWhenUsed/>
    <w:qFormat/>
    <w:rsid w:val="00BC5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32C"/>
  </w:style>
  <w:style w:type="paragraph" w:styleId="NoSpacing">
    <w:name w:val="No Spacing"/>
    <w:uiPriority w:val="1"/>
    <w:qFormat/>
    <w:rsid w:val="00BC532C"/>
    <w:pPr>
      <w:spacing w:after="0" w:line="240" w:lineRule="auto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59"/>
    <w:rsid w:val="00BC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25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OPHeadings">
    <w:name w:val="SOP Headings"/>
    <w:uiPriority w:val="99"/>
    <w:rsid w:val="00647F10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C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C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C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47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8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shington.edu/research/hsd/training/zipline-online-help-library/hsd-staff-gui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shington.edu/research/forms-and-templates/instructions-zipline-for-staff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shington.edu/research/policies/sop-reviewer-conflict-of-inter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456889ae-d608-4a93-beb3-ecd6e6d94603">false</Don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DDFEB9BD1974B81F49658367659BE" ma:contentTypeVersion="5" ma:contentTypeDescription="Create a new document." ma:contentTypeScope="" ma:versionID="ff7848272bfade6fc20e0501c2b563b9">
  <xsd:schema xmlns:xsd="http://www.w3.org/2001/XMLSchema" xmlns:xs="http://www.w3.org/2001/XMLSchema" xmlns:p="http://schemas.microsoft.com/office/2006/metadata/properties" xmlns:ns2="456889ae-d608-4a93-beb3-ecd6e6d94603" targetNamespace="http://schemas.microsoft.com/office/2006/metadata/properties" ma:root="true" ma:fieldsID="1455707d351c868ba81ba27d89f8bc8e" ns2:_="">
    <xsd:import namespace="456889ae-d608-4a93-beb3-ecd6e6d94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889ae-d608-4a93-beb3-ecd6e6d94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ne" ma:index="12" nillable="true" ma:displayName="Done" ma:default="0" ma:description="Mark Yes if the spreadsheet has been completed" ma:format="Dropdown" ma:internalName="Don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AB550-E5C5-462E-ADA7-85D3AB073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E9F0C-2709-4492-903F-AE20076D848F}">
  <ds:schemaRefs>
    <ds:schemaRef ds:uri="http://purl.org/dc/dcmitype/"/>
    <ds:schemaRef ds:uri="456889ae-d608-4a93-beb3-ecd6e6d9460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59B4A35-7DBF-47CB-B507-BFA068EFC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B4D8B-A4C2-48ED-94BB-61BFC344E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889ae-d608-4a93-beb3-ecd6e6d94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Pre-review</vt:lpstr>
    </vt:vector>
  </TitlesOfParts>
  <Company>University of Washington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Pre-review</dc:title>
  <dc:creator>Sherry Edwards</dc:creator>
  <cp:lastModifiedBy>Amanda Guyton</cp:lastModifiedBy>
  <cp:revision>4</cp:revision>
  <cp:lastPrinted>2018-08-01T01:05:00Z</cp:lastPrinted>
  <dcterms:created xsi:type="dcterms:W3CDTF">2021-05-14T16:44:00Z</dcterms:created>
  <dcterms:modified xsi:type="dcterms:W3CDTF">2021-05-24T19:10:00Z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0x010100CF7DDFEB9BD1974B81F49658367659BE</vt:lpwstr>
  </property>
</Properties>
</file>