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73CF509B">
        <w:tc>
          <w:tcPr>
            <w:tcW w:w="4644" w:type="dxa"/>
          </w:tcPr>
          <w:p w14:paraId="5199F0CA" w14:textId="77777777" w:rsidR="00E15F47" w:rsidRPr="00ED134C" w:rsidRDefault="00E15F47" w:rsidP="00925C4A">
            <w:r>
              <w:rPr>
                <w:noProof/>
              </w:rPr>
              <w:drawing>
                <wp:inline distT="0" distB="0" distL="0" distR="0" wp14:anchorId="6BADFEC6" wp14:editId="45E1FDE3">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256B8C61" w:rsidR="00E15F47" w:rsidRPr="00ED134C" w:rsidRDefault="007F523B" w:rsidP="00E15F47">
            <w:pPr>
              <w:jc w:val="right"/>
              <w:rPr>
                <w:b/>
                <w:color w:val="404040" w:themeColor="text1" w:themeTint="BF"/>
                <w:sz w:val="28"/>
                <w:szCs w:val="28"/>
              </w:rPr>
            </w:pPr>
            <w:r>
              <w:rPr>
                <w:b/>
                <w:color w:val="404040" w:themeColor="text1" w:themeTint="BF"/>
                <w:sz w:val="28"/>
                <w:szCs w:val="28"/>
              </w:rPr>
              <w:t>SOP</w:t>
            </w:r>
            <w:r w:rsidR="00E15F47">
              <w:rPr>
                <w:b/>
                <w:color w:val="404040" w:themeColor="text1" w:themeTint="BF"/>
                <w:sz w:val="28"/>
                <w:szCs w:val="28"/>
              </w:rPr>
              <w:t xml:space="preserve"> </w:t>
            </w:r>
            <w:r>
              <w:rPr>
                <w:b/>
                <w:color w:val="404040" w:themeColor="text1" w:themeTint="BF"/>
                <w:sz w:val="28"/>
                <w:szCs w:val="28"/>
              </w:rPr>
              <w:t>Internal Reliance Agreements</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0255284F" w14:textId="0331D148" w:rsidR="00600013" w:rsidRDefault="00600013" w:rsidP="00A71D4E">
      <w:pPr>
        <w:pStyle w:val="NoSpacing"/>
        <w:rPr>
          <w:sz w:val="22"/>
          <w:szCs w:val="22"/>
        </w:rPr>
      </w:pPr>
    </w:p>
    <w:p w14:paraId="6BF3CC1A" w14:textId="6C3334B7" w:rsidR="00BE1C70" w:rsidRPr="00B00AFA" w:rsidRDefault="00BE1C70" w:rsidP="00A71D4E">
      <w:pPr>
        <w:pStyle w:val="NoSpacing"/>
        <w:rPr>
          <w:color w:val="000000" w:themeColor="text1"/>
          <w:sz w:val="22"/>
          <w:szCs w:val="22"/>
        </w:rPr>
      </w:pPr>
    </w:p>
    <w:p w14:paraId="3BA5078F" w14:textId="1E6453F1" w:rsidR="00B00AFA" w:rsidRDefault="00BE1C70" w:rsidP="00BE1C70">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BE1C70">
      <w:pPr>
        <w:pStyle w:val="NoSpacing"/>
        <w:ind w:left="360" w:hanging="360"/>
        <w:outlineLvl w:val="0"/>
        <w:rPr>
          <w:color w:val="auto"/>
          <w:sz w:val="22"/>
          <w:szCs w:val="22"/>
        </w:rPr>
      </w:pPr>
    </w:p>
    <w:p w14:paraId="01F3EC1A" w14:textId="3E4B6DF4" w:rsidR="007F523B" w:rsidRPr="006D0BAF" w:rsidRDefault="007F523B" w:rsidP="005573D8">
      <w:pPr>
        <w:pStyle w:val="NoSpacing"/>
        <w:ind w:left="360"/>
        <w:rPr>
          <w:color w:val="auto"/>
          <w:sz w:val="22"/>
          <w:szCs w:val="22"/>
        </w:rPr>
      </w:pPr>
      <w:r w:rsidRPr="006D0BAF">
        <w:rPr>
          <w:color w:val="auto"/>
          <w:sz w:val="22"/>
          <w:szCs w:val="22"/>
        </w:rPr>
        <w:t xml:space="preserve">This document describes the policies and procedures for deciding whether it is appropriate </w:t>
      </w:r>
      <w:r>
        <w:rPr>
          <w:color w:val="auto"/>
          <w:sz w:val="22"/>
          <w:szCs w:val="22"/>
        </w:rPr>
        <w:t>for another institution or individual to rely on the UW IRB and for</w:t>
      </w:r>
      <w:r w:rsidRPr="006D0BAF">
        <w:rPr>
          <w:color w:val="auto"/>
          <w:sz w:val="22"/>
          <w:szCs w:val="22"/>
        </w:rPr>
        <w:t xml:space="preserve"> executing reliance agreements and documenting the reliance arrangement. </w:t>
      </w:r>
    </w:p>
    <w:p w14:paraId="0BBECCBF" w14:textId="42DF5B01" w:rsidR="00BE1C70" w:rsidRDefault="00BE1C70" w:rsidP="00CE2FB5">
      <w:pPr>
        <w:pStyle w:val="NoSpacing"/>
        <w:outlineLvl w:val="0"/>
        <w:rPr>
          <w:color w:val="auto"/>
          <w:sz w:val="22"/>
          <w:szCs w:val="22"/>
        </w:rPr>
      </w:pPr>
    </w:p>
    <w:p w14:paraId="0DEE0488" w14:textId="7ACCC0F2" w:rsidR="00A03C60" w:rsidRDefault="00AA2580" w:rsidP="00AA2580">
      <w:pPr>
        <w:pStyle w:val="NoSpacing"/>
        <w:ind w:left="360" w:hanging="360"/>
        <w:outlineLvl w:val="0"/>
        <w:rPr>
          <w:b/>
          <w:color w:val="auto"/>
          <w:sz w:val="22"/>
          <w:szCs w:val="22"/>
        </w:rPr>
      </w:pPr>
      <w:r>
        <w:rPr>
          <w:b/>
          <w:color w:val="auto"/>
          <w:sz w:val="22"/>
          <w:szCs w:val="22"/>
        </w:rPr>
        <w:t xml:space="preserve">2 </w:t>
      </w:r>
      <w:r>
        <w:rPr>
          <w:b/>
          <w:color w:val="auto"/>
          <w:sz w:val="22"/>
          <w:szCs w:val="22"/>
        </w:rPr>
        <w:tab/>
      </w:r>
      <w:proofErr w:type="gramStart"/>
      <w:r w:rsidR="00ED134C" w:rsidRPr="00CD274A">
        <w:rPr>
          <w:b/>
          <w:color w:val="auto"/>
          <w:sz w:val="22"/>
          <w:szCs w:val="22"/>
        </w:rPr>
        <w:t>CONTEXT</w:t>
      </w:r>
      <w:proofErr w:type="gramEnd"/>
      <w:r w:rsidR="00A848AA" w:rsidRPr="00CD274A">
        <w:rPr>
          <w:b/>
          <w:color w:val="auto"/>
          <w:sz w:val="22"/>
          <w:szCs w:val="22"/>
        </w:rPr>
        <w:t xml:space="preserve"> </w:t>
      </w:r>
    </w:p>
    <w:p w14:paraId="254CC08E" w14:textId="5B985F47" w:rsidR="00AA2580" w:rsidRDefault="00AA2580" w:rsidP="00AA2580">
      <w:pPr>
        <w:pStyle w:val="NoSpacing"/>
        <w:ind w:left="360" w:hanging="360"/>
        <w:outlineLvl w:val="0"/>
        <w:rPr>
          <w:color w:val="auto"/>
          <w:sz w:val="22"/>
          <w:szCs w:val="22"/>
        </w:rPr>
      </w:pPr>
    </w:p>
    <w:p w14:paraId="68E43568" w14:textId="29796E05" w:rsidR="007F523B" w:rsidRDefault="007F523B" w:rsidP="005573D8">
      <w:pPr>
        <w:pStyle w:val="NoSpacing"/>
        <w:ind w:left="360"/>
        <w:rPr>
          <w:color w:val="auto"/>
          <w:sz w:val="22"/>
          <w:szCs w:val="22"/>
        </w:rPr>
      </w:pPr>
      <w:bookmarkStart w:id="0" w:name="_Hlk107222370"/>
      <w:r w:rsidRPr="006D0BAF">
        <w:rPr>
          <w:color w:val="auto"/>
          <w:sz w:val="22"/>
          <w:szCs w:val="22"/>
        </w:rPr>
        <w:t>Federal regulations require that an institution or individual’s reliance on an IRB be documented along with the responsibilities that each entity will undertake to ensure compliance with the regulations. This is accomplished through reliance agreements</w:t>
      </w:r>
      <w:r>
        <w:rPr>
          <w:color w:val="auto"/>
          <w:sz w:val="22"/>
          <w:szCs w:val="22"/>
        </w:rPr>
        <w:t>.</w:t>
      </w:r>
      <w:r w:rsidRPr="006D0BAF">
        <w:rPr>
          <w:color w:val="auto"/>
          <w:sz w:val="22"/>
          <w:szCs w:val="22"/>
        </w:rPr>
        <w:t xml:space="preserve"> </w:t>
      </w:r>
      <w:bookmarkEnd w:id="0"/>
    </w:p>
    <w:p w14:paraId="12F31F61" w14:textId="77777777" w:rsidR="007F523B" w:rsidRDefault="007F523B" w:rsidP="00AA2580">
      <w:pPr>
        <w:pStyle w:val="NoSpacing"/>
        <w:ind w:left="360" w:hanging="360"/>
        <w:outlineLvl w:val="0"/>
        <w:rPr>
          <w:color w:val="auto"/>
          <w:sz w:val="22"/>
          <w:szCs w:val="22"/>
        </w:rPr>
      </w:pPr>
    </w:p>
    <w:p w14:paraId="5505976B" w14:textId="063E0920" w:rsidR="00142909" w:rsidRDefault="00142909" w:rsidP="00142909">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t>POLICY</w:t>
      </w:r>
    </w:p>
    <w:p w14:paraId="528ED9E2" w14:textId="77777777" w:rsidR="00142909" w:rsidRDefault="00142909" w:rsidP="00142909">
      <w:pPr>
        <w:pStyle w:val="NoSpacing"/>
        <w:ind w:left="360" w:hanging="360"/>
        <w:outlineLvl w:val="0"/>
        <w:rPr>
          <w:color w:val="auto"/>
          <w:sz w:val="22"/>
          <w:szCs w:val="22"/>
        </w:rPr>
      </w:pPr>
    </w:p>
    <w:p w14:paraId="73719793" w14:textId="35E320B0" w:rsidR="007F523B" w:rsidRPr="007F523B" w:rsidRDefault="007F523B" w:rsidP="005573D8">
      <w:pPr>
        <w:spacing w:after="0" w:line="240" w:lineRule="auto"/>
        <w:ind w:left="360"/>
      </w:pPr>
      <w:r w:rsidRPr="007F523B">
        <w:rPr>
          <w:b/>
        </w:rPr>
        <w:t>Studies eligible for reliance on the UW IRB.</w:t>
      </w:r>
      <w:r w:rsidRPr="007F523B">
        <w:t xml:space="preserve"> HSD allows reliance on its IRBs for the review of non-exempt, human subjects research. </w:t>
      </w:r>
      <w:r w:rsidR="00607C51">
        <w:t xml:space="preserve">In rare circumstances, </w:t>
      </w:r>
      <w:r w:rsidRPr="007F523B">
        <w:t xml:space="preserve">HSD may also enter into agreements with other institutions or individuals who wish to rely on HSD’s determination that an activity is not human subjects research or is exempt. </w:t>
      </w:r>
      <w:bookmarkStart w:id="1" w:name="_Hlk206865056"/>
      <w:r w:rsidR="00607C51" w:rsidRPr="00607C51">
        <w:t xml:space="preserve">In those circumstances, UW will not use the SMART IRB Agreement and requires a </w:t>
      </w:r>
      <w:r w:rsidR="00607C51">
        <w:t xml:space="preserve">separate </w:t>
      </w:r>
      <w:r w:rsidR="00607C51" w:rsidRPr="00607C51">
        <w:t>reliance agreement be drafted and used.</w:t>
      </w:r>
      <w:bookmarkEnd w:id="1"/>
    </w:p>
    <w:p w14:paraId="67D0CE39" w14:textId="77777777" w:rsidR="007F523B" w:rsidRPr="007F523B" w:rsidRDefault="007F523B" w:rsidP="005573D8">
      <w:pPr>
        <w:spacing w:after="0" w:line="240" w:lineRule="auto"/>
        <w:ind w:left="360"/>
        <w:rPr>
          <w:color w:val="44546A" w:themeColor="text2"/>
          <w:sz w:val="20"/>
          <w:szCs w:val="20"/>
        </w:rPr>
      </w:pPr>
      <w:r w:rsidRPr="007F523B">
        <w:t xml:space="preserve"> </w:t>
      </w:r>
      <w:r w:rsidRPr="007F523B">
        <w:rPr>
          <w:color w:val="44546A" w:themeColor="text2"/>
          <w:sz w:val="20"/>
          <w:szCs w:val="20"/>
        </w:rPr>
        <w:tab/>
      </w:r>
    </w:p>
    <w:p w14:paraId="5084493B" w14:textId="674E7B4B" w:rsidR="007F523B" w:rsidRPr="007F523B" w:rsidRDefault="007F523B" w:rsidP="005573D8">
      <w:pPr>
        <w:spacing w:after="0" w:line="240" w:lineRule="auto"/>
        <w:ind w:left="360"/>
        <w:rPr>
          <w:b/>
        </w:rPr>
      </w:pPr>
      <w:r w:rsidRPr="007F523B">
        <w:rPr>
          <w:b/>
        </w:rPr>
        <w:t xml:space="preserve">Institutions and individuals eligible for reliance on the UW IRB. </w:t>
      </w:r>
      <w:bookmarkStart w:id="2" w:name="_Hlk107221614"/>
      <w:r w:rsidRPr="007F523B">
        <w:t xml:space="preserve">U.S.-based institutions or individuals must be engaged in a non-exempt, human subjects research project that is eligible for the use of the UW IRB as described in the </w:t>
      </w:r>
      <w:r w:rsidR="009F0B7A">
        <w:rPr>
          <w:b/>
        </w:rPr>
        <w:t>Engagement Guidance</w:t>
      </w:r>
      <w:r w:rsidRPr="007F523B">
        <w:t>. HSD will not generally allow reliance on the UW IRB when the non-UW institution or individual cannot demonstrate that their activities constitute engagement in the research, when IRB review is required by that institution solely in order to meet its unique institutional policies, or when the institution is not based in the U.S.</w:t>
      </w:r>
    </w:p>
    <w:bookmarkEnd w:id="2"/>
    <w:p w14:paraId="7DFA452E" w14:textId="77777777" w:rsidR="007F523B" w:rsidRPr="007F523B" w:rsidRDefault="007F523B" w:rsidP="005573D8">
      <w:pPr>
        <w:spacing w:after="0" w:line="240" w:lineRule="auto"/>
        <w:ind w:left="360"/>
        <w:rPr>
          <w:b/>
        </w:rPr>
      </w:pPr>
    </w:p>
    <w:p w14:paraId="053CF35F" w14:textId="6CCA0D66" w:rsidR="007F523B" w:rsidRPr="007F523B" w:rsidRDefault="007F523B" w:rsidP="005573D8">
      <w:pPr>
        <w:spacing w:after="0" w:line="240" w:lineRule="auto"/>
        <w:ind w:left="360"/>
      </w:pPr>
      <w:bookmarkStart w:id="3" w:name="_Hlk107223144"/>
      <w:r w:rsidRPr="007F523B">
        <w:rPr>
          <w:b/>
        </w:rPr>
        <w:t xml:space="preserve">Who makes the decision. </w:t>
      </w:r>
      <w:r w:rsidRPr="007F523B">
        <w:t>The UW’s Vice Provost for Research has delegated decision-making authority, including the negotiation and execution of reliance agreements, to UW’s Institutional Official (IO) and specific HSD staff. HSD staff who do not have this delegated authority are, however, allowed to determine that a non-UW institution may rely on the UW IRB for certain classes of studies  addressed under an existing reliance agreement with that institution as described in the</w:t>
      </w:r>
      <w:hyperlink r:id="rId12" w:history="1">
        <w:r w:rsidR="003E557F">
          <w:rPr>
            <w:b/>
            <w:bCs/>
          </w:rPr>
          <w:t xml:space="preserve"> WORKSHEET </w:t>
        </w:r>
        <w:r w:rsidRPr="007F523B">
          <w:rPr>
            <w:b/>
            <w:bCs/>
          </w:rPr>
          <w:t>Internal Rel</w:t>
        </w:r>
      </w:hyperlink>
      <w:r w:rsidRPr="007F523B">
        <w:rPr>
          <w:b/>
          <w:bCs/>
        </w:rPr>
        <w:t>iance Agreements</w:t>
      </w:r>
      <w:r w:rsidRPr="003E557F">
        <w:t>,</w:t>
      </w:r>
      <w:r w:rsidRPr="007F523B">
        <w:rPr>
          <w:b/>
          <w:bCs/>
        </w:rPr>
        <w:t xml:space="preserve"> </w:t>
      </w:r>
      <w:r w:rsidR="003E557F">
        <w:rPr>
          <w:b/>
          <w:bCs/>
        </w:rPr>
        <w:t xml:space="preserve">WORKSHEET </w:t>
      </w:r>
      <w:r w:rsidRPr="007F523B">
        <w:rPr>
          <w:b/>
          <w:bCs/>
        </w:rPr>
        <w:t>Non-UW Investigator Agreements</w:t>
      </w:r>
      <w:r w:rsidRPr="003E557F">
        <w:t>, and</w:t>
      </w:r>
      <w:r w:rsidRPr="007F523B">
        <w:rPr>
          <w:b/>
          <w:bCs/>
        </w:rPr>
        <w:t xml:space="preserve"> </w:t>
      </w:r>
      <w:r w:rsidR="003E557F">
        <w:rPr>
          <w:b/>
          <w:bCs/>
        </w:rPr>
        <w:t xml:space="preserve">WORKSHEET </w:t>
      </w:r>
      <w:r w:rsidRPr="007F523B">
        <w:rPr>
          <w:b/>
          <w:bCs/>
        </w:rPr>
        <w:t>Non-Assured Institution Agreements.</w:t>
      </w:r>
    </w:p>
    <w:bookmarkEnd w:id="3"/>
    <w:p w14:paraId="0E512828" w14:textId="77777777" w:rsidR="007F523B" w:rsidRPr="007F523B" w:rsidRDefault="007F523B" w:rsidP="005573D8">
      <w:pPr>
        <w:spacing w:after="0" w:line="240" w:lineRule="auto"/>
        <w:ind w:left="360"/>
      </w:pPr>
    </w:p>
    <w:p w14:paraId="5A7E3330" w14:textId="69F1589C" w:rsidR="007F523B" w:rsidRPr="007F523B" w:rsidRDefault="007F523B" w:rsidP="005573D8">
      <w:pPr>
        <w:spacing w:after="0" w:line="240" w:lineRule="auto"/>
        <w:ind w:left="360"/>
      </w:pPr>
      <w:bookmarkStart w:id="4" w:name="_Hlk107223238"/>
      <w:r w:rsidRPr="007F523B">
        <w:rPr>
          <w:b/>
        </w:rPr>
        <w:t>Reliance agreement options</w:t>
      </w:r>
      <w:r w:rsidRPr="007F523B">
        <w:t>.</w:t>
      </w:r>
      <w:bookmarkEnd w:id="4"/>
      <w:r w:rsidRPr="007F523B">
        <w:t xml:space="preserve"> </w:t>
      </w:r>
      <w:bookmarkStart w:id="5" w:name="_Hlk107222473"/>
      <w:r w:rsidRPr="007F523B">
        <w:t>In order to support flexibility and tailor the terms of reliance agreements to the circumstances of individual studies, UW makes use of and accepts a variety of reliance agreement templates and structures. These include UW’s own reliance agreement templates (</w:t>
      </w:r>
      <w:bookmarkStart w:id="6" w:name="_Hlk107222797"/>
      <w:r w:rsidRPr="007F523B">
        <w:t xml:space="preserve">the </w:t>
      </w:r>
      <w:r w:rsidRPr="007F523B">
        <w:rPr>
          <w:b/>
          <w:bCs/>
        </w:rPr>
        <w:t xml:space="preserve">TEMPLATE </w:t>
      </w:r>
      <w:r w:rsidRPr="007F523B">
        <w:rPr>
          <w:b/>
        </w:rPr>
        <w:t>Study Specific Reliance Agreement</w:t>
      </w:r>
      <w:r w:rsidR="003E557F">
        <w:rPr>
          <w:b/>
        </w:rPr>
        <w:t>,</w:t>
      </w:r>
      <w:r w:rsidRPr="007F523B">
        <w:rPr>
          <w:b/>
        </w:rPr>
        <w:t xml:space="preserve"> Full </w:t>
      </w:r>
      <w:r w:rsidRPr="007F523B">
        <w:t xml:space="preserve">the </w:t>
      </w:r>
      <w:r w:rsidRPr="007F523B">
        <w:rPr>
          <w:b/>
          <w:bCs/>
        </w:rPr>
        <w:t>TEMPLATE Study</w:t>
      </w:r>
      <w:r w:rsidRPr="007F523B">
        <w:rPr>
          <w:b/>
        </w:rPr>
        <w:t xml:space="preserve"> Specific Reliance Agreement</w:t>
      </w:r>
      <w:r w:rsidR="003E557F">
        <w:rPr>
          <w:b/>
        </w:rPr>
        <w:t>,</w:t>
      </w:r>
      <w:r w:rsidRPr="007F523B">
        <w:rPr>
          <w:b/>
        </w:rPr>
        <w:t xml:space="preserve"> Basic</w:t>
      </w:r>
      <w:r w:rsidRPr="003E557F">
        <w:rPr>
          <w:bCs/>
        </w:rPr>
        <w:t>,</w:t>
      </w:r>
      <w:r w:rsidRPr="007F523B">
        <w:t xml:space="preserve"> the</w:t>
      </w:r>
      <w:r w:rsidRPr="007F523B">
        <w:rPr>
          <w:b/>
        </w:rPr>
        <w:t xml:space="preserve"> TEMPLATE Non-UW Investigator Agreement</w:t>
      </w:r>
      <w:r w:rsidRPr="003E557F">
        <w:rPr>
          <w:bCs/>
        </w:rPr>
        <w:t>,</w:t>
      </w:r>
      <w:r w:rsidRPr="007F523B">
        <w:rPr>
          <w:b/>
          <w:color w:val="2E74B5" w:themeColor="accent1" w:themeShade="BF"/>
        </w:rPr>
        <w:t xml:space="preserve"> </w:t>
      </w:r>
      <w:r w:rsidRPr="007F523B">
        <w:t xml:space="preserve">and the </w:t>
      </w:r>
      <w:r w:rsidRPr="007F523B">
        <w:rPr>
          <w:b/>
          <w:bCs/>
        </w:rPr>
        <w:t>TEMPLATE Non</w:t>
      </w:r>
      <w:r w:rsidRPr="007F523B">
        <w:rPr>
          <w:b/>
        </w:rPr>
        <w:t>-Assured Institution Agreement</w:t>
      </w:r>
      <w:r w:rsidRPr="007F523B">
        <w:t>)</w:t>
      </w:r>
      <w:bookmarkEnd w:id="6"/>
      <w:r w:rsidRPr="007F523B">
        <w:t xml:space="preserve">, the </w:t>
      </w:r>
      <w:r w:rsidRPr="007F523B">
        <w:rPr>
          <w:i/>
          <w:iCs/>
        </w:rPr>
        <w:t>SMART IRB Master Reliance Agreement</w:t>
      </w:r>
      <w:r w:rsidRPr="007F523B">
        <w:t>, as well as other templates and formats.</w:t>
      </w:r>
      <w:r w:rsidR="008742EE">
        <w:t xml:space="preserve"> </w:t>
      </w:r>
      <w:r w:rsidR="008742EE" w:rsidRPr="008742EE">
        <w:t xml:space="preserve">If another institution will rely on the UW for an exempt determination that includes limited IRB review , the reliance must be documented in writing, including the responsibilities of each entity, in the standard way for any </w:t>
      </w:r>
      <w:r w:rsidR="008742EE">
        <w:t>other reliance on the IRB’s review.</w:t>
      </w:r>
    </w:p>
    <w:bookmarkEnd w:id="5"/>
    <w:p w14:paraId="367E9C2B" w14:textId="77777777" w:rsidR="007F523B" w:rsidRPr="007F523B" w:rsidRDefault="007F523B" w:rsidP="00BD099E">
      <w:pPr>
        <w:tabs>
          <w:tab w:val="left" w:pos="630"/>
        </w:tabs>
        <w:spacing w:after="0" w:line="240" w:lineRule="auto"/>
        <w:ind w:firstLine="720"/>
      </w:pPr>
    </w:p>
    <w:p w14:paraId="3239EE65" w14:textId="77777777" w:rsidR="007F523B" w:rsidRPr="007F523B" w:rsidRDefault="007F523B" w:rsidP="005573D8">
      <w:pPr>
        <w:tabs>
          <w:tab w:val="left" w:pos="630"/>
        </w:tabs>
        <w:spacing w:after="0" w:line="240" w:lineRule="auto"/>
        <w:ind w:left="360"/>
      </w:pPr>
      <w:r w:rsidRPr="007F523B">
        <w:rPr>
          <w:b/>
        </w:rPr>
        <w:lastRenderedPageBreak/>
        <w:t>Research not subject to federal requirements.</w:t>
      </w:r>
      <w:r w:rsidRPr="007F523B">
        <w:t xml:space="preserve"> </w:t>
      </w:r>
      <w:bookmarkStart w:id="7" w:name="_Hlk107223080"/>
      <w:r w:rsidRPr="007F523B">
        <w:t xml:space="preserve">When a non-UW institution or individual will rely on the UW IRB for research not subject to federal regulations and/or guidance, UW will execute a reliance agreement. Although a formal, written agreement is not required in these situations, HSD considers it best practice for documenting roles and responsibilities related to IRB review. </w:t>
      </w:r>
      <w:bookmarkEnd w:id="7"/>
    </w:p>
    <w:p w14:paraId="4DC97E67" w14:textId="4B524EA2" w:rsidR="00C80CF5" w:rsidRDefault="00C80CF5" w:rsidP="00C80CF5">
      <w:pPr>
        <w:pStyle w:val="NoSpacing"/>
        <w:ind w:left="360" w:hanging="360"/>
        <w:outlineLvl w:val="0"/>
        <w:rPr>
          <w:b/>
          <w:color w:val="auto"/>
          <w:sz w:val="22"/>
          <w:szCs w:val="22"/>
        </w:rPr>
      </w:pPr>
      <w:r>
        <w:rPr>
          <w:b/>
          <w:color w:val="auto"/>
          <w:sz w:val="22"/>
          <w:szCs w:val="22"/>
        </w:rPr>
        <w:t>4</w:t>
      </w:r>
      <w:r w:rsidRPr="00590473">
        <w:rPr>
          <w:b/>
          <w:color w:val="auto"/>
          <w:sz w:val="22"/>
          <w:szCs w:val="22"/>
        </w:rPr>
        <w:t xml:space="preserve"> </w:t>
      </w:r>
      <w:r w:rsidRPr="00590473">
        <w:rPr>
          <w:b/>
          <w:color w:val="auto"/>
          <w:sz w:val="22"/>
          <w:szCs w:val="22"/>
        </w:rPr>
        <w:tab/>
      </w:r>
      <w:r>
        <w:rPr>
          <w:b/>
          <w:color w:val="auto"/>
          <w:sz w:val="22"/>
          <w:szCs w:val="22"/>
        </w:rPr>
        <w:t>PROCEDURES</w:t>
      </w:r>
    </w:p>
    <w:p w14:paraId="46030DAF" w14:textId="77777777" w:rsidR="00C80CF5" w:rsidRDefault="00C80CF5" w:rsidP="00C80CF5">
      <w:pPr>
        <w:pStyle w:val="NoSpacing"/>
        <w:ind w:left="360" w:hanging="360"/>
        <w:outlineLvl w:val="0"/>
        <w:rPr>
          <w:color w:val="auto"/>
          <w:sz w:val="22"/>
          <w:szCs w:val="22"/>
        </w:rPr>
      </w:pPr>
    </w:p>
    <w:p w14:paraId="313D3DC2" w14:textId="77777777" w:rsidR="00C80CF5" w:rsidRPr="00C80CF5" w:rsidRDefault="00C80CF5" w:rsidP="005573D8">
      <w:pPr>
        <w:numPr>
          <w:ilvl w:val="1"/>
          <w:numId w:val="40"/>
        </w:numPr>
        <w:spacing w:after="0" w:line="240" w:lineRule="auto"/>
        <w:ind w:left="900" w:hanging="540"/>
        <w:rPr>
          <w:b/>
        </w:rPr>
      </w:pPr>
      <w:r w:rsidRPr="00C80CF5">
        <w:rPr>
          <w:b/>
        </w:rPr>
        <w:t>Researcher request for review by the UW IRB</w:t>
      </w:r>
      <w:r w:rsidRPr="00C80CF5">
        <w:t xml:space="preserve">. UW researchers request permission for a non-UW institution or individual to rely on the UW IRB for a specific study by answering the appropriate questions in their Zipline IRB application and uploading a completed </w:t>
      </w:r>
      <w:r w:rsidRPr="00C80CF5">
        <w:rPr>
          <w:b/>
        </w:rPr>
        <w:t xml:space="preserve">SUPPLEMENT Multi-site and Collaborative Research </w:t>
      </w:r>
      <w:r w:rsidRPr="00C80CF5">
        <w:t>and/or</w:t>
      </w:r>
      <w:r w:rsidRPr="00C80CF5">
        <w:rPr>
          <w:b/>
        </w:rPr>
        <w:t xml:space="preserve"> SUPPLEMENT Non-UW Individual Investigators</w:t>
      </w:r>
      <w:r w:rsidRPr="00C80CF5">
        <w:t>. This request can be part of an initial IRB application or a modification application for a study already approved by the UW IRB.</w:t>
      </w:r>
    </w:p>
    <w:p w14:paraId="15771971" w14:textId="77777777" w:rsidR="00C80CF5" w:rsidRPr="00C80CF5" w:rsidRDefault="00C80CF5" w:rsidP="005573D8">
      <w:pPr>
        <w:spacing w:after="0" w:line="240" w:lineRule="auto"/>
        <w:ind w:left="900" w:hanging="540"/>
        <w:rPr>
          <w:b/>
        </w:rPr>
      </w:pPr>
    </w:p>
    <w:p w14:paraId="1517AEFD" w14:textId="6055AA78" w:rsidR="00C80CF5" w:rsidRPr="00C80CF5" w:rsidRDefault="00C80CF5" w:rsidP="005573D8">
      <w:pPr>
        <w:numPr>
          <w:ilvl w:val="1"/>
          <w:numId w:val="40"/>
        </w:numPr>
        <w:spacing w:after="0" w:line="240" w:lineRule="auto"/>
        <w:ind w:left="900" w:hanging="540"/>
        <w:rPr>
          <w:b/>
        </w:rPr>
      </w:pPr>
      <w:r w:rsidRPr="00C80CF5">
        <w:rPr>
          <w:b/>
        </w:rPr>
        <w:t>Decision by HSD</w:t>
      </w:r>
      <w:r w:rsidRPr="00C80CF5">
        <w:t xml:space="preserve">. HSD staff use the </w:t>
      </w:r>
      <w:r w:rsidRPr="00C80CF5">
        <w:rPr>
          <w:b/>
        </w:rPr>
        <w:t>WORKSHEET Team S Engagement Assessment</w:t>
      </w:r>
      <w:r w:rsidRPr="00C80CF5">
        <w:t xml:space="preserve"> to assess the provided materials and information. Additional information or materials may be requested if needed to assess the request. A member of the HSD Leadership Team or the Sr. Reliance Administrator makes the final decision about the acceptability of the proposed reliance.</w:t>
      </w:r>
    </w:p>
    <w:p w14:paraId="48A0D675" w14:textId="77777777" w:rsidR="00C80CF5" w:rsidRPr="00C80CF5" w:rsidRDefault="00C80CF5" w:rsidP="005573D8">
      <w:pPr>
        <w:spacing w:after="0" w:line="240" w:lineRule="auto"/>
        <w:ind w:left="900" w:hanging="540"/>
        <w:rPr>
          <w:b/>
        </w:rPr>
      </w:pPr>
    </w:p>
    <w:p w14:paraId="5D502955" w14:textId="62089F49" w:rsidR="00C80CF5" w:rsidRPr="00C80CF5" w:rsidRDefault="00C80CF5" w:rsidP="005573D8">
      <w:pPr>
        <w:numPr>
          <w:ilvl w:val="1"/>
          <w:numId w:val="40"/>
        </w:numPr>
        <w:spacing w:after="0" w:line="240" w:lineRule="auto"/>
        <w:ind w:left="900" w:hanging="540"/>
      </w:pPr>
      <w:r w:rsidRPr="00C80CF5">
        <w:rPr>
          <w:b/>
        </w:rPr>
        <w:t xml:space="preserve">Confirming the reliance arrangement and negotiating the reliance terms. </w:t>
      </w:r>
      <w:r w:rsidRPr="00C80CF5">
        <w:t xml:space="preserve">When a request is granted, HSD staff use the </w:t>
      </w:r>
      <w:hyperlink r:id="rId13" w:history="1">
        <w:r w:rsidRPr="00C80CF5">
          <w:rPr>
            <w:b/>
          </w:rPr>
          <w:t>WORKSHEET Internal Rel</w:t>
        </w:r>
      </w:hyperlink>
      <w:r w:rsidRPr="00C80CF5">
        <w:rPr>
          <w:b/>
        </w:rPr>
        <w:t>iance Request</w:t>
      </w:r>
      <w:r w:rsidR="00A92176" w:rsidRPr="00C81EB4">
        <w:rPr>
          <w:bCs/>
        </w:rPr>
        <w:t>, the</w:t>
      </w:r>
      <w:r w:rsidR="00A92176" w:rsidRPr="00C81EB4">
        <w:rPr>
          <w:b/>
        </w:rPr>
        <w:t xml:space="preserve"> SOP Reliance Insurance and Indemnification</w:t>
      </w:r>
      <w:r w:rsidR="00C81EB4">
        <w:rPr>
          <w:bCs/>
        </w:rPr>
        <w:t>,</w:t>
      </w:r>
      <w:r w:rsidR="00A92176" w:rsidRPr="00C81EB4">
        <w:rPr>
          <w:b/>
        </w:rPr>
        <w:t xml:space="preserve"> </w:t>
      </w:r>
      <w:r w:rsidRPr="00C81EB4">
        <w:t>a</w:t>
      </w:r>
      <w:r w:rsidRPr="00C80CF5">
        <w:t>nd/or</w:t>
      </w:r>
      <w:r w:rsidRPr="00C80CF5">
        <w:rPr>
          <w:b/>
        </w:rPr>
        <w:t xml:space="preserve"> </w:t>
      </w:r>
      <w:r w:rsidRPr="00C80CF5">
        <w:rPr>
          <w:bCs/>
        </w:rPr>
        <w:t xml:space="preserve">the </w:t>
      </w:r>
      <w:r w:rsidRPr="00C80CF5">
        <w:rPr>
          <w:b/>
        </w:rPr>
        <w:t>WORKSHEET Non-UW Investigator Agreements</w:t>
      </w:r>
      <w:r w:rsidRPr="00C80CF5">
        <w:rPr>
          <w:b/>
          <w:color w:val="2E74B5" w:themeColor="accent1" w:themeShade="BF"/>
        </w:rPr>
        <w:t xml:space="preserve"> </w:t>
      </w:r>
      <w:r w:rsidRPr="00C80CF5">
        <w:t xml:space="preserve">to assess whether the proposed reliance falls under the terms of an existing reliance agreement, confirm that the other institution or individual is willing to rely on the UW IRB, negotiate a new agreement if needed, and to clarify study specific responsibilities for any flexible terms of agreements or for responsibilities not covered by the agreement. Staff may use the </w:t>
      </w:r>
      <w:r w:rsidRPr="00C80CF5">
        <w:rPr>
          <w:b/>
          <w:bCs/>
        </w:rPr>
        <w:t>TEMPLATE</w:t>
      </w:r>
      <w:r w:rsidRPr="00C80CF5">
        <w:t xml:space="preserve"> </w:t>
      </w:r>
      <w:r w:rsidRPr="00C80CF5">
        <w:rPr>
          <w:b/>
        </w:rPr>
        <w:t>Study Specific Reliance Plan (SSRP)</w:t>
      </w:r>
      <w:r w:rsidRPr="00C80CF5">
        <w:t xml:space="preserve"> or another method to document flexible terms.</w:t>
      </w:r>
    </w:p>
    <w:p w14:paraId="674E921F" w14:textId="77777777" w:rsidR="00C80CF5" w:rsidRPr="00C80CF5" w:rsidRDefault="00C80CF5" w:rsidP="005573D8">
      <w:pPr>
        <w:spacing w:after="0" w:line="240" w:lineRule="auto"/>
        <w:ind w:left="900" w:hanging="540"/>
      </w:pPr>
    </w:p>
    <w:p w14:paraId="165035A7" w14:textId="2FDDF699" w:rsidR="00C80CF5" w:rsidRDefault="00C80CF5" w:rsidP="00733A43">
      <w:pPr>
        <w:numPr>
          <w:ilvl w:val="1"/>
          <w:numId w:val="40"/>
        </w:numPr>
        <w:spacing w:after="0" w:line="240" w:lineRule="auto"/>
        <w:ind w:left="900" w:hanging="540"/>
      </w:pPr>
      <w:r w:rsidRPr="00C80CF5">
        <w:rPr>
          <w:b/>
        </w:rPr>
        <w:t xml:space="preserve">Transfers of ongoing research. </w:t>
      </w:r>
      <w:r w:rsidRPr="00C80CF5">
        <w:t xml:space="preserve">When the request for reliance means that a study currently reviewed and approved by a non-UW IRB will be transferred to the UW IRB, HSD staff responsible for executing the reliance </w:t>
      </w:r>
      <w:r w:rsidR="00DA4CA5">
        <w:t>complete additional activities</w:t>
      </w:r>
      <w:r w:rsidR="0072507C" w:rsidRPr="00733A43">
        <w:t xml:space="preserve"> in the</w:t>
      </w:r>
      <w:r w:rsidR="0072507C">
        <w:rPr>
          <w:b/>
          <w:bCs/>
        </w:rPr>
        <w:t xml:space="preserve"> WORKSHEET Team S Engagement Assessment </w:t>
      </w:r>
      <w:r w:rsidRPr="00C80CF5">
        <w:t>to accomplish the transfer in an orderly way that assures continuous IRB oversight with no lapse in either IRB approval or the protection of human subjects, and with minimal disruption of research activities.</w:t>
      </w:r>
      <w:r w:rsidR="00DA4CA5">
        <w:t xml:space="preserve"> </w:t>
      </w:r>
      <w:r w:rsidR="00DA4CA5" w:rsidRPr="00DE4886">
        <w:t>HSD staff us</w:t>
      </w:r>
      <w:r w:rsidR="00DA4CA5">
        <w:t>e</w:t>
      </w:r>
      <w:r w:rsidR="00DA4CA5" w:rsidRPr="00DE4886">
        <w:t xml:space="preserve"> the form </w:t>
      </w:r>
      <w:bookmarkStart w:id="8" w:name="_Hlk138685848"/>
      <w:r w:rsidR="00DA4CA5">
        <w:rPr>
          <w:b/>
        </w:rPr>
        <w:t>TEMPLATE Transfer Plan</w:t>
      </w:r>
      <w:r w:rsidR="00DA4CA5" w:rsidRPr="006222FF">
        <w:rPr>
          <w:b/>
        </w:rPr>
        <w:t xml:space="preserve"> UW and Non-UW IRB</w:t>
      </w:r>
      <w:bookmarkEnd w:id="8"/>
      <w:r w:rsidR="00DA4CA5" w:rsidRPr="00B74875">
        <w:rPr>
          <w:bCs/>
        </w:rPr>
        <w:t>,</w:t>
      </w:r>
      <w:r w:rsidR="00BD099E">
        <w:rPr>
          <w:bCs/>
        </w:rPr>
        <w:t xml:space="preserve"> </w:t>
      </w:r>
      <w:r w:rsidR="00DA4CA5" w:rsidRPr="00DE4886">
        <w:t>a form</w:t>
      </w:r>
      <w:r w:rsidR="00DA4CA5">
        <w:t xml:space="preserve"> provided by the receiving institution, or another written method to document information about the transfer. The </w:t>
      </w:r>
      <w:r w:rsidR="00DA4CA5">
        <w:rPr>
          <w:b/>
          <w:bCs/>
        </w:rPr>
        <w:t>TEMPLATE Transfer Plan</w:t>
      </w:r>
      <w:r w:rsidR="00DA4CA5" w:rsidRPr="006222FF">
        <w:rPr>
          <w:b/>
          <w:bCs/>
        </w:rPr>
        <w:t xml:space="preserve"> UW and Non-UW IRB </w:t>
      </w:r>
      <w:r w:rsidR="00DA4CA5" w:rsidRPr="006222FF">
        <w:t xml:space="preserve">may </w:t>
      </w:r>
      <w:r w:rsidR="00DA4CA5">
        <w:t>also be used in rare circumstances when a study is transferred and the transferring institution will not rely on the UW IRB, for example, because the transferring institution’s engagement has concluded.</w:t>
      </w:r>
    </w:p>
    <w:p w14:paraId="7E6E97C6" w14:textId="77777777" w:rsidR="00733A43" w:rsidRPr="00C80CF5" w:rsidRDefault="00733A43" w:rsidP="00733A43">
      <w:pPr>
        <w:spacing w:after="0" w:line="240" w:lineRule="auto"/>
        <w:ind w:left="900"/>
      </w:pPr>
    </w:p>
    <w:p w14:paraId="025FC361" w14:textId="26C3C7F1" w:rsidR="00C80CF5" w:rsidRPr="00C80CF5" w:rsidRDefault="00C80CF5" w:rsidP="005573D8">
      <w:pPr>
        <w:numPr>
          <w:ilvl w:val="2"/>
          <w:numId w:val="40"/>
        </w:numPr>
        <w:spacing w:after="0" w:line="240" w:lineRule="auto"/>
        <w:ind w:left="1620"/>
      </w:pPr>
      <w:r w:rsidRPr="00C80CF5">
        <w:t>When the transfer is complete, HSD staff ensure that all transfer-related documentation has been placed in the study file and any records requested from the transferring IRB have been provided.</w:t>
      </w:r>
    </w:p>
    <w:p w14:paraId="2ED70B66" w14:textId="77777777" w:rsidR="00C80CF5" w:rsidRPr="00C80CF5" w:rsidRDefault="00C80CF5" w:rsidP="00C80CF5">
      <w:pPr>
        <w:spacing w:after="0" w:line="240" w:lineRule="auto"/>
        <w:rPr>
          <w:b/>
        </w:rPr>
      </w:pPr>
    </w:p>
    <w:p w14:paraId="0ADD1383" w14:textId="77777777" w:rsidR="00C80CF5" w:rsidRPr="00C80CF5" w:rsidRDefault="00C80CF5" w:rsidP="005573D8">
      <w:pPr>
        <w:numPr>
          <w:ilvl w:val="1"/>
          <w:numId w:val="40"/>
        </w:numPr>
        <w:spacing w:after="0" w:line="240" w:lineRule="auto"/>
        <w:ind w:left="900" w:hanging="540"/>
        <w:rPr>
          <w:b/>
        </w:rPr>
      </w:pPr>
      <w:bookmarkStart w:id="9" w:name="_Hlk107223213"/>
      <w:r w:rsidRPr="00C80CF5">
        <w:rPr>
          <w:b/>
        </w:rPr>
        <w:t>Documenting the reliance decision and arrangement.</w:t>
      </w:r>
      <w:r w:rsidRPr="00C80CF5">
        <w:t xml:space="preserve"> </w:t>
      </w:r>
      <w:bookmarkStart w:id="10" w:name="_Hlk107222722"/>
      <w:bookmarkEnd w:id="9"/>
      <w:r w:rsidRPr="00C80CF5">
        <w:t>All decisions about reliances, documentation of the decision, and the terms of the reliance arrangement are considered HSD records and are appropriately recorded in the Zipline system.</w:t>
      </w:r>
      <w:bookmarkEnd w:id="10"/>
    </w:p>
    <w:p w14:paraId="16F1CF70" w14:textId="77777777" w:rsidR="00C80CF5" w:rsidRDefault="00C80CF5" w:rsidP="00C80CF5">
      <w:pPr>
        <w:pStyle w:val="NoSpacing"/>
        <w:outlineLvl w:val="0"/>
        <w:rPr>
          <w:color w:val="auto"/>
          <w:sz w:val="22"/>
          <w:szCs w:val="22"/>
        </w:rPr>
      </w:pPr>
    </w:p>
    <w:p w14:paraId="79F914B4" w14:textId="01F4CDF2" w:rsidR="009A26F5" w:rsidRPr="0025290D" w:rsidRDefault="009A26F5" w:rsidP="009A26F5">
      <w:pPr>
        <w:pStyle w:val="NoSpacing"/>
        <w:numPr>
          <w:ilvl w:val="1"/>
          <w:numId w:val="40"/>
        </w:numPr>
        <w:ind w:left="900" w:hanging="540"/>
        <w:rPr>
          <w:bCs/>
          <w:color w:val="auto"/>
          <w:sz w:val="22"/>
          <w:szCs w:val="22"/>
        </w:rPr>
      </w:pPr>
      <w:bookmarkStart w:id="11" w:name="_Hlk206864922"/>
      <w:r>
        <w:rPr>
          <w:b/>
          <w:color w:val="auto"/>
          <w:sz w:val="22"/>
          <w:szCs w:val="22"/>
        </w:rPr>
        <w:t xml:space="preserve">Withdrawal of reliance. </w:t>
      </w:r>
      <w:r w:rsidRPr="0025290D">
        <w:rPr>
          <w:bCs/>
          <w:color w:val="auto"/>
          <w:sz w:val="22"/>
          <w:szCs w:val="22"/>
        </w:rPr>
        <w:t xml:space="preserve">In rare circumstances, it may be necessary for UW or the </w:t>
      </w:r>
      <w:r>
        <w:rPr>
          <w:bCs/>
          <w:color w:val="auto"/>
          <w:sz w:val="22"/>
          <w:szCs w:val="22"/>
        </w:rPr>
        <w:t>relying institution</w:t>
      </w:r>
      <w:r w:rsidRPr="0025290D">
        <w:rPr>
          <w:bCs/>
          <w:color w:val="auto"/>
          <w:sz w:val="22"/>
          <w:szCs w:val="22"/>
        </w:rPr>
        <w:t xml:space="preserve"> to withdraw from the reliance arrangement.</w:t>
      </w:r>
      <w:r>
        <w:rPr>
          <w:bCs/>
          <w:color w:val="auto"/>
          <w:sz w:val="22"/>
          <w:szCs w:val="22"/>
        </w:rPr>
        <w:t xml:space="preserve"> </w:t>
      </w:r>
      <w:r w:rsidRPr="0025290D">
        <w:rPr>
          <w:bCs/>
          <w:color w:val="auto"/>
          <w:sz w:val="22"/>
          <w:szCs w:val="22"/>
        </w:rPr>
        <w:t xml:space="preserve">In these circumstances, HSD will: </w:t>
      </w:r>
    </w:p>
    <w:p w14:paraId="639C3D24" w14:textId="77777777" w:rsidR="009A26F5" w:rsidRDefault="009A26F5" w:rsidP="00BD099E">
      <w:pPr>
        <w:pStyle w:val="NoSpacing"/>
        <w:numPr>
          <w:ilvl w:val="2"/>
          <w:numId w:val="42"/>
        </w:numPr>
        <w:ind w:left="1350"/>
        <w:rPr>
          <w:bCs/>
          <w:color w:val="auto"/>
          <w:sz w:val="22"/>
          <w:szCs w:val="22"/>
        </w:rPr>
      </w:pPr>
      <w:r w:rsidRPr="0025290D">
        <w:rPr>
          <w:bCs/>
          <w:color w:val="auto"/>
          <w:sz w:val="22"/>
          <w:szCs w:val="22"/>
        </w:rPr>
        <w:lastRenderedPageBreak/>
        <w:t xml:space="preserve">Review and comply with the terms of the reliance agreement </w:t>
      </w:r>
      <w:r w:rsidRPr="005B66F8">
        <w:rPr>
          <w:bCs/>
          <w:color w:val="auto"/>
          <w:sz w:val="22"/>
          <w:szCs w:val="22"/>
        </w:rPr>
        <w:t xml:space="preserve">in </w:t>
      </w:r>
      <w:r>
        <w:rPr>
          <w:bCs/>
          <w:color w:val="auto"/>
          <w:sz w:val="22"/>
          <w:szCs w:val="22"/>
        </w:rPr>
        <w:t xml:space="preserve">regard to timelines and requirements for written notification to other parties, </w:t>
      </w:r>
    </w:p>
    <w:p w14:paraId="7BE282BD" w14:textId="77777777" w:rsidR="009A26F5" w:rsidRDefault="009A26F5" w:rsidP="00BD099E">
      <w:pPr>
        <w:pStyle w:val="NoSpacing"/>
        <w:numPr>
          <w:ilvl w:val="2"/>
          <w:numId w:val="42"/>
        </w:numPr>
        <w:ind w:left="1350"/>
        <w:rPr>
          <w:bCs/>
          <w:color w:val="auto"/>
          <w:sz w:val="22"/>
          <w:szCs w:val="22"/>
        </w:rPr>
      </w:pPr>
      <w:r>
        <w:rPr>
          <w:bCs/>
          <w:color w:val="auto"/>
          <w:sz w:val="22"/>
          <w:szCs w:val="22"/>
        </w:rPr>
        <w:t>Assess whether the circumstances require reporting to any funders or other oversight agencies, and prepare and submit any required reports according to HSD’s policies and procedures,</w:t>
      </w:r>
    </w:p>
    <w:p w14:paraId="33779C01" w14:textId="732586FB" w:rsidR="009A26F5" w:rsidRPr="009A26F5" w:rsidRDefault="009A26F5">
      <w:pPr>
        <w:pStyle w:val="NoSpacing"/>
        <w:numPr>
          <w:ilvl w:val="2"/>
          <w:numId w:val="42"/>
        </w:numPr>
        <w:ind w:left="1350"/>
        <w:outlineLvl w:val="0"/>
        <w:rPr>
          <w:color w:val="auto"/>
          <w:sz w:val="22"/>
          <w:szCs w:val="22"/>
        </w:rPr>
      </w:pPr>
      <w:r w:rsidRPr="009A26F5">
        <w:rPr>
          <w:bCs/>
          <w:color w:val="auto"/>
          <w:sz w:val="22"/>
          <w:szCs w:val="22"/>
        </w:rPr>
        <w:t xml:space="preserve">To the extent </w:t>
      </w:r>
      <w:r>
        <w:rPr>
          <w:bCs/>
          <w:color w:val="auto"/>
          <w:sz w:val="22"/>
          <w:szCs w:val="22"/>
        </w:rPr>
        <w:t>feasible</w:t>
      </w:r>
      <w:r w:rsidRPr="009A26F5">
        <w:rPr>
          <w:bCs/>
          <w:color w:val="auto"/>
          <w:sz w:val="22"/>
          <w:szCs w:val="22"/>
        </w:rPr>
        <w:t>, assist the other institution with the transfer of oversight to the new IRB</w:t>
      </w:r>
      <w:r>
        <w:rPr>
          <w:bCs/>
          <w:color w:val="auto"/>
          <w:sz w:val="22"/>
          <w:szCs w:val="22"/>
        </w:rPr>
        <w:t>.</w:t>
      </w:r>
    </w:p>
    <w:bookmarkEnd w:id="11"/>
    <w:p w14:paraId="5EAED348" w14:textId="77777777" w:rsidR="009A26F5" w:rsidRPr="009A26F5" w:rsidRDefault="009A26F5" w:rsidP="00BD099E">
      <w:pPr>
        <w:pStyle w:val="NoSpacing"/>
        <w:ind w:left="1350"/>
        <w:outlineLvl w:val="0"/>
        <w:rPr>
          <w:color w:val="auto"/>
          <w:sz w:val="22"/>
          <w:szCs w:val="22"/>
        </w:rPr>
      </w:pPr>
    </w:p>
    <w:p w14:paraId="2A7053F1" w14:textId="1DDE1039" w:rsidR="000B0517" w:rsidRDefault="00C80CF5" w:rsidP="00142909">
      <w:pPr>
        <w:pStyle w:val="NoSpacing"/>
        <w:ind w:left="360" w:hanging="360"/>
        <w:outlineLvl w:val="0"/>
        <w:rPr>
          <w:b/>
          <w:color w:val="auto"/>
          <w:sz w:val="22"/>
          <w:szCs w:val="22"/>
        </w:rPr>
      </w:pPr>
      <w:r>
        <w:rPr>
          <w:b/>
          <w:color w:val="auto"/>
          <w:sz w:val="22"/>
          <w:szCs w:val="22"/>
        </w:rPr>
        <w:t>5</w:t>
      </w:r>
      <w:r w:rsidR="000B0517">
        <w:rPr>
          <w:b/>
          <w:color w:val="auto"/>
          <w:sz w:val="22"/>
          <w:szCs w:val="22"/>
        </w:rPr>
        <w:tab/>
        <w:t>DEFINITIONS</w:t>
      </w:r>
    </w:p>
    <w:p w14:paraId="0B884163" w14:textId="51379E49" w:rsidR="000B0517" w:rsidRPr="007F523B" w:rsidRDefault="000B0517" w:rsidP="007F523B">
      <w:pPr>
        <w:pStyle w:val="NoSpacing"/>
        <w:ind w:left="450"/>
        <w:outlineLvl w:val="0"/>
        <w:rPr>
          <w:bCs/>
          <w:color w:val="auto"/>
          <w:sz w:val="22"/>
          <w:szCs w:val="22"/>
        </w:rPr>
      </w:pPr>
    </w:p>
    <w:p w14:paraId="5DC029EA" w14:textId="7D22FF31" w:rsidR="000B0517" w:rsidRPr="007F523B" w:rsidRDefault="007F523B" w:rsidP="005573D8">
      <w:pPr>
        <w:pStyle w:val="NoSpacing"/>
        <w:ind w:left="360"/>
        <w:outlineLvl w:val="0"/>
        <w:rPr>
          <w:bCs/>
          <w:color w:val="auto"/>
          <w:sz w:val="22"/>
          <w:szCs w:val="22"/>
        </w:rPr>
      </w:pPr>
      <w:r w:rsidRPr="007F523B">
        <w:rPr>
          <w:bCs/>
          <w:color w:val="auto"/>
          <w:sz w:val="22"/>
          <w:szCs w:val="22"/>
        </w:rPr>
        <w:t xml:space="preserve">In this document, the term </w:t>
      </w:r>
      <w:r w:rsidRPr="007F523B">
        <w:rPr>
          <w:bCs/>
          <w:i/>
          <w:iCs/>
          <w:color w:val="auto"/>
          <w:sz w:val="22"/>
          <w:szCs w:val="22"/>
        </w:rPr>
        <w:t>reliance agreement</w:t>
      </w:r>
      <w:r w:rsidRPr="007F523B">
        <w:rPr>
          <w:bCs/>
          <w:color w:val="auto"/>
          <w:sz w:val="22"/>
          <w:szCs w:val="22"/>
        </w:rPr>
        <w:t xml:space="preserve"> refers to the actual reliance agreement as well as any attachments, </w:t>
      </w:r>
      <w:r>
        <w:rPr>
          <w:bCs/>
          <w:color w:val="auto"/>
          <w:sz w:val="22"/>
          <w:szCs w:val="22"/>
        </w:rPr>
        <w:t xml:space="preserve">addenda, </w:t>
      </w:r>
      <w:r w:rsidRPr="007F523B">
        <w:rPr>
          <w:bCs/>
          <w:color w:val="auto"/>
          <w:sz w:val="22"/>
          <w:szCs w:val="22"/>
        </w:rPr>
        <w:t xml:space="preserve">exhibits, and other materials such as a letter of indemnification </w:t>
      </w:r>
      <w:r w:rsidR="00C07951">
        <w:rPr>
          <w:bCs/>
          <w:color w:val="auto"/>
          <w:sz w:val="22"/>
          <w:szCs w:val="22"/>
        </w:rPr>
        <w:t xml:space="preserve">or letter or acknowledgement to rely </w:t>
      </w:r>
      <w:r w:rsidRPr="007F523B">
        <w:rPr>
          <w:bCs/>
          <w:color w:val="auto"/>
          <w:sz w:val="22"/>
          <w:szCs w:val="22"/>
        </w:rPr>
        <w:t>associated with the reliance agreement</w:t>
      </w:r>
      <w:r>
        <w:rPr>
          <w:bCs/>
          <w:color w:val="auto"/>
          <w:sz w:val="22"/>
          <w:szCs w:val="22"/>
        </w:rPr>
        <w:t>.</w:t>
      </w:r>
      <w:r w:rsidR="00C07951">
        <w:rPr>
          <w:bCs/>
          <w:color w:val="auto"/>
          <w:sz w:val="22"/>
          <w:szCs w:val="22"/>
        </w:rPr>
        <w:t xml:space="preserve"> </w:t>
      </w:r>
    </w:p>
    <w:p w14:paraId="325DACD7" w14:textId="77777777" w:rsidR="000B0517" w:rsidRDefault="000B0517" w:rsidP="00142909">
      <w:pPr>
        <w:pStyle w:val="NoSpacing"/>
        <w:ind w:left="360" w:hanging="360"/>
        <w:outlineLvl w:val="0"/>
        <w:rPr>
          <w:b/>
          <w:color w:val="auto"/>
          <w:sz w:val="22"/>
          <w:szCs w:val="22"/>
        </w:rPr>
      </w:pPr>
    </w:p>
    <w:p w14:paraId="0CCEF76E" w14:textId="4CA029D8" w:rsidR="00142909" w:rsidRDefault="005573D8" w:rsidP="00142909">
      <w:pPr>
        <w:pStyle w:val="NoSpacing"/>
        <w:ind w:left="360" w:hanging="360"/>
        <w:outlineLvl w:val="0"/>
        <w:rPr>
          <w:b/>
          <w:color w:val="auto"/>
          <w:sz w:val="22"/>
          <w:szCs w:val="22"/>
        </w:rPr>
      </w:pPr>
      <w:r>
        <w:rPr>
          <w:b/>
          <w:color w:val="auto"/>
          <w:sz w:val="22"/>
          <w:szCs w:val="22"/>
        </w:rPr>
        <w:t>6</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C80CF5">
      <w:pPr>
        <w:pStyle w:val="NoSpacing"/>
        <w:ind w:left="450" w:hanging="360"/>
        <w:outlineLvl w:val="0"/>
        <w:rPr>
          <w:color w:val="auto"/>
          <w:sz w:val="22"/>
          <w:szCs w:val="22"/>
        </w:rPr>
      </w:pPr>
    </w:p>
    <w:p w14:paraId="1DB66628" w14:textId="77777777" w:rsidR="00C81EB4" w:rsidRDefault="00C81EB4" w:rsidP="00C81EB4">
      <w:pPr>
        <w:spacing w:after="0"/>
        <w:ind w:left="360"/>
      </w:pPr>
      <w:bookmarkStart w:id="12" w:name="OLE_LINK1"/>
      <w:r>
        <w:t>SOP Reliance Insurance and Indemnification</w:t>
      </w:r>
    </w:p>
    <w:p w14:paraId="50434D54" w14:textId="77777777" w:rsidR="00C81EB4" w:rsidRDefault="00C81EB4" w:rsidP="00C81EB4">
      <w:pPr>
        <w:spacing w:after="0"/>
        <w:ind w:left="360"/>
      </w:pPr>
      <w:hyperlink r:id="rId14" w:history="1">
        <w:r w:rsidRPr="009B3C95">
          <w:rPr>
            <w:rStyle w:val="Hyperlink"/>
          </w:rPr>
          <w:t>SUPPLEMENT Multi-site and Collaborative Research</w:t>
        </w:r>
      </w:hyperlink>
    </w:p>
    <w:p w14:paraId="40FA6229" w14:textId="77777777" w:rsidR="00C81EB4" w:rsidRDefault="00C81EB4" w:rsidP="00C81EB4">
      <w:pPr>
        <w:spacing w:after="0"/>
        <w:ind w:left="360"/>
      </w:pPr>
      <w:hyperlink r:id="rId15" w:history="1">
        <w:r w:rsidRPr="009B3C95">
          <w:rPr>
            <w:rStyle w:val="Hyperlink"/>
          </w:rPr>
          <w:t>SUPPLEMENT Non-UW Individual Investigators</w:t>
        </w:r>
      </w:hyperlink>
    </w:p>
    <w:p w14:paraId="20A3630B" w14:textId="77777777" w:rsidR="00166319" w:rsidRPr="00A92176" w:rsidRDefault="00166319" w:rsidP="00C81EB4">
      <w:pPr>
        <w:pStyle w:val="NoSpacing"/>
        <w:ind w:left="360"/>
        <w:rPr>
          <w:color w:val="auto"/>
          <w:sz w:val="22"/>
          <w:szCs w:val="22"/>
        </w:rPr>
      </w:pPr>
      <w:r w:rsidRPr="00A92176">
        <w:rPr>
          <w:color w:val="auto"/>
          <w:sz w:val="22"/>
          <w:szCs w:val="22"/>
        </w:rPr>
        <w:t>TEMPLATE Non-Assured Institution Agreement</w:t>
      </w:r>
    </w:p>
    <w:p w14:paraId="371B6A79" w14:textId="77777777" w:rsidR="00166319" w:rsidRPr="00C80CF5" w:rsidRDefault="00166319" w:rsidP="00C81EB4">
      <w:pPr>
        <w:pStyle w:val="NoSpacing"/>
        <w:ind w:left="360"/>
        <w:rPr>
          <w:color w:val="auto"/>
          <w:sz w:val="22"/>
          <w:szCs w:val="22"/>
        </w:rPr>
      </w:pPr>
      <w:r w:rsidRPr="00C80CF5">
        <w:rPr>
          <w:color w:val="auto"/>
          <w:sz w:val="22"/>
          <w:szCs w:val="22"/>
        </w:rPr>
        <w:t>TEMPLATE Non-UW Investigator Agreement</w:t>
      </w:r>
    </w:p>
    <w:p w14:paraId="536D6BAD" w14:textId="77777777" w:rsidR="00166319" w:rsidRPr="00C80CF5" w:rsidRDefault="00166319" w:rsidP="00C81EB4">
      <w:pPr>
        <w:pStyle w:val="NoSpacing"/>
        <w:ind w:left="360"/>
        <w:rPr>
          <w:color w:val="auto"/>
          <w:sz w:val="22"/>
          <w:szCs w:val="22"/>
        </w:rPr>
      </w:pPr>
      <w:r w:rsidRPr="00C80CF5">
        <w:rPr>
          <w:color w:val="auto"/>
          <w:sz w:val="22"/>
          <w:szCs w:val="22"/>
        </w:rPr>
        <w:t>TEMPLATE Study Specific Reliance Agreement Full</w:t>
      </w:r>
    </w:p>
    <w:p w14:paraId="27C89C3F" w14:textId="77777777" w:rsidR="00166319" w:rsidRPr="00C80CF5" w:rsidRDefault="00166319" w:rsidP="00C81EB4">
      <w:pPr>
        <w:pStyle w:val="NoSpacing"/>
        <w:ind w:left="360"/>
        <w:rPr>
          <w:color w:val="auto"/>
          <w:sz w:val="22"/>
          <w:szCs w:val="22"/>
        </w:rPr>
      </w:pPr>
      <w:r w:rsidRPr="00C80CF5">
        <w:rPr>
          <w:color w:val="auto"/>
          <w:sz w:val="22"/>
          <w:szCs w:val="22"/>
        </w:rPr>
        <w:t>TEMPLATE Study Specific Reliance Agreement Basic</w:t>
      </w:r>
    </w:p>
    <w:p w14:paraId="74191EFD" w14:textId="66835F4D" w:rsidR="00DA4CA5" w:rsidRDefault="00166319" w:rsidP="00C81EB4">
      <w:pPr>
        <w:pStyle w:val="NoSpacing"/>
        <w:ind w:left="360"/>
        <w:rPr>
          <w:color w:val="auto"/>
          <w:sz w:val="22"/>
          <w:szCs w:val="22"/>
        </w:rPr>
      </w:pPr>
      <w:r w:rsidRPr="00C80CF5">
        <w:rPr>
          <w:color w:val="auto"/>
          <w:sz w:val="22"/>
          <w:szCs w:val="22"/>
        </w:rPr>
        <w:t>TEMPLATE Study Specific Reliance Plan</w:t>
      </w:r>
      <w:r w:rsidR="00DA4CA5">
        <w:rPr>
          <w:color w:val="auto"/>
          <w:sz w:val="22"/>
          <w:szCs w:val="22"/>
        </w:rPr>
        <w:t xml:space="preserve"> (SSRP)</w:t>
      </w:r>
    </w:p>
    <w:p w14:paraId="561EF2E7" w14:textId="725AB7B5" w:rsidR="00166319" w:rsidRPr="00C80CF5" w:rsidRDefault="00DA4CA5" w:rsidP="00C81EB4">
      <w:pPr>
        <w:pStyle w:val="NoSpacing"/>
        <w:ind w:left="360"/>
        <w:rPr>
          <w:color w:val="auto"/>
          <w:sz w:val="22"/>
          <w:szCs w:val="22"/>
        </w:rPr>
      </w:pPr>
      <w:r w:rsidRPr="00DA4CA5">
        <w:rPr>
          <w:color w:val="auto"/>
          <w:sz w:val="22"/>
          <w:szCs w:val="22"/>
        </w:rPr>
        <w:t>TEMPLATE Transfer Plan UW and Non-UW IRB</w:t>
      </w:r>
    </w:p>
    <w:p w14:paraId="3235C3CE" w14:textId="17A6A9EC" w:rsidR="009F0B7A" w:rsidRDefault="009F0B7A" w:rsidP="00C81EB4">
      <w:pPr>
        <w:pStyle w:val="NoSpacing"/>
        <w:ind w:left="360"/>
        <w:rPr>
          <w:color w:val="auto"/>
          <w:sz w:val="22"/>
          <w:szCs w:val="22"/>
        </w:rPr>
      </w:pPr>
      <w:hyperlink r:id="rId16" w:history="1">
        <w:r w:rsidRPr="009F0B7A">
          <w:rPr>
            <w:rStyle w:val="Hyperlink"/>
            <w:sz w:val="22"/>
            <w:szCs w:val="22"/>
          </w:rPr>
          <w:t>WEBPAGE Engagement Guidance</w:t>
        </w:r>
      </w:hyperlink>
    </w:p>
    <w:p w14:paraId="076B795B" w14:textId="34DA3526" w:rsidR="00C80CF5" w:rsidRPr="00C80CF5" w:rsidRDefault="00C80CF5" w:rsidP="00C81EB4">
      <w:pPr>
        <w:pStyle w:val="NoSpacing"/>
        <w:ind w:left="360"/>
        <w:rPr>
          <w:color w:val="auto"/>
          <w:sz w:val="22"/>
          <w:szCs w:val="22"/>
        </w:rPr>
      </w:pPr>
      <w:r w:rsidRPr="00C80CF5">
        <w:rPr>
          <w:color w:val="auto"/>
          <w:sz w:val="22"/>
          <w:szCs w:val="22"/>
        </w:rPr>
        <w:t>WORKSHEET Internal Reliance Agreements</w:t>
      </w:r>
    </w:p>
    <w:p w14:paraId="411B5D4B" w14:textId="0DB14F20" w:rsidR="00C80CF5" w:rsidRPr="00C80CF5" w:rsidRDefault="00C80CF5" w:rsidP="00C81EB4">
      <w:pPr>
        <w:pStyle w:val="NoSpacing"/>
        <w:ind w:left="360"/>
        <w:rPr>
          <w:color w:val="auto"/>
          <w:sz w:val="22"/>
          <w:szCs w:val="22"/>
        </w:rPr>
      </w:pPr>
      <w:r w:rsidRPr="00C80CF5">
        <w:rPr>
          <w:color w:val="auto"/>
          <w:sz w:val="22"/>
          <w:szCs w:val="22"/>
        </w:rPr>
        <w:t xml:space="preserve">WORKSHEET Non-UW Investigator Agreements </w:t>
      </w:r>
    </w:p>
    <w:p w14:paraId="51D6D9CA" w14:textId="2425C638" w:rsidR="00C80CF5" w:rsidRPr="00C80CF5" w:rsidRDefault="00C80CF5" w:rsidP="00C81EB4">
      <w:pPr>
        <w:pStyle w:val="NoSpacing"/>
        <w:ind w:left="360"/>
        <w:rPr>
          <w:color w:val="auto"/>
          <w:sz w:val="22"/>
          <w:szCs w:val="22"/>
        </w:rPr>
      </w:pPr>
      <w:r w:rsidRPr="00C80CF5">
        <w:rPr>
          <w:color w:val="auto"/>
          <w:sz w:val="22"/>
          <w:szCs w:val="22"/>
        </w:rPr>
        <w:t>WORKSHEET Non-Assured Institution Agreements</w:t>
      </w:r>
    </w:p>
    <w:p w14:paraId="1C7A8811" w14:textId="77777777" w:rsidR="00166319" w:rsidRPr="00C80CF5" w:rsidRDefault="00166319" w:rsidP="00C81EB4">
      <w:pPr>
        <w:pStyle w:val="NoSpacing"/>
        <w:ind w:left="360"/>
        <w:rPr>
          <w:color w:val="auto"/>
          <w:sz w:val="22"/>
          <w:szCs w:val="22"/>
        </w:rPr>
      </w:pPr>
      <w:r w:rsidRPr="00C80CF5">
        <w:rPr>
          <w:color w:val="auto"/>
          <w:sz w:val="22"/>
          <w:szCs w:val="22"/>
        </w:rPr>
        <w:t>WORKSHEET Team S Engagement Assessment</w:t>
      </w:r>
    </w:p>
    <w:bookmarkEnd w:id="12"/>
    <w:p w14:paraId="2ADF0298" w14:textId="01B1F663" w:rsidR="00142909" w:rsidRDefault="00142909" w:rsidP="00142909">
      <w:pPr>
        <w:pStyle w:val="NoSpacing"/>
        <w:outlineLvl w:val="0"/>
        <w:rPr>
          <w:color w:val="auto"/>
          <w:sz w:val="22"/>
          <w:szCs w:val="22"/>
        </w:rPr>
      </w:pPr>
    </w:p>
    <w:p w14:paraId="4873579C" w14:textId="256898F1" w:rsidR="00142909" w:rsidRDefault="00166319" w:rsidP="1301FCCD">
      <w:pPr>
        <w:pStyle w:val="NoSpacing"/>
        <w:ind w:left="360" w:hanging="360"/>
        <w:outlineLvl w:val="0"/>
        <w:rPr>
          <w:b/>
          <w:bCs/>
          <w:color w:val="auto"/>
          <w:sz w:val="22"/>
          <w:szCs w:val="22"/>
        </w:rPr>
      </w:pPr>
      <w:r>
        <w:rPr>
          <w:b/>
          <w:bCs/>
          <w:color w:val="auto"/>
          <w:sz w:val="22"/>
          <w:szCs w:val="22"/>
        </w:rPr>
        <w:t>7</w:t>
      </w:r>
      <w:r w:rsidR="00142909" w:rsidRPr="1301FCCD">
        <w:rPr>
          <w:b/>
          <w:bCs/>
          <w:color w:val="auto"/>
          <w:sz w:val="22"/>
          <w:szCs w:val="22"/>
        </w:rPr>
        <w:t xml:space="preserve"> </w:t>
      </w:r>
      <w:r w:rsidR="00142909" w:rsidRPr="00CD274A">
        <w:rPr>
          <w:b/>
          <w:color w:val="auto"/>
          <w:sz w:val="22"/>
          <w:szCs w:val="22"/>
        </w:rPr>
        <w:tab/>
      </w:r>
      <w:r w:rsidR="00142909" w:rsidRPr="1301FCCD">
        <w:rPr>
          <w:b/>
          <w:bCs/>
          <w:color w:val="auto"/>
          <w:sz w:val="22"/>
          <w:szCs w:val="22"/>
        </w:rPr>
        <w:t>REGULATORY REFERENCES</w:t>
      </w:r>
      <w:r w:rsidR="000406B3" w:rsidRPr="1301FCCD">
        <w:rPr>
          <w:b/>
          <w:bCs/>
          <w:color w:val="auto"/>
          <w:sz w:val="22"/>
          <w:szCs w:val="22"/>
        </w:rPr>
        <w:t xml:space="preserve"> </w:t>
      </w:r>
    </w:p>
    <w:p w14:paraId="0BF4E613" w14:textId="77777777" w:rsidR="00142909" w:rsidRDefault="00142909" w:rsidP="00142909">
      <w:pPr>
        <w:pStyle w:val="NoSpacing"/>
        <w:ind w:left="360" w:hanging="360"/>
        <w:outlineLvl w:val="0"/>
        <w:rPr>
          <w:color w:val="auto"/>
          <w:sz w:val="22"/>
          <w:szCs w:val="22"/>
        </w:rPr>
      </w:pPr>
    </w:p>
    <w:p w14:paraId="72B1E481" w14:textId="4B7071BE" w:rsidR="00C80CF5" w:rsidRPr="00C80CF5" w:rsidRDefault="00C80CF5" w:rsidP="00166319">
      <w:pPr>
        <w:pStyle w:val="NoSpacing"/>
        <w:ind w:left="630" w:hanging="270"/>
        <w:outlineLvl w:val="0"/>
        <w:rPr>
          <w:color w:val="auto"/>
          <w:sz w:val="22"/>
          <w:szCs w:val="22"/>
        </w:rPr>
      </w:pPr>
      <w:r w:rsidRPr="00C80CF5">
        <w:rPr>
          <w:color w:val="auto"/>
          <w:sz w:val="22"/>
          <w:szCs w:val="22"/>
        </w:rPr>
        <w:t>F</w:t>
      </w:r>
      <w:r>
        <w:rPr>
          <w:color w:val="auto"/>
          <w:sz w:val="22"/>
          <w:szCs w:val="22"/>
        </w:rPr>
        <w:t>D</w:t>
      </w:r>
      <w:r w:rsidRPr="00C80CF5">
        <w:rPr>
          <w:color w:val="auto"/>
          <w:sz w:val="22"/>
          <w:szCs w:val="22"/>
        </w:rPr>
        <w:t>A Guidance: Using a Centralized IRB Review Process in Multicenter Clinical Trials</w:t>
      </w:r>
      <w:r>
        <w:rPr>
          <w:color w:val="auto"/>
          <w:sz w:val="22"/>
          <w:szCs w:val="22"/>
        </w:rPr>
        <w:t xml:space="preserve"> </w:t>
      </w:r>
      <w:r w:rsidRPr="00C80CF5">
        <w:rPr>
          <w:color w:val="auto"/>
          <w:sz w:val="22"/>
          <w:szCs w:val="22"/>
        </w:rPr>
        <w:t>https://www.fda.gov/regulatoryinformation/guidances/ucm127004.htm</w:t>
      </w:r>
    </w:p>
    <w:p w14:paraId="2D9826AB" w14:textId="6BB239B7" w:rsidR="00C80CF5" w:rsidRPr="00C80CF5" w:rsidRDefault="00C80CF5" w:rsidP="00166319">
      <w:pPr>
        <w:pStyle w:val="NoSpacing"/>
        <w:ind w:left="630" w:hanging="270"/>
        <w:outlineLvl w:val="0"/>
        <w:rPr>
          <w:color w:val="auto"/>
          <w:sz w:val="22"/>
          <w:szCs w:val="22"/>
        </w:rPr>
      </w:pPr>
      <w:r w:rsidRPr="00C80CF5">
        <w:rPr>
          <w:color w:val="auto"/>
          <w:sz w:val="22"/>
          <w:szCs w:val="22"/>
        </w:rPr>
        <w:t>TITLE 45 CODE OF FEDERAL REGULATIONS Part 46, 2018 Requirement (The Common Rule)</w:t>
      </w:r>
    </w:p>
    <w:p w14:paraId="41104710" w14:textId="1F80CF53" w:rsidR="00C80CF5" w:rsidRPr="00C80CF5" w:rsidRDefault="00C80CF5" w:rsidP="00166319">
      <w:pPr>
        <w:pStyle w:val="NoSpacing"/>
        <w:ind w:left="630" w:hanging="270"/>
        <w:outlineLvl w:val="0"/>
        <w:rPr>
          <w:color w:val="auto"/>
          <w:sz w:val="22"/>
          <w:szCs w:val="22"/>
        </w:rPr>
      </w:pPr>
      <w:r w:rsidRPr="00C80CF5">
        <w:rPr>
          <w:color w:val="auto"/>
          <w:sz w:val="22"/>
          <w:szCs w:val="22"/>
        </w:rPr>
        <w:t>SACHRP Guidance, Attachment A: Initial Considerations for Single IRB Review: Points to Consider https://www.hhs.gov/ohrp/sachrp-committee/recommendations/attachment-a-november-2-2016-letter/index.html</w:t>
      </w:r>
    </w:p>
    <w:p w14:paraId="2882FB98" w14:textId="785F22C3" w:rsidR="00C80CF5" w:rsidRPr="00C80CF5" w:rsidRDefault="00C80CF5" w:rsidP="00166319">
      <w:pPr>
        <w:pStyle w:val="NoSpacing"/>
        <w:ind w:left="630" w:hanging="270"/>
        <w:outlineLvl w:val="0"/>
        <w:rPr>
          <w:color w:val="auto"/>
          <w:sz w:val="22"/>
          <w:szCs w:val="22"/>
        </w:rPr>
      </w:pPr>
      <w:r w:rsidRPr="00C80CF5">
        <w:rPr>
          <w:color w:val="auto"/>
          <w:sz w:val="22"/>
          <w:szCs w:val="22"/>
        </w:rPr>
        <w:t xml:space="preserve">OHRP sample authorization agreement https://www.hhs.gov/ohrp/register-irbs-and-obtain-fwas/forms/irb-authorization-agreement/index.html </w:t>
      </w:r>
    </w:p>
    <w:p w14:paraId="43FAB456" w14:textId="5C47ABEA" w:rsidR="00C80CF5" w:rsidRPr="00C80CF5" w:rsidRDefault="00C80CF5" w:rsidP="00166319">
      <w:pPr>
        <w:pStyle w:val="NoSpacing"/>
        <w:ind w:left="630" w:hanging="270"/>
        <w:outlineLvl w:val="0"/>
        <w:rPr>
          <w:color w:val="auto"/>
          <w:sz w:val="22"/>
          <w:szCs w:val="22"/>
        </w:rPr>
      </w:pPr>
      <w:r w:rsidRPr="00C80CF5">
        <w:rPr>
          <w:color w:val="auto"/>
          <w:sz w:val="22"/>
          <w:szCs w:val="22"/>
        </w:rPr>
        <w:t xml:space="preserve">OHRP, “Consideration in Transferring a Previously-Approved Research Project to a New IRB or Research Institution”, draft guidance; May 23, 2012. https://www.hhs.gov/ohrp/regulations-and-policy/requests-for-comments/draft-transfer-document/index.html </w:t>
      </w:r>
    </w:p>
    <w:p w14:paraId="03E510FA" w14:textId="0D370017" w:rsidR="00C80CF5" w:rsidRPr="00C80CF5" w:rsidRDefault="00C80CF5" w:rsidP="00166319">
      <w:pPr>
        <w:pStyle w:val="NoSpacing"/>
        <w:ind w:left="630" w:hanging="270"/>
        <w:outlineLvl w:val="0"/>
        <w:rPr>
          <w:color w:val="auto"/>
          <w:sz w:val="22"/>
          <w:szCs w:val="22"/>
        </w:rPr>
      </w:pPr>
      <w:r w:rsidRPr="00C80CF5">
        <w:rPr>
          <w:color w:val="auto"/>
          <w:sz w:val="22"/>
          <w:szCs w:val="22"/>
        </w:rPr>
        <w:t>FDA, “Guidance for IRBs, Clinical Investigators, and Sponsors:  Considerations When Transferring Clinical Investigation Oversight to Another IRB”, May 2014. https://www.fda.gov/downloads/regulatoryinformation/guidances/ucm307779.pdf</w:t>
      </w:r>
    </w:p>
    <w:p w14:paraId="4CD0BC7E" w14:textId="3F34700D" w:rsidR="00142909" w:rsidRDefault="00C80CF5" w:rsidP="00166319">
      <w:pPr>
        <w:pStyle w:val="NoSpacing"/>
        <w:ind w:left="630" w:hanging="270"/>
        <w:outlineLvl w:val="0"/>
        <w:rPr>
          <w:color w:val="auto"/>
          <w:sz w:val="22"/>
          <w:szCs w:val="22"/>
        </w:rPr>
      </w:pPr>
      <w:r w:rsidRPr="00C80CF5">
        <w:rPr>
          <w:color w:val="auto"/>
          <w:sz w:val="22"/>
          <w:szCs w:val="22"/>
        </w:rPr>
        <w:t xml:space="preserve">OHRP, Determination of Exception for Certain HHS-Conducted or -Supported Cooperative Research Activities Subject to the 2018 Requirements. </w:t>
      </w:r>
      <w:hyperlink r:id="rId17" w:history="1">
        <w:r w:rsidR="00973011" w:rsidRPr="00ED5BFB">
          <w:rPr>
            <w:rStyle w:val="Hyperlink"/>
            <w:sz w:val="22"/>
            <w:szCs w:val="22"/>
          </w:rPr>
          <w:t>https://www.hhs.gov/ohrp/regulations-and-policy/single-irb-requirement/114b-exception1/index.html</w:t>
        </w:r>
      </w:hyperlink>
    </w:p>
    <w:p w14:paraId="48A841BE" w14:textId="4EF16A67" w:rsidR="00973011" w:rsidRDefault="00973011" w:rsidP="00166319">
      <w:pPr>
        <w:pStyle w:val="NoSpacing"/>
        <w:ind w:left="630" w:hanging="270"/>
        <w:outlineLvl w:val="0"/>
        <w:rPr>
          <w:color w:val="auto"/>
          <w:sz w:val="22"/>
          <w:szCs w:val="22"/>
        </w:rPr>
      </w:pPr>
      <w:bookmarkStart w:id="13" w:name="_Hlk141168562"/>
      <w:r>
        <w:rPr>
          <w:color w:val="auto"/>
          <w:sz w:val="22"/>
          <w:szCs w:val="22"/>
        </w:rPr>
        <w:t xml:space="preserve">Vice Provost for Research Delegation of Authority </w:t>
      </w:r>
      <w:r w:rsidR="00BF445D">
        <w:rPr>
          <w:color w:val="auto"/>
          <w:sz w:val="22"/>
          <w:szCs w:val="22"/>
        </w:rPr>
        <w:t>for Establishing Reliance Agreements Memo</w:t>
      </w:r>
      <w:r>
        <w:rPr>
          <w:color w:val="auto"/>
          <w:sz w:val="22"/>
          <w:szCs w:val="22"/>
        </w:rPr>
        <w:t>, April 4, 2023</w:t>
      </w:r>
    </w:p>
    <w:bookmarkEnd w:id="13"/>
    <w:p w14:paraId="09C1F33E" w14:textId="77777777" w:rsidR="00402916" w:rsidRDefault="00402916" w:rsidP="0014290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B9263B" w:rsidRPr="00ED134C" w14:paraId="237E37BD" w14:textId="77777777" w:rsidTr="73CF509B">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6C802FC0">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E91C88" w:rsidRPr="00D26748" w14:paraId="5908E830"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70AE9" w14:textId="76AD48D6" w:rsidR="00E91C88" w:rsidRDefault="00E91C88"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A6AFB" w14:textId="70590D53" w:rsidR="00E91C88" w:rsidRDefault="00B26510"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08.2</w:t>
            </w:r>
            <w:r w:rsidR="00F067AB">
              <w:rPr>
                <w:rFonts w:ascii="Calibri" w:eastAsiaTheme="majorEastAsia" w:hAnsi="Calibri" w:cstheme="majorBidi"/>
                <w:color w:val="auto"/>
                <w:sz w:val="22"/>
                <w:szCs w:val="22"/>
              </w:rPr>
              <w:t>9</w:t>
            </w:r>
            <w:r>
              <w:rPr>
                <w:rFonts w:ascii="Calibri" w:eastAsiaTheme="majorEastAsia" w:hAnsi="Calibri" w:cstheme="majorBidi"/>
                <w:color w:val="auto"/>
                <w:sz w:val="22"/>
                <w:szCs w:val="22"/>
              </w:rPr>
              <w:t>.2025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6ECF6" w14:textId="5FF84B30" w:rsidR="00E91C88" w:rsidRDefault="00B26510"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08.2</w:t>
            </w:r>
            <w:r w:rsidR="00F067AB">
              <w:rPr>
                <w:rFonts w:ascii="Calibri" w:eastAsiaTheme="majorEastAsia" w:hAnsi="Calibri" w:cstheme="majorBidi"/>
                <w:color w:val="auto"/>
                <w:sz w:val="22"/>
                <w:szCs w:val="26"/>
              </w:rPr>
              <w:t>9</w:t>
            </w:r>
            <w:r>
              <w:rPr>
                <w:rFonts w:ascii="Calibri" w:eastAsiaTheme="majorEastAsia" w:hAnsi="Calibri" w:cstheme="majorBidi"/>
                <w:color w:val="auto"/>
                <w:sz w:val="22"/>
                <w:szCs w:val="26"/>
              </w:rPr>
              <w:t>.2025</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D61AD" w14:textId="013C4DA1" w:rsidR="00E91C88" w:rsidRDefault="00E91C88" w:rsidP="008225EB">
            <w:pPr>
              <w:rPr>
                <w:rFonts w:ascii="Calibri" w:hAnsi="Calibri" w:cs="Calibri"/>
                <w:color w:val="000000"/>
              </w:rPr>
            </w:pPr>
            <w:r>
              <w:rPr>
                <w:rFonts w:ascii="Calibri" w:hAnsi="Calibri" w:cs="Calibri"/>
                <w:color w:val="000000"/>
              </w:rPr>
              <w:t>Add information</w:t>
            </w:r>
            <w:r w:rsidR="00F95460">
              <w:rPr>
                <w:rFonts w:ascii="Calibri" w:hAnsi="Calibri" w:cs="Calibri"/>
                <w:color w:val="000000"/>
              </w:rPr>
              <w:t xml:space="preserve"> about withdrawal of reliance and use of SMART for exemptions.</w:t>
            </w:r>
          </w:p>
        </w:tc>
      </w:tr>
      <w:tr w:rsidR="001B3FD0" w:rsidRPr="00D26748" w14:paraId="5A51F293"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A283B" w14:textId="0C71C42B" w:rsidR="001B3FD0" w:rsidRDefault="001B3FD0"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65A04" w14:textId="0518F2D2" w:rsidR="001B3FD0" w:rsidRDefault="001B3FD0"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11.26.2024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82B96" w14:textId="0FCDE3E5" w:rsidR="001B3FD0" w:rsidRDefault="001B3FD0"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11.26.2024</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CF50E" w14:textId="468E431F" w:rsidR="001B3FD0" w:rsidRPr="008225EB" w:rsidRDefault="001B3FD0" w:rsidP="008225EB">
            <w:pPr>
              <w:rPr>
                <w:rFonts w:ascii="Calibri" w:hAnsi="Calibri" w:cs="Calibri"/>
                <w:color w:val="000000"/>
              </w:rPr>
            </w:pPr>
            <w:r>
              <w:rPr>
                <w:rFonts w:ascii="Calibri" w:hAnsi="Calibri" w:cs="Calibri"/>
                <w:color w:val="000000"/>
              </w:rPr>
              <w:t>Update reference for retired SOP Use of the UW IRB</w:t>
            </w:r>
          </w:p>
        </w:tc>
      </w:tr>
      <w:tr w:rsidR="00A92176" w:rsidRPr="00D26748" w14:paraId="58EB305A"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2DFC8" w14:textId="37F946B1" w:rsidR="00A92176" w:rsidRDefault="00A92176"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FA983" w14:textId="3349EE64" w:rsidR="00A92176" w:rsidRDefault="00E81553"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09.26.2024</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66E6B9" w14:textId="7546256C" w:rsidR="00A92176" w:rsidRDefault="00E81553"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09.26.2024</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AE39C7" w14:textId="2F0F156F" w:rsidR="00A92176" w:rsidRDefault="00A92176"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 xml:space="preserve">Add information about SOP Reliance Insurance and </w:t>
            </w:r>
            <w:r w:rsidR="00E81553">
              <w:rPr>
                <w:rFonts w:ascii="Calibri" w:eastAsiaTheme="majorEastAsia" w:hAnsi="Calibri" w:cstheme="majorBidi"/>
                <w:color w:val="auto"/>
                <w:sz w:val="22"/>
                <w:szCs w:val="26"/>
              </w:rPr>
              <w:t>Indemnification</w:t>
            </w:r>
          </w:p>
        </w:tc>
      </w:tr>
      <w:tr w:rsidR="0055035C" w:rsidRPr="00D26748" w14:paraId="6E9E300D"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EF19A" w14:textId="0DB78C1A" w:rsidR="0055035C" w:rsidRDefault="0055035C"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78906" w14:textId="3F9FA49E" w:rsidR="0055035C" w:rsidRDefault="00B905CC"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11.02.2023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06A1F" w14:textId="49C1BD85" w:rsidR="0055035C" w:rsidRDefault="00B905CC"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11.02.2023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3F0EB" w14:textId="3F39D199" w:rsidR="0055035C" w:rsidRDefault="0055035C"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Revise information about transfers</w:t>
            </w:r>
          </w:p>
        </w:tc>
      </w:tr>
      <w:tr w:rsidR="003E557F" w:rsidRPr="00D26748" w14:paraId="64867D8B"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B9291" w14:textId="1A331D28" w:rsidR="003E557F" w:rsidRDefault="003E557F"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2BF8E" w14:textId="54C7C4AA" w:rsidR="003E557F" w:rsidRDefault="003E557F"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07.27.2023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BA697" w14:textId="5FBAE672" w:rsidR="003E557F" w:rsidRDefault="003E557F"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07.27.2023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2E05F" w14:textId="4592338F" w:rsidR="003E557F" w:rsidRDefault="003E557F"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statement that when another institution relies of UW IRB for</w:t>
            </w:r>
            <w:r w:rsidR="00B66806">
              <w:rPr>
                <w:rFonts w:ascii="Calibri" w:eastAsiaTheme="majorEastAsia" w:hAnsi="Calibri" w:cstheme="majorBidi"/>
                <w:color w:val="auto"/>
                <w:sz w:val="22"/>
                <w:szCs w:val="26"/>
              </w:rPr>
              <w:t xml:space="preserve"> </w:t>
            </w:r>
            <w:r>
              <w:rPr>
                <w:rFonts w:ascii="Calibri" w:eastAsiaTheme="majorEastAsia" w:hAnsi="Calibri" w:cstheme="majorBidi"/>
                <w:color w:val="auto"/>
                <w:sz w:val="22"/>
                <w:szCs w:val="26"/>
              </w:rPr>
              <w:t>LIRB, the reliance must be documented in the standard way</w:t>
            </w:r>
          </w:p>
        </w:tc>
      </w:tr>
      <w:tr w:rsidR="00B9263B" w:rsidRPr="00D26748" w14:paraId="5E989F9C"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28A845C3" w:rsidR="00B9263B" w:rsidRPr="00135B00" w:rsidRDefault="63A4BE2B" w:rsidP="73CF509B">
            <w:pPr>
              <w:pStyle w:val="NoSpacing"/>
              <w:jc w:val="center"/>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Previous versions</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77777777" w:rsidR="00B9263B" w:rsidRPr="00135B00" w:rsidRDefault="00B9263B" w:rsidP="00135B00">
            <w:pPr>
              <w:pStyle w:val="NoSpacing"/>
              <w:jc w:val="center"/>
              <w:rPr>
                <w:rFonts w:ascii="Calibri" w:eastAsiaTheme="majorEastAsia" w:hAnsi="Calibri" w:cstheme="majorBidi"/>
                <w:color w:val="000000" w:themeColor="text1"/>
                <w:sz w:val="22"/>
                <w:szCs w:val="26"/>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77777777" w:rsidR="00B9263B" w:rsidRPr="00135B00" w:rsidRDefault="00B9263B" w:rsidP="00135B00">
            <w:pPr>
              <w:pStyle w:val="NoSpacing"/>
              <w:jc w:val="center"/>
              <w:rPr>
                <w:rFonts w:ascii="Calibri" w:eastAsiaTheme="majorEastAsia" w:hAnsi="Calibri" w:cstheme="majorBidi"/>
                <w:color w:val="000000" w:themeColor="text1"/>
                <w:sz w:val="22"/>
                <w:szCs w:val="26"/>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5BF076EF" w:rsidR="00B9263B" w:rsidRPr="00135B00" w:rsidRDefault="63A4BE2B" w:rsidP="73CF509B">
            <w:pPr>
              <w:pStyle w:val="NoSpacing"/>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18">
              <w:r w:rsidRPr="73CF509B">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 xml:space="preserve">. </w:t>
            </w:r>
          </w:p>
        </w:tc>
      </w:tr>
    </w:tbl>
    <w:p w14:paraId="246B70C4" w14:textId="69615D97" w:rsidR="5B00709C" w:rsidRDefault="6647F9B2" w:rsidP="00733A43">
      <w:pPr>
        <w:spacing w:before="160"/>
      </w:pPr>
      <w:r w:rsidRPr="006D09D3">
        <w:rPr>
          <w:rFonts w:ascii="Calibri" w:eastAsia="Calibri" w:hAnsi="Calibri" w:cs="Calibri"/>
          <w:b/>
          <w:bCs/>
          <w:sz w:val="18"/>
          <w:szCs w:val="18"/>
        </w:rPr>
        <w:t>Key</w:t>
      </w:r>
      <w:r w:rsidR="003E557F">
        <w:rPr>
          <w:rFonts w:ascii="Calibri" w:eastAsia="Calibri" w:hAnsi="Calibri" w:cs="Calibri"/>
          <w:b/>
          <w:bCs/>
          <w:sz w:val="18"/>
          <w:szCs w:val="18"/>
        </w:rPr>
        <w:t>w</w:t>
      </w:r>
      <w:r w:rsidRPr="006D09D3">
        <w:rPr>
          <w:rFonts w:ascii="Calibri" w:eastAsia="Calibri" w:hAnsi="Calibri" w:cs="Calibri"/>
          <w:b/>
          <w:bCs/>
          <w:sz w:val="18"/>
          <w:szCs w:val="18"/>
        </w:rPr>
        <w:t>ords:</w:t>
      </w:r>
      <w:r w:rsidR="00C80CF5">
        <w:rPr>
          <w:rFonts w:ascii="Calibri" w:eastAsia="Calibri" w:hAnsi="Calibri" w:cs="Calibri"/>
          <w:sz w:val="18"/>
          <w:szCs w:val="18"/>
        </w:rPr>
        <w:t xml:space="preserve"> Internal </w:t>
      </w:r>
      <w:r w:rsidR="002021A0">
        <w:rPr>
          <w:rFonts w:ascii="Calibri" w:eastAsia="Calibri" w:hAnsi="Calibri" w:cs="Calibri"/>
          <w:sz w:val="18"/>
          <w:szCs w:val="18"/>
        </w:rPr>
        <w:t>r</w:t>
      </w:r>
      <w:r w:rsidR="00C80CF5">
        <w:rPr>
          <w:rFonts w:ascii="Calibri" w:eastAsia="Calibri" w:hAnsi="Calibri" w:cs="Calibri"/>
          <w:sz w:val="18"/>
          <w:szCs w:val="18"/>
        </w:rPr>
        <w:t xml:space="preserve">eliance, </w:t>
      </w:r>
      <w:r w:rsidR="00DE533D">
        <w:rPr>
          <w:sz w:val="18"/>
          <w:szCs w:val="18"/>
        </w:rPr>
        <w:t>Multi-site; Single IRB</w:t>
      </w:r>
      <w:r w:rsidR="00B905CC">
        <w:rPr>
          <w:sz w:val="18"/>
          <w:szCs w:val="18"/>
        </w:rPr>
        <w:t>; Transfers</w:t>
      </w:r>
    </w:p>
    <w:sectPr w:rsidR="5B00709C" w:rsidSect="00B91761">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0E58" w14:textId="77777777" w:rsidR="00EB7A56" w:rsidRDefault="00EB7A56" w:rsidP="00BC532C">
      <w:pPr>
        <w:spacing w:after="0" w:line="240" w:lineRule="auto"/>
      </w:pPr>
      <w:r>
        <w:separator/>
      </w:r>
    </w:p>
  </w:endnote>
  <w:endnote w:type="continuationSeparator" w:id="0">
    <w:p w14:paraId="3D8EEE4E" w14:textId="77777777" w:rsidR="00EB7A56" w:rsidRDefault="00EB7A56" w:rsidP="00BC532C">
      <w:pPr>
        <w:spacing w:after="0" w:line="240" w:lineRule="auto"/>
      </w:pPr>
      <w:r>
        <w:continuationSeparator/>
      </w:r>
    </w:p>
  </w:endnote>
  <w:endnote w:type="continuationNotice" w:id="1">
    <w:p w14:paraId="042F129C" w14:textId="77777777" w:rsidR="00EB7A56" w:rsidRDefault="00EB7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4E9AB410"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B26510">
            <w:rPr>
              <w:sz w:val="18"/>
              <w:szCs w:val="18"/>
            </w:rPr>
            <w:t>08.2</w:t>
          </w:r>
          <w:r w:rsidR="00F067AB">
            <w:rPr>
              <w:sz w:val="18"/>
              <w:szCs w:val="18"/>
            </w:rPr>
            <w:t>9</w:t>
          </w:r>
          <w:r w:rsidR="00B26510">
            <w:rPr>
              <w:sz w:val="18"/>
              <w:szCs w:val="18"/>
            </w:rPr>
            <w:t>.2025</w:t>
          </w:r>
        </w:p>
      </w:tc>
      <w:tc>
        <w:tcPr>
          <w:tcW w:w="3357" w:type="dxa"/>
          <w:vAlign w:val="center"/>
        </w:tcPr>
        <w:p w14:paraId="715657B5" w14:textId="2CC1BE4E" w:rsidR="00925C4A" w:rsidRPr="000C25E0" w:rsidRDefault="00C80CF5" w:rsidP="001F12A4">
          <w:pPr>
            <w:pStyle w:val="Footer"/>
            <w:jc w:val="center"/>
            <w:rPr>
              <w:sz w:val="18"/>
              <w:szCs w:val="18"/>
            </w:rPr>
          </w:pPr>
          <w:r>
            <w:rPr>
              <w:sz w:val="18"/>
              <w:szCs w:val="18"/>
            </w:rPr>
            <w:t>SOP Internal Reliance Agreements</w:t>
          </w:r>
        </w:p>
      </w:tc>
      <w:tc>
        <w:tcPr>
          <w:tcW w:w="3357"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8239B7">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8239B7">
            <w:rPr>
              <w:bCs/>
              <w:noProof/>
              <w:sz w:val="18"/>
              <w:szCs w:val="18"/>
            </w:rPr>
            <w:t>5</w:t>
          </w:r>
          <w:r w:rsidRPr="000C25E0">
            <w:rPr>
              <w:bCs/>
              <w:sz w:val="18"/>
              <w:szCs w:val="18"/>
            </w:rPr>
            <w:fldChar w:fldCharType="end"/>
          </w:r>
        </w:p>
      </w:tc>
    </w:tr>
    <w:tr w:rsidR="00925C4A" w14:paraId="5DE7191B" w14:textId="77777777" w:rsidTr="000C25E0">
      <w:tc>
        <w:tcPr>
          <w:tcW w:w="3356" w:type="dxa"/>
        </w:tcPr>
        <w:p w14:paraId="1F3B3FB3" w14:textId="301F0938"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320BD6">
            <w:rPr>
              <w:sz w:val="18"/>
              <w:szCs w:val="18"/>
            </w:rPr>
            <w:t>2.5</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91CA" w14:textId="77777777" w:rsidR="00EB7A56" w:rsidRDefault="00EB7A56" w:rsidP="00BC532C">
      <w:pPr>
        <w:spacing w:after="0" w:line="240" w:lineRule="auto"/>
      </w:pPr>
      <w:r>
        <w:separator/>
      </w:r>
    </w:p>
  </w:footnote>
  <w:footnote w:type="continuationSeparator" w:id="0">
    <w:p w14:paraId="1A84905E" w14:textId="77777777" w:rsidR="00EB7A56" w:rsidRDefault="00EB7A56" w:rsidP="00BC532C">
      <w:pPr>
        <w:spacing w:after="0" w:line="240" w:lineRule="auto"/>
      </w:pPr>
      <w:r>
        <w:continuationSeparator/>
      </w:r>
    </w:p>
  </w:footnote>
  <w:footnote w:type="continuationNotice" w:id="1">
    <w:p w14:paraId="0D5D2956" w14:textId="77777777" w:rsidR="00EB7A56" w:rsidRDefault="00EB7A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6A1"/>
    <w:multiLevelType w:val="multilevel"/>
    <w:tmpl w:val="F6A825C8"/>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F39F9"/>
    <w:multiLevelType w:val="multilevel"/>
    <w:tmpl w:val="E9389894"/>
    <w:numStyleLink w:val="SOPHeadings"/>
  </w:abstractNum>
  <w:abstractNum w:abstractNumId="31"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76C38"/>
    <w:multiLevelType w:val="hybridMultilevel"/>
    <w:tmpl w:val="E788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F29C2"/>
    <w:multiLevelType w:val="multilevel"/>
    <w:tmpl w:val="98D0FF3A"/>
    <w:lvl w:ilvl="0">
      <w:start w:val="4"/>
      <w:numFmt w:val="decimal"/>
      <w:lvlText w:val="%1"/>
      <w:lvlJc w:val="left"/>
      <w:pPr>
        <w:ind w:left="720" w:hanging="720"/>
      </w:pPr>
      <w:rPr>
        <w:rFonts w:hint="default"/>
        <w:b/>
        <w:i w:val="0"/>
        <w:caps/>
        <w:sz w:val="22"/>
      </w:rPr>
    </w:lvl>
    <w:lvl w:ilvl="1">
      <w:start w:val="1"/>
      <w:numFmt w:val="decimal"/>
      <w:lvlText w:val="%1.%2"/>
      <w:lvlJc w:val="left"/>
      <w:pPr>
        <w:ind w:left="720" w:hanging="720"/>
      </w:pPr>
      <w:rPr>
        <w:rFonts w:hint="default"/>
        <w:b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7353807">
    <w:abstractNumId w:val="19"/>
  </w:num>
  <w:num w:numId="2" w16cid:durableId="1970158785">
    <w:abstractNumId w:val="17"/>
  </w:num>
  <w:num w:numId="3" w16cid:durableId="1666200492">
    <w:abstractNumId w:val="36"/>
  </w:num>
  <w:num w:numId="4" w16cid:durableId="589238065">
    <w:abstractNumId w:val="19"/>
  </w:num>
  <w:num w:numId="5" w16cid:durableId="724724500">
    <w:abstractNumId w:val="3"/>
  </w:num>
  <w:num w:numId="6" w16cid:durableId="1901480529">
    <w:abstractNumId w:val="8"/>
  </w:num>
  <w:num w:numId="7" w16cid:durableId="1542328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276747">
    <w:abstractNumId w:val="8"/>
  </w:num>
  <w:num w:numId="9" w16cid:durableId="1098790324">
    <w:abstractNumId w:val="9"/>
  </w:num>
  <w:num w:numId="10" w16cid:durableId="1734350157">
    <w:abstractNumId w:val="4"/>
  </w:num>
  <w:num w:numId="11" w16cid:durableId="298536508">
    <w:abstractNumId w:val="38"/>
  </w:num>
  <w:num w:numId="12" w16cid:durableId="2130270291">
    <w:abstractNumId w:val="14"/>
  </w:num>
  <w:num w:numId="13" w16cid:durableId="698625959">
    <w:abstractNumId w:val="31"/>
  </w:num>
  <w:num w:numId="14" w16cid:durableId="851914843">
    <w:abstractNumId w:val="10"/>
  </w:num>
  <w:num w:numId="15" w16cid:durableId="92677490">
    <w:abstractNumId w:val="13"/>
  </w:num>
  <w:num w:numId="16" w16cid:durableId="517626767">
    <w:abstractNumId w:val="11"/>
  </w:num>
  <w:num w:numId="17" w16cid:durableId="930622433">
    <w:abstractNumId w:val="27"/>
  </w:num>
  <w:num w:numId="18" w16cid:durableId="1286162121">
    <w:abstractNumId w:val="2"/>
  </w:num>
  <w:num w:numId="19" w16cid:durableId="1717045948">
    <w:abstractNumId w:val="1"/>
  </w:num>
  <w:num w:numId="20" w16cid:durableId="1933314330">
    <w:abstractNumId w:val="20"/>
  </w:num>
  <w:num w:numId="21" w16cid:durableId="386688712">
    <w:abstractNumId w:val="28"/>
  </w:num>
  <w:num w:numId="22" w16cid:durableId="1831948222">
    <w:abstractNumId w:val="18"/>
  </w:num>
  <w:num w:numId="23" w16cid:durableId="1795177703">
    <w:abstractNumId w:val="5"/>
  </w:num>
  <w:num w:numId="24" w16cid:durableId="578366221">
    <w:abstractNumId w:val="24"/>
  </w:num>
  <w:num w:numId="25" w16cid:durableId="2106997843">
    <w:abstractNumId w:val="22"/>
  </w:num>
  <w:num w:numId="26" w16cid:durableId="330766531">
    <w:abstractNumId w:val="21"/>
  </w:num>
  <w:num w:numId="27" w16cid:durableId="1560897002">
    <w:abstractNumId w:val="15"/>
  </w:num>
  <w:num w:numId="28" w16cid:durableId="85198976">
    <w:abstractNumId w:val="32"/>
  </w:num>
  <w:num w:numId="29" w16cid:durableId="400904668">
    <w:abstractNumId w:val="29"/>
  </w:num>
  <w:num w:numId="30" w16cid:durableId="343242950">
    <w:abstractNumId w:val="23"/>
  </w:num>
  <w:num w:numId="31" w16cid:durableId="1690645183">
    <w:abstractNumId w:val="16"/>
  </w:num>
  <w:num w:numId="32" w16cid:durableId="174613986">
    <w:abstractNumId w:val="34"/>
  </w:num>
  <w:num w:numId="33" w16cid:durableId="1397633414">
    <w:abstractNumId w:val="0"/>
  </w:num>
  <w:num w:numId="34" w16cid:durableId="983896459">
    <w:abstractNumId w:val="37"/>
  </w:num>
  <w:num w:numId="35" w16cid:durableId="698237660">
    <w:abstractNumId w:val="6"/>
  </w:num>
  <w:num w:numId="36" w16cid:durableId="50271547">
    <w:abstractNumId w:val="26"/>
  </w:num>
  <w:num w:numId="37" w16cid:durableId="1514759769">
    <w:abstractNumId w:val="12"/>
  </w:num>
  <w:num w:numId="38" w16cid:durableId="1682273157">
    <w:abstractNumId w:val="25"/>
  </w:num>
  <w:num w:numId="39" w16cid:durableId="1146704747">
    <w:abstractNumId w:val="30"/>
    <w:lvlOverride w:ilvl="0">
      <w:lvl w:ilvl="0">
        <w:start w:val="1"/>
        <w:numFmt w:val="decimal"/>
        <w:lvlText w:val="%1"/>
        <w:lvlJc w:val="left"/>
        <w:pPr>
          <w:ind w:left="720" w:hanging="720"/>
        </w:pPr>
        <w:rPr>
          <w:rFonts w:hint="default"/>
          <w:b/>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0" w16cid:durableId="644119824">
    <w:abstractNumId w:val="7"/>
  </w:num>
  <w:num w:numId="41" w16cid:durableId="358161972">
    <w:abstractNumId w:val="33"/>
  </w:num>
  <w:num w:numId="42" w16cid:durableId="8188890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155D3"/>
    <w:rsid w:val="00032560"/>
    <w:rsid w:val="000406B3"/>
    <w:rsid w:val="00054AC7"/>
    <w:rsid w:val="000616F4"/>
    <w:rsid w:val="000651A1"/>
    <w:rsid w:val="000729DE"/>
    <w:rsid w:val="00074749"/>
    <w:rsid w:val="000A32D4"/>
    <w:rsid w:val="000A4D85"/>
    <w:rsid w:val="000A6546"/>
    <w:rsid w:val="000B0517"/>
    <w:rsid w:val="000B7627"/>
    <w:rsid w:val="000B7FBC"/>
    <w:rsid w:val="000C25E0"/>
    <w:rsid w:val="000E4E7A"/>
    <w:rsid w:val="000E5D51"/>
    <w:rsid w:val="000F3417"/>
    <w:rsid w:val="00123ED4"/>
    <w:rsid w:val="00135B00"/>
    <w:rsid w:val="0014155E"/>
    <w:rsid w:val="00142909"/>
    <w:rsid w:val="00151784"/>
    <w:rsid w:val="00153865"/>
    <w:rsid w:val="00154A04"/>
    <w:rsid w:val="00164AFC"/>
    <w:rsid w:val="00165C97"/>
    <w:rsid w:val="00166319"/>
    <w:rsid w:val="001745E4"/>
    <w:rsid w:val="00177EEA"/>
    <w:rsid w:val="00183ABF"/>
    <w:rsid w:val="00186833"/>
    <w:rsid w:val="001975DB"/>
    <w:rsid w:val="001A1FEF"/>
    <w:rsid w:val="001A79D8"/>
    <w:rsid w:val="001B1196"/>
    <w:rsid w:val="001B3FD0"/>
    <w:rsid w:val="001D1C9B"/>
    <w:rsid w:val="001E1945"/>
    <w:rsid w:val="001E441B"/>
    <w:rsid w:val="001F12A4"/>
    <w:rsid w:val="00200AFC"/>
    <w:rsid w:val="002021A0"/>
    <w:rsid w:val="00217C39"/>
    <w:rsid w:val="0022231F"/>
    <w:rsid w:val="0022403C"/>
    <w:rsid w:val="00236168"/>
    <w:rsid w:val="002468F3"/>
    <w:rsid w:val="00265A0B"/>
    <w:rsid w:val="002767F8"/>
    <w:rsid w:val="002D5D04"/>
    <w:rsid w:val="002D7AAF"/>
    <w:rsid w:val="002E2000"/>
    <w:rsid w:val="002E6543"/>
    <w:rsid w:val="002F7B77"/>
    <w:rsid w:val="0031546C"/>
    <w:rsid w:val="00320BD6"/>
    <w:rsid w:val="00322AF4"/>
    <w:rsid w:val="00325DEB"/>
    <w:rsid w:val="0033557F"/>
    <w:rsid w:val="003638AC"/>
    <w:rsid w:val="00365C9A"/>
    <w:rsid w:val="00375221"/>
    <w:rsid w:val="00376A83"/>
    <w:rsid w:val="003772DE"/>
    <w:rsid w:val="003803AC"/>
    <w:rsid w:val="00394C5C"/>
    <w:rsid w:val="00396236"/>
    <w:rsid w:val="003975E5"/>
    <w:rsid w:val="003E2A02"/>
    <w:rsid w:val="003E557F"/>
    <w:rsid w:val="00401515"/>
    <w:rsid w:val="00402916"/>
    <w:rsid w:val="004070A0"/>
    <w:rsid w:val="00422266"/>
    <w:rsid w:val="00432F8C"/>
    <w:rsid w:val="004561A4"/>
    <w:rsid w:val="00461414"/>
    <w:rsid w:val="00470C95"/>
    <w:rsid w:val="00472C83"/>
    <w:rsid w:val="00486123"/>
    <w:rsid w:val="00497376"/>
    <w:rsid w:val="004A47EE"/>
    <w:rsid w:val="004B5600"/>
    <w:rsid w:val="004F46F9"/>
    <w:rsid w:val="004F5BF1"/>
    <w:rsid w:val="00501E5B"/>
    <w:rsid w:val="005038D3"/>
    <w:rsid w:val="005063EF"/>
    <w:rsid w:val="00510120"/>
    <w:rsid w:val="005172F4"/>
    <w:rsid w:val="00535A3B"/>
    <w:rsid w:val="0054008D"/>
    <w:rsid w:val="00543DD2"/>
    <w:rsid w:val="0055035C"/>
    <w:rsid w:val="005573D8"/>
    <w:rsid w:val="00560204"/>
    <w:rsid w:val="005848DC"/>
    <w:rsid w:val="00590473"/>
    <w:rsid w:val="00592A19"/>
    <w:rsid w:val="00596A0A"/>
    <w:rsid w:val="005C5821"/>
    <w:rsid w:val="005E1D24"/>
    <w:rsid w:val="00600013"/>
    <w:rsid w:val="00600D18"/>
    <w:rsid w:val="006067EC"/>
    <w:rsid w:val="00607C51"/>
    <w:rsid w:val="0063391E"/>
    <w:rsid w:val="00645756"/>
    <w:rsid w:val="00647F10"/>
    <w:rsid w:val="006803C1"/>
    <w:rsid w:val="00680828"/>
    <w:rsid w:val="006935B8"/>
    <w:rsid w:val="00693C1D"/>
    <w:rsid w:val="006A302A"/>
    <w:rsid w:val="006A702C"/>
    <w:rsid w:val="006B513A"/>
    <w:rsid w:val="006C2FB0"/>
    <w:rsid w:val="006C3810"/>
    <w:rsid w:val="006D09D3"/>
    <w:rsid w:val="006E3F76"/>
    <w:rsid w:val="006E46B6"/>
    <w:rsid w:val="006E5BF6"/>
    <w:rsid w:val="006F4E3D"/>
    <w:rsid w:val="00714898"/>
    <w:rsid w:val="00717467"/>
    <w:rsid w:val="007211CD"/>
    <w:rsid w:val="007233CE"/>
    <w:rsid w:val="0072507C"/>
    <w:rsid w:val="00726B02"/>
    <w:rsid w:val="007309E1"/>
    <w:rsid w:val="00733A43"/>
    <w:rsid w:val="00740DDB"/>
    <w:rsid w:val="00747D98"/>
    <w:rsid w:val="00762248"/>
    <w:rsid w:val="007640AF"/>
    <w:rsid w:val="00782371"/>
    <w:rsid w:val="007876FD"/>
    <w:rsid w:val="0079460C"/>
    <w:rsid w:val="00797B8A"/>
    <w:rsid w:val="007A4168"/>
    <w:rsid w:val="007A611F"/>
    <w:rsid w:val="007A73D0"/>
    <w:rsid w:val="007D283A"/>
    <w:rsid w:val="007D7BAF"/>
    <w:rsid w:val="007E1DEC"/>
    <w:rsid w:val="007F523B"/>
    <w:rsid w:val="00806EE9"/>
    <w:rsid w:val="008123E9"/>
    <w:rsid w:val="008225EB"/>
    <w:rsid w:val="0082395E"/>
    <w:rsid w:val="008239B7"/>
    <w:rsid w:val="0082624C"/>
    <w:rsid w:val="00835027"/>
    <w:rsid w:val="0086448B"/>
    <w:rsid w:val="008742EE"/>
    <w:rsid w:val="00875FC3"/>
    <w:rsid w:val="008A3BED"/>
    <w:rsid w:val="008A5835"/>
    <w:rsid w:val="008B41E0"/>
    <w:rsid w:val="008C6822"/>
    <w:rsid w:val="008D37A4"/>
    <w:rsid w:val="008D613C"/>
    <w:rsid w:val="008D6D57"/>
    <w:rsid w:val="008E1A19"/>
    <w:rsid w:val="008E7422"/>
    <w:rsid w:val="008F4683"/>
    <w:rsid w:val="00925C4A"/>
    <w:rsid w:val="00925F6C"/>
    <w:rsid w:val="00937876"/>
    <w:rsid w:val="00941794"/>
    <w:rsid w:val="009420FE"/>
    <w:rsid w:val="009441C3"/>
    <w:rsid w:val="0095315E"/>
    <w:rsid w:val="00953CB6"/>
    <w:rsid w:val="00954C91"/>
    <w:rsid w:val="00961264"/>
    <w:rsid w:val="009727DB"/>
    <w:rsid w:val="00973011"/>
    <w:rsid w:val="0097683A"/>
    <w:rsid w:val="00977495"/>
    <w:rsid w:val="0099016A"/>
    <w:rsid w:val="009A26F5"/>
    <w:rsid w:val="009B187A"/>
    <w:rsid w:val="009C4DD3"/>
    <w:rsid w:val="009D39EC"/>
    <w:rsid w:val="009D7DC5"/>
    <w:rsid w:val="009F0B7A"/>
    <w:rsid w:val="009F2510"/>
    <w:rsid w:val="009F53DE"/>
    <w:rsid w:val="00A03C60"/>
    <w:rsid w:val="00A17229"/>
    <w:rsid w:val="00A47BCB"/>
    <w:rsid w:val="00A71D4E"/>
    <w:rsid w:val="00A80B78"/>
    <w:rsid w:val="00A848AA"/>
    <w:rsid w:val="00A92176"/>
    <w:rsid w:val="00A928B7"/>
    <w:rsid w:val="00A929A9"/>
    <w:rsid w:val="00AA2580"/>
    <w:rsid w:val="00AD37FC"/>
    <w:rsid w:val="00AD3B83"/>
    <w:rsid w:val="00AD5583"/>
    <w:rsid w:val="00AE2DAD"/>
    <w:rsid w:val="00AE49A5"/>
    <w:rsid w:val="00B00AFA"/>
    <w:rsid w:val="00B029D7"/>
    <w:rsid w:val="00B03D48"/>
    <w:rsid w:val="00B13FCD"/>
    <w:rsid w:val="00B229B8"/>
    <w:rsid w:val="00B26510"/>
    <w:rsid w:val="00B44AD7"/>
    <w:rsid w:val="00B55261"/>
    <w:rsid w:val="00B55584"/>
    <w:rsid w:val="00B5609A"/>
    <w:rsid w:val="00B61206"/>
    <w:rsid w:val="00B66806"/>
    <w:rsid w:val="00B72911"/>
    <w:rsid w:val="00B905CC"/>
    <w:rsid w:val="00B91761"/>
    <w:rsid w:val="00B9263B"/>
    <w:rsid w:val="00BB1089"/>
    <w:rsid w:val="00BC18CF"/>
    <w:rsid w:val="00BC532C"/>
    <w:rsid w:val="00BC53BF"/>
    <w:rsid w:val="00BC7098"/>
    <w:rsid w:val="00BD099E"/>
    <w:rsid w:val="00BD2A40"/>
    <w:rsid w:val="00BD57B3"/>
    <w:rsid w:val="00BD7F0C"/>
    <w:rsid w:val="00BE1C70"/>
    <w:rsid w:val="00BE1F64"/>
    <w:rsid w:val="00BF0F77"/>
    <w:rsid w:val="00BF445D"/>
    <w:rsid w:val="00BF7267"/>
    <w:rsid w:val="00C03519"/>
    <w:rsid w:val="00C06212"/>
    <w:rsid w:val="00C07185"/>
    <w:rsid w:val="00C07951"/>
    <w:rsid w:val="00C13468"/>
    <w:rsid w:val="00C210DD"/>
    <w:rsid w:val="00C2234D"/>
    <w:rsid w:val="00C22EF3"/>
    <w:rsid w:val="00C279A6"/>
    <w:rsid w:val="00C30289"/>
    <w:rsid w:val="00C37546"/>
    <w:rsid w:val="00C378D2"/>
    <w:rsid w:val="00C40A04"/>
    <w:rsid w:val="00C449B1"/>
    <w:rsid w:val="00C6746B"/>
    <w:rsid w:val="00C71146"/>
    <w:rsid w:val="00C72988"/>
    <w:rsid w:val="00C74168"/>
    <w:rsid w:val="00C80CF5"/>
    <w:rsid w:val="00C81EB4"/>
    <w:rsid w:val="00C8410E"/>
    <w:rsid w:val="00C91378"/>
    <w:rsid w:val="00CA0AE0"/>
    <w:rsid w:val="00CA2F63"/>
    <w:rsid w:val="00CA6B6F"/>
    <w:rsid w:val="00CD274A"/>
    <w:rsid w:val="00CD2FA9"/>
    <w:rsid w:val="00CD5079"/>
    <w:rsid w:val="00CE2FB5"/>
    <w:rsid w:val="00CE3179"/>
    <w:rsid w:val="00CE5D5B"/>
    <w:rsid w:val="00CF0BB9"/>
    <w:rsid w:val="00CF7D7D"/>
    <w:rsid w:val="00D132DE"/>
    <w:rsid w:val="00D156FC"/>
    <w:rsid w:val="00D36A7A"/>
    <w:rsid w:val="00D51D60"/>
    <w:rsid w:val="00D604A6"/>
    <w:rsid w:val="00D72D0C"/>
    <w:rsid w:val="00D81383"/>
    <w:rsid w:val="00D869E9"/>
    <w:rsid w:val="00DA40D9"/>
    <w:rsid w:val="00DA4CA5"/>
    <w:rsid w:val="00DB2326"/>
    <w:rsid w:val="00DB40E0"/>
    <w:rsid w:val="00DB50D9"/>
    <w:rsid w:val="00DB6A19"/>
    <w:rsid w:val="00DE1DA1"/>
    <w:rsid w:val="00DE533D"/>
    <w:rsid w:val="00E0760A"/>
    <w:rsid w:val="00E12C16"/>
    <w:rsid w:val="00E15F47"/>
    <w:rsid w:val="00E705F5"/>
    <w:rsid w:val="00E70F5D"/>
    <w:rsid w:val="00E73886"/>
    <w:rsid w:val="00E74163"/>
    <w:rsid w:val="00E753A0"/>
    <w:rsid w:val="00E81553"/>
    <w:rsid w:val="00E81DFC"/>
    <w:rsid w:val="00E81EDB"/>
    <w:rsid w:val="00E851CF"/>
    <w:rsid w:val="00E8640E"/>
    <w:rsid w:val="00E87966"/>
    <w:rsid w:val="00E91C88"/>
    <w:rsid w:val="00E96153"/>
    <w:rsid w:val="00EB5C24"/>
    <w:rsid w:val="00EB7A56"/>
    <w:rsid w:val="00EC665A"/>
    <w:rsid w:val="00ED134C"/>
    <w:rsid w:val="00ED27C2"/>
    <w:rsid w:val="00ED2D68"/>
    <w:rsid w:val="00EE1798"/>
    <w:rsid w:val="00EF507E"/>
    <w:rsid w:val="00F067AB"/>
    <w:rsid w:val="00F12577"/>
    <w:rsid w:val="00F21F09"/>
    <w:rsid w:val="00F25167"/>
    <w:rsid w:val="00F3072D"/>
    <w:rsid w:val="00F322F9"/>
    <w:rsid w:val="00F4304B"/>
    <w:rsid w:val="00F54A6B"/>
    <w:rsid w:val="00F60A5C"/>
    <w:rsid w:val="00F632E8"/>
    <w:rsid w:val="00F63634"/>
    <w:rsid w:val="00F846DA"/>
    <w:rsid w:val="00F87816"/>
    <w:rsid w:val="00F95460"/>
    <w:rsid w:val="00FA046F"/>
    <w:rsid w:val="00FC372E"/>
    <w:rsid w:val="00FD6064"/>
    <w:rsid w:val="00FE5C08"/>
    <w:rsid w:val="00FF3EAE"/>
    <w:rsid w:val="011323B6"/>
    <w:rsid w:val="03834D79"/>
    <w:rsid w:val="04620ECD"/>
    <w:rsid w:val="055240B4"/>
    <w:rsid w:val="06B7D6EB"/>
    <w:rsid w:val="09169B08"/>
    <w:rsid w:val="0ACAC690"/>
    <w:rsid w:val="0B881E5E"/>
    <w:rsid w:val="116454C4"/>
    <w:rsid w:val="118723B5"/>
    <w:rsid w:val="1301FCCD"/>
    <w:rsid w:val="17C10C6E"/>
    <w:rsid w:val="19DE5C20"/>
    <w:rsid w:val="1A6F849C"/>
    <w:rsid w:val="1B6F4261"/>
    <w:rsid w:val="20ADA7F4"/>
    <w:rsid w:val="23320549"/>
    <w:rsid w:val="23532EF4"/>
    <w:rsid w:val="26AF2D70"/>
    <w:rsid w:val="2974CEB5"/>
    <w:rsid w:val="29775ED7"/>
    <w:rsid w:val="2A3925F1"/>
    <w:rsid w:val="2D63B218"/>
    <w:rsid w:val="2DB05732"/>
    <w:rsid w:val="32C77D14"/>
    <w:rsid w:val="3307B719"/>
    <w:rsid w:val="34B5781F"/>
    <w:rsid w:val="3544A5A6"/>
    <w:rsid w:val="3777AFC2"/>
    <w:rsid w:val="3BEAB91A"/>
    <w:rsid w:val="406D25F4"/>
    <w:rsid w:val="4218C27C"/>
    <w:rsid w:val="42673C31"/>
    <w:rsid w:val="43A4D5CA"/>
    <w:rsid w:val="43F355BB"/>
    <w:rsid w:val="495D83A3"/>
    <w:rsid w:val="4D8B6FF4"/>
    <w:rsid w:val="4F80B92F"/>
    <w:rsid w:val="5144B9FC"/>
    <w:rsid w:val="57F01BEB"/>
    <w:rsid w:val="58BCC529"/>
    <w:rsid w:val="597CF51A"/>
    <w:rsid w:val="5B00709C"/>
    <w:rsid w:val="5C2380C0"/>
    <w:rsid w:val="5EE92BD5"/>
    <w:rsid w:val="600E1B68"/>
    <w:rsid w:val="603BB871"/>
    <w:rsid w:val="63A4BE2B"/>
    <w:rsid w:val="648D8D46"/>
    <w:rsid w:val="654A5B9C"/>
    <w:rsid w:val="6647F9B2"/>
    <w:rsid w:val="68D7EA40"/>
    <w:rsid w:val="6A15D792"/>
    <w:rsid w:val="6C802FC0"/>
    <w:rsid w:val="6F7E2A05"/>
    <w:rsid w:val="726B72CA"/>
    <w:rsid w:val="73CF509B"/>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A862C2F7-82CC-4F4A-9883-A18B974B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styleId="UnresolvedMention">
    <w:name w:val="Unresolved Mention"/>
    <w:basedOn w:val="DefaultParagraphFont"/>
    <w:uiPriority w:val="99"/>
    <w:semiHidden/>
    <w:unhideWhenUsed/>
    <w:rsid w:val="00E81DFC"/>
    <w:rPr>
      <w:color w:val="605E5C"/>
      <w:shd w:val="clear" w:color="auto" w:fill="E1DFDD"/>
    </w:rPr>
  </w:style>
  <w:style w:type="numbering" w:customStyle="1" w:styleId="SOPHeadings1">
    <w:name w:val="SOP Headings1"/>
    <w:uiPriority w:val="99"/>
    <w:rsid w:val="007F523B"/>
  </w:style>
  <w:style w:type="character" w:styleId="FollowedHyperlink">
    <w:name w:val="FollowedHyperlink"/>
    <w:basedOn w:val="DefaultParagraphFont"/>
    <w:uiPriority w:val="99"/>
    <w:semiHidden/>
    <w:unhideWhenUsed/>
    <w:rsid w:val="00C81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884743">
      <w:bodyDiv w:val="1"/>
      <w:marLeft w:val="0"/>
      <w:marRight w:val="0"/>
      <w:marTop w:val="0"/>
      <w:marBottom w:val="0"/>
      <w:divBdr>
        <w:top w:val="none" w:sz="0" w:space="0" w:color="auto"/>
        <w:left w:val="none" w:sz="0" w:space="0" w:color="auto"/>
        <w:bottom w:val="none" w:sz="0" w:space="0" w:color="auto"/>
        <w:right w:val="none" w:sz="0" w:space="0" w:color="auto"/>
      </w:divBdr>
      <w:divsChild>
        <w:div w:id="47333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forms-and-templates/worksheet-human-subjects-research/" TargetMode="External"/><Relationship Id="rId18" Type="http://schemas.openxmlformats.org/officeDocument/2006/relationships/hyperlink" Target="mailto:hsdinfo@uw.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forms-and-templates/worksheet-human-subjects-research/" TargetMode="External"/><Relationship Id="rId17" Type="http://schemas.openxmlformats.org/officeDocument/2006/relationships/hyperlink" Target="https://www.hhs.gov/ohrp/regulations-and-policy/single-irb-requirement/114b-exception1/index.html" TargetMode="External"/><Relationship Id="rId2" Type="http://schemas.openxmlformats.org/officeDocument/2006/relationships/customXml" Target="../customXml/item2.xml"/><Relationship Id="rId16" Type="http://schemas.openxmlformats.org/officeDocument/2006/relationships/hyperlink" Target="https://www.washington.edu/research/hsd/guidance/enga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forms-and-templates/supplement-non-uw-individual-investigato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forms-and-templates/supplement-multi-site-or-collaborativ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 reference for retired SOP Use of the UW IRB</Change_x0020_Notes>
    <Posted_x0020_Date xmlns="7c9d0ed2-8163-4b50-bae4-466292e5dd21">2024-11-26T08:00:00+00:00</Posted_x0020_Date>
    <Taxonomy0 xmlns="7c9d0ed2-8163-4b50-bae4-466292e5dd21">
      <Value>SOP (Standard Operating Procedure)</Value>
    </Taxonomy0>
    <Version_x0020_Number xmlns="7c9d0ed2-8163-4b50-bae4-466292e5dd21">2.4</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https://www.washington.edu/research/policies/sop-internal-reliance-agreements/</Url>
      <Description>https://www.washington.edu/research/policies/sop-internal-reliance-agreements/</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2.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7950E7F0-F96A-41FF-B0C3-ABCBC0FD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E81DC-4FD8-45A4-A629-90C61B63E94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SOP_Internal_Reliance_Agreements_v2.4_2024.11.26</vt:lpstr>
    </vt:vector>
  </TitlesOfParts>
  <Company>University of Washington</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SOP_Internal_Reliance_Agreements_v2.4_2024.11.26</dc:title>
  <dc:subject/>
  <dc:creator>Sherry Edwards</dc:creator>
  <cp:keywords>;#Internal reliance;#Multi-site;#Single IRB;#Transfers;#</cp:keywords>
  <dc:description/>
  <cp:lastModifiedBy>Jenny Maki</cp:lastModifiedBy>
  <cp:revision>4</cp:revision>
  <dcterms:created xsi:type="dcterms:W3CDTF">2025-08-25T19:14:00Z</dcterms:created>
  <dcterms:modified xsi:type="dcterms:W3CDTF">2025-08-27T20:48:00Z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