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644"/>
        <w:gridCol w:w="5436"/>
      </w:tblGrid>
      <w:tr w:rsidR="00E15F47" w:rsidRPr="00ED134C" w14:paraId="01063E5A" w14:textId="77777777" w:rsidTr="2D63B218">
        <w:tc>
          <w:tcPr>
            <w:tcW w:w="4644" w:type="dxa"/>
          </w:tcPr>
          <w:p w14:paraId="5199F0CA" w14:textId="77777777" w:rsidR="00E15F47" w:rsidRPr="00ED134C" w:rsidRDefault="00E15F47" w:rsidP="00925C4A">
            <w:r>
              <w:rPr>
                <w:noProof/>
              </w:rPr>
              <w:drawing>
                <wp:inline distT="0" distB="0" distL="0" distR="0" wp14:anchorId="6BADFEC6" wp14:editId="1FD20806">
                  <wp:extent cx="2743200" cy="333528"/>
                  <wp:effectExtent l="0" t="0" r="0" b="9525"/>
                  <wp:docPr id="410136485"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5436" w:type="dxa"/>
            <w:vAlign w:val="center"/>
          </w:tcPr>
          <w:p w14:paraId="28BD4B80" w14:textId="5A0B9EF6" w:rsidR="00E15F47" w:rsidRPr="00ED134C" w:rsidRDefault="006A52FC" w:rsidP="00E15F47">
            <w:pPr>
              <w:jc w:val="right"/>
              <w:rPr>
                <w:b/>
                <w:color w:val="404040" w:themeColor="text1" w:themeTint="BF"/>
                <w:sz w:val="28"/>
                <w:szCs w:val="28"/>
              </w:rPr>
            </w:pPr>
            <w:r>
              <w:rPr>
                <w:b/>
                <w:color w:val="404040" w:themeColor="text1" w:themeTint="BF"/>
                <w:sz w:val="28"/>
                <w:szCs w:val="28"/>
              </w:rPr>
              <w:t>SOP IRB Members</w:t>
            </w:r>
            <w:r w:rsidR="00E15F47">
              <w:rPr>
                <w:b/>
                <w:color w:val="404040" w:themeColor="text1" w:themeTint="BF"/>
                <w:sz w:val="28"/>
                <w:szCs w:val="28"/>
              </w:rPr>
              <w:t xml:space="preserve"> </w:t>
            </w:r>
          </w:p>
        </w:tc>
      </w:tr>
    </w:tbl>
    <w:p w14:paraId="6792B5CB" w14:textId="5623CCC7" w:rsidR="009D39EC" w:rsidRPr="006B513A" w:rsidRDefault="009D39EC" w:rsidP="00CA0AE0">
      <w:pPr>
        <w:shd w:val="clear" w:color="auto" w:fill="33006F"/>
        <w:tabs>
          <w:tab w:val="right" w:pos="10080"/>
        </w:tabs>
        <w:rPr>
          <w:b/>
        </w:rPr>
      </w:pPr>
    </w:p>
    <w:p w14:paraId="007DF2B2" w14:textId="2755DBB0" w:rsidR="00BF0F77" w:rsidRDefault="00BF0F77" w:rsidP="00A71D4E">
      <w:pPr>
        <w:pStyle w:val="NoSpacing"/>
        <w:rPr>
          <w:sz w:val="22"/>
          <w:szCs w:val="22"/>
        </w:rPr>
      </w:pPr>
    </w:p>
    <w:p w14:paraId="3BA5078F" w14:textId="1E6453F1" w:rsidR="00B00AFA" w:rsidRDefault="00BE1C70" w:rsidP="00BE1C70">
      <w:pPr>
        <w:pStyle w:val="NoSpacing"/>
        <w:ind w:left="360" w:hanging="360"/>
        <w:outlineLvl w:val="0"/>
        <w:rPr>
          <w:b/>
          <w:color w:val="auto"/>
          <w:sz w:val="22"/>
          <w:szCs w:val="22"/>
        </w:rPr>
      </w:pPr>
      <w:r>
        <w:rPr>
          <w:b/>
          <w:color w:val="auto"/>
          <w:sz w:val="22"/>
          <w:szCs w:val="22"/>
        </w:rPr>
        <w:t>1</w:t>
      </w:r>
      <w:r>
        <w:rPr>
          <w:b/>
          <w:color w:val="auto"/>
          <w:sz w:val="22"/>
          <w:szCs w:val="22"/>
        </w:rPr>
        <w:tab/>
      </w:r>
      <w:r w:rsidR="00B00AFA" w:rsidRPr="00CD274A">
        <w:rPr>
          <w:b/>
          <w:color w:val="auto"/>
          <w:sz w:val="22"/>
          <w:szCs w:val="22"/>
        </w:rPr>
        <w:t>P</w:t>
      </w:r>
      <w:r w:rsidR="00A03C60" w:rsidRPr="00CD274A">
        <w:rPr>
          <w:b/>
          <w:color w:val="auto"/>
          <w:sz w:val="22"/>
          <w:szCs w:val="22"/>
        </w:rPr>
        <w:t>URPOSE</w:t>
      </w:r>
      <w:r w:rsidR="00FC372E">
        <w:rPr>
          <w:b/>
          <w:color w:val="auto"/>
          <w:sz w:val="22"/>
          <w:szCs w:val="22"/>
        </w:rPr>
        <w:t xml:space="preserve"> </w:t>
      </w:r>
      <w:r w:rsidR="00FC372E" w:rsidRPr="00135B00">
        <w:rPr>
          <w:b/>
          <w:color w:val="auto"/>
          <w:sz w:val="22"/>
          <w:szCs w:val="22"/>
        </w:rPr>
        <w:t>and APPLICABILITY</w:t>
      </w:r>
    </w:p>
    <w:p w14:paraId="1E18305C" w14:textId="77777777" w:rsidR="00BE1C70" w:rsidRDefault="00BE1C70" w:rsidP="00BE1C70">
      <w:pPr>
        <w:pStyle w:val="NoSpacing"/>
        <w:ind w:left="360" w:hanging="360"/>
        <w:outlineLvl w:val="0"/>
        <w:rPr>
          <w:color w:val="auto"/>
          <w:sz w:val="22"/>
          <w:szCs w:val="22"/>
        </w:rPr>
      </w:pPr>
    </w:p>
    <w:p w14:paraId="0BBECCBF" w14:textId="5DCE12D5" w:rsidR="00BE1C70" w:rsidRDefault="006A52FC" w:rsidP="006A52FC">
      <w:pPr>
        <w:pStyle w:val="NoSpacing"/>
        <w:ind w:left="360"/>
        <w:outlineLvl w:val="0"/>
        <w:rPr>
          <w:color w:val="auto"/>
          <w:sz w:val="22"/>
          <w:szCs w:val="22"/>
        </w:rPr>
      </w:pPr>
      <w:r>
        <w:rPr>
          <w:color w:val="auto"/>
          <w:sz w:val="22"/>
          <w:szCs w:val="22"/>
        </w:rPr>
        <w:t>This document describes the polic</w:t>
      </w:r>
      <w:r w:rsidR="00A20627">
        <w:rPr>
          <w:color w:val="auto"/>
          <w:sz w:val="22"/>
          <w:szCs w:val="22"/>
        </w:rPr>
        <w:t>i</w:t>
      </w:r>
      <w:r>
        <w:rPr>
          <w:color w:val="auto"/>
          <w:sz w:val="22"/>
          <w:szCs w:val="22"/>
        </w:rPr>
        <w:t xml:space="preserve">es and procedures for </w:t>
      </w:r>
      <w:r w:rsidR="00F7271E">
        <w:rPr>
          <w:color w:val="auto"/>
          <w:sz w:val="22"/>
          <w:szCs w:val="22"/>
        </w:rPr>
        <w:t xml:space="preserve">selecting, </w:t>
      </w:r>
      <w:r>
        <w:rPr>
          <w:color w:val="auto"/>
          <w:sz w:val="22"/>
          <w:szCs w:val="22"/>
        </w:rPr>
        <w:t>appointing, training, and evaluating members of the UW Institutional Review Boards (IRBs)</w:t>
      </w:r>
      <w:r w:rsidR="004F0C2D">
        <w:rPr>
          <w:color w:val="auto"/>
          <w:sz w:val="22"/>
          <w:szCs w:val="22"/>
        </w:rPr>
        <w:t>, including those who conduct expedited reviews</w:t>
      </w:r>
      <w:r w:rsidR="006C6193">
        <w:rPr>
          <w:color w:val="auto"/>
          <w:sz w:val="22"/>
          <w:szCs w:val="22"/>
        </w:rPr>
        <w:t xml:space="preserve"> and limited IRB reviews</w:t>
      </w:r>
      <w:r>
        <w:rPr>
          <w:color w:val="auto"/>
          <w:sz w:val="22"/>
          <w:szCs w:val="22"/>
        </w:rPr>
        <w:t xml:space="preserve">. </w:t>
      </w:r>
    </w:p>
    <w:p w14:paraId="0DB307F0" w14:textId="5CACA56E" w:rsidR="00BE1C70" w:rsidRPr="00B00AFA" w:rsidRDefault="00BE1C70" w:rsidP="00AA2580">
      <w:pPr>
        <w:pStyle w:val="NoSpacing"/>
        <w:outlineLvl w:val="0"/>
        <w:rPr>
          <w:color w:val="auto"/>
          <w:sz w:val="22"/>
          <w:szCs w:val="22"/>
        </w:rPr>
      </w:pPr>
    </w:p>
    <w:p w14:paraId="69F0F62E" w14:textId="77777777" w:rsidR="00023D8E" w:rsidRDefault="00AA2580" w:rsidP="00AA2580">
      <w:pPr>
        <w:pStyle w:val="NoSpacing"/>
        <w:ind w:left="360" w:hanging="360"/>
        <w:outlineLvl w:val="0"/>
        <w:rPr>
          <w:b/>
          <w:color w:val="auto"/>
          <w:sz w:val="22"/>
          <w:szCs w:val="22"/>
        </w:rPr>
      </w:pPr>
      <w:r>
        <w:rPr>
          <w:b/>
          <w:color w:val="auto"/>
          <w:sz w:val="22"/>
          <w:szCs w:val="22"/>
        </w:rPr>
        <w:t xml:space="preserve">2 </w:t>
      </w:r>
      <w:r>
        <w:rPr>
          <w:b/>
          <w:color w:val="auto"/>
          <w:sz w:val="22"/>
          <w:szCs w:val="22"/>
        </w:rPr>
        <w:tab/>
      </w:r>
      <w:r w:rsidR="00023D8E">
        <w:rPr>
          <w:b/>
          <w:color w:val="auto"/>
          <w:sz w:val="22"/>
          <w:szCs w:val="22"/>
        </w:rPr>
        <w:t>POLICY</w:t>
      </w:r>
    </w:p>
    <w:p w14:paraId="030B1CF1" w14:textId="77777777" w:rsidR="00023D8E" w:rsidRDefault="00023D8E" w:rsidP="00AA2580">
      <w:pPr>
        <w:pStyle w:val="NoSpacing"/>
        <w:ind w:left="360" w:hanging="360"/>
        <w:outlineLvl w:val="0"/>
        <w:rPr>
          <w:b/>
          <w:color w:val="auto"/>
          <w:sz w:val="22"/>
          <w:szCs w:val="22"/>
        </w:rPr>
      </w:pPr>
    </w:p>
    <w:p w14:paraId="7C5C5FE2" w14:textId="6D996767" w:rsidR="00A93DF2" w:rsidRPr="00C40CF2" w:rsidRDefault="005451D1" w:rsidP="00A93DF2">
      <w:pPr>
        <w:pStyle w:val="NoSpacing"/>
        <w:tabs>
          <w:tab w:val="left" w:pos="360"/>
        </w:tabs>
        <w:ind w:left="360"/>
        <w:outlineLvl w:val="0"/>
        <w:rPr>
          <w:bCs/>
          <w:sz w:val="22"/>
          <w:szCs w:val="22"/>
        </w:rPr>
      </w:pPr>
      <w:r>
        <w:rPr>
          <w:b/>
          <w:color w:val="auto"/>
          <w:sz w:val="22"/>
          <w:szCs w:val="22"/>
        </w:rPr>
        <w:t xml:space="preserve">This policy applies to all IRB members, including </w:t>
      </w:r>
      <w:r w:rsidR="0064192B">
        <w:rPr>
          <w:b/>
          <w:color w:val="auto"/>
          <w:sz w:val="22"/>
          <w:szCs w:val="22"/>
        </w:rPr>
        <w:t>any</w:t>
      </w:r>
      <w:r w:rsidR="00023D8E">
        <w:rPr>
          <w:b/>
          <w:color w:val="auto"/>
          <w:sz w:val="22"/>
          <w:szCs w:val="22"/>
        </w:rPr>
        <w:t xml:space="preserve"> Human Subjects Division (HSD) staff </w:t>
      </w:r>
      <w:r>
        <w:rPr>
          <w:b/>
          <w:color w:val="auto"/>
          <w:sz w:val="22"/>
          <w:szCs w:val="22"/>
        </w:rPr>
        <w:t xml:space="preserve">who </w:t>
      </w:r>
      <w:r w:rsidR="00783F73">
        <w:rPr>
          <w:b/>
          <w:color w:val="auto"/>
          <w:sz w:val="22"/>
          <w:szCs w:val="22"/>
        </w:rPr>
        <w:t>are</w:t>
      </w:r>
      <w:r w:rsidR="00023D8E">
        <w:rPr>
          <w:b/>
          <w:color w:val="auto"/>
          <w:sz w:val="22"/>
          <w:szCs w:val="22"/>
        </w:rPr>
        <w:t xml:space="preserve"> </w:t>
      </w:r>
      <w:r w:rsidR="00783F73">
        <w:rPr>
          <w:b/>
          <w:color w:val="auto"/>
          <w:sz w:val="22"/>
          <w:szCs w:val="22"/>
        </w:rPr>
        <w:t xml:space="preserve">appointed </w:t>
      </w:r>
      <w:r w:rsidR="00023D8E">
        <w:rPr>
          <w:b/>
          <w:color w:val="auto"/>
          <w:sz w:val="22"/>
          <w:szCs w:val="22"/>
        </w:rPr>
        <w:t>as IRB members</w:t>
      </w:r>
      <w:r w:rsidR="00783F73">
        <w:rPr>
          <w:b/>
          <w:color w:val="auto"/>
          <w:sz w:val="22"/>
          <w:szCs w:val="22"/>
        </w:rPr>
        <w:t xml:space="preserve"> </w:t>
      </w:r>
      <w:r w:rsidR="00783F73" w:rsidRPr="00783F73">
        <w:rPr>
          <w:b/>
          <w:color w:val="auto"/>
          <w:sz w:val="22"/>
          <w:szCs w:val="22"/>
        </w:rPr>
        <w:t xml:space="preserve">to </w:t>
      </w:r>
      <w:r w:rsidR="0064192B">
        <w:rPr>
          <w:b/>
          <w:color w:val="auto"/>
          <w:sz w:val="22"/>
          <w:szCs w:val="22"/>
        </w:rPr>
        <w:t>a</w:t>
      </w:r>
      <w:r w:rsidR="00783F73" w:rsidRPr="00783F73">
        <w:rPr>
          <w:b/>
          <w:color w:val="auto"/>
          <w:sz w:val="22"/>
          <w:szCs w:val="22"/>
        </w:rPr>
        <w:t xml:space="preserve"> </w:t>
      </w:r>
      <w:r w:rsidR="0088587D">
        <w:rPr>
          <w:b/>
          <w:color w:val="auto"/>
          <w:sz w:val="22"/>
          <w:szCs w:val="22"/>
        </w:rPr>
        <w:t>University of Washington (</w:t>
      </w:r>
      <w:r w:rsidR="00783F73" w:rsidRPr="00783F73">
        <w:rPr>
          <w:b/>
          <w:color w:val="auto"/>
          <w:sz w:val="22"/>
          <w:szCs w:val="22"/>
        </w:rPr>
        <w:t>UW</w:t>
      </w:r>
      <w:r w:rsidR="0088587D">
        <w:rPr>
          <w:b/>
          <w:color w:val="auto"/>
          <w:sz w:val="22"/>
          <w:szCs w:val="22"/>
        </w:rPr>
        <w:t>)</w:t>
      </w:r>
      <w:r w:rsidR="00783F73" w:rsidRPr="00783F73">
        <w:rPr>
          <w:b/>
          <w:color w:val="auto"/>
          <w:sz w:val="22"/>
          <w:szCs w:val="22"/>
        </w:rPr>
        <w:t xml:space="preserve"> IRB.</w:t>
      </w:r>
      <w:r w:rsidR="00783F73">
        <w:rPr>
          <w:bCs/>
          <w:color w:val="auto"/>
          <w:sz w:val="22"/>
          <w:szCs w:val="22"/>
        </w:rPr>
        <w:t xml:space="preserve"> </w:t>
      </w:r>
      <w:r>
        <w:rPr>
          <w:bCs/>
          <w:color w:val="auto"/>
          <w:sz w:val="22"/>
          <w:szCs w:val="22"/>
        </w:rPr>
        <w:t>HSD staff</w:t>
      </w:r>
      <w:r w:rsidR="00783F73">
        <w:rPr>
          <w:bCs/>
          <w:color w:val="auto"/>
          <w:sz w:val="22"/>
          <w:szCs w:val="22"/>
        </w:rPr>
        <w:t xml:space="preserve"> serve</w:t>
      </w:r>
      <w:r w:rsidR="00145CB3">
        <w:rPr>
          <w:bCs/>
          <w:color w:val="auto"/>
          <w:sz w:val="22"/>
          <w:szCs w:val="22"/>
        </w:rPr>
        <w:t xml:space="preserve"> </w:t>
      </w:r>
      <w:r w:rsidR="00783F73">
        <w:rPr>
          <w:bCs/>
          <w:color w:val="auto"/>
          <w:sz w:val="22"/>
          <w:szCs w:val="22"/>
        </w:rPr>
        <w:t>according</w:t>
      </w:r>
      <w:r w:rsidR="00023D8E">
        <w:rPr>
          <w:bCs/>
          <w:color w:val="auto"/>
          <w:sz w:val="22"/>
          <w:szCs w:val="22"/>
        </w:rPr>
        <w:t xml:space="preserve"> to the same requirements, processes, and expectations as other IRB members</w:t>
      </w:r>
      <w:r w:rsidR="00145CB3">
        <w:rPr>
          <w:bCs/>
          <w:color w:val="auto"/>
          <w:sz w:val="22"/>
          <w:szCs w:val="22"/>
        </w:rPr>
        <w:t xml:space="preserve"> </w:t>
      </w:r>
      <w:r w:rsidR="004F0C2D">
        <w:rPr>
          <w:bCs/>
          <w:color w:val="auto"/>
          <w:sz w:val="22"/>
          <w:szCs w:val="22"/>
        </w:rPr>
        <w:t>(</w:t>
      </w:r>
      <w:r w:rsidR="004F0C2D" w:rsidRPr="002240A5">
        <w:rPr>
          <w:b/>
          <w:color w:val="auto"/>
          <w:sz w:val="22"/>
          <w:szCs w:val="22"/>
        </w:rPr>
        <w:t>SOP IRB Member Standards and Responsibilities</w:t>
      </w:r>
      <w:r w:rsidR="004F0C2D">
        <w:rPr>
          <w:bCs/>
          <w:color w:val="auto"/>
          <w:sz w:val="22"/>
          <w:szCs w:val="22"/>
        </w:rPr>
        <w:t xml:space="preserve">) </w:t>
      </w:r>
      <w:r w:rsidR="00145CB3">
        <w:rPr>
          <w:bCs/>
          <w:color w:val="auto"/>
          <w:sz w:val="22"/>
          <w:szCs w:val="22"/>
        </w:rPr>
        <w:t>unless otherwise indicated below</w:t>
      </w:r>
      <w:r w:rsidR="00023D8E">
        <w:rPr>
          <w:bCs/>
          <w:color w:val="auto"/>
          <w:sz w:val="22"/>
          <w:szCs w:val="22"/>
        </w:rPr>
        <w:t>.</w:t>
      </w:r>
      <w:r w:rsidR="00023D8E">
        <w:rPr>
          <w:b/>
          <w:color w:val="auto"/>
          <w:sz w:val="22"/>
          <w:szCs w:val="22"/>
        </w:rPr>
        <w:t xml:space="preserve"> </w:t>
      </w:r>
      <w:r w:rsidR="00DF3C04">
        <w:rPr>
          <w:bCs/>
          <w:color w:val="auto"/>
          <w:sz w:val="22"/>
          <w:szCs w:val="22"/>
        </w:rPr>
        <w:t xml:space="preserve">The IRB Director and members of the Regulatory Affairs </w:t>
      </w:r>
      <w:r w:rsidR="00DF3C04" w:rsidRPr="00A93DF2">
        <w:rPr>
          <w:bCs/>
          <w:color w:val="auto"/>
          <w:sz w:val="22"/>
          <w:szCs w:val="22"/>
        </w:rPr>
        <w:t>team are prohibited from being appointed to the IRBs.</w:t>
      </w:r>
      <w:r w:rsidR="00A93DF2" w:rsidRPr="00A93DF2">
        <w:rPr>
          <w:bCs/>
          <w:color w:val="auto"/>
          <w:sz w:val="22"/>
          <w:szCs w:val="22"/>
        </w:rPr>
        <w:t xml:space="preserve"> </w:t>
      </w:r>
      <w:r w:rsidR="00A93DF2" w:rsidRPr="00C40CF2">
        <w:rPr>
          <w:bCs/>
          <w:color w:val="auto"/>
          <w:sz w:val="22"/>
          <w:szCs w:val="22"/>
        </w:rPr>
        <w:t>The opportunity to serve as an IRB member is open to all eligible persons regardless of race, sex or other identity</w:t>
      </w:r>
      <w:r w:rsidR="009674B5" w:rsidRPr="00C40CF2">
        <w:rPr>
          <w:bCs/>
          <w:color w:val="auto"/>
          <w:sz w:val="22"/>
          <w:szCs w:val="22"/>
        </w:rPr>
        <w:t>.</w:t>
      </w:r>
    </w:p>
    <w:p w14:paraId="0DEE0488" w14:textId="7ED74F51" w:rsidR="00A03C60" w:rsidRPr="00DF3C04" w:rsidRDefault="00A03C60" w:rsidP="00145CB3">
      <w:pPr>
        <w:pStyle w:val="NoSpacing"/>
        <w:tabs>
          <w:tab w:val="left" w:pos="360"/>
        </w:tabs>
        <w:ind w:left="360"/>
        <w:outlineLvl w:val="0"/>
        <w:rPr>
          <w:bCs/>
          <w:color w:val="auto"/>
          <w:sz w:val="22"/>
          <w:szCs w:val="22"/>
        </w:rPr>
      </w:pPr>
    </w:p>
    <w:p w14:paraId="703FA764" w14:textId="77777777" w:rsidR="00142909" w:rsidRPr="00B00AFA" w:rsidRDefault="00142909" w:rsidP="00142909">
      <w:pPr>
        <w:pStyle w:val="NoSpacing"/>
        <w:outlineLvl w:val="0"/>
        <w:rPr>
          <w:color w:val="auto"/>
          <w:sz w:val="22"/>
          <w:szCs w:val="22"/>
        </w:rPr>
      </w:pPr>
    </w:p>
    <w:p w14:paraId="5505976B" w14:textId="041D8230" w:rsidR="00142909" w:rsidRDefault="00142909" w:rsidP="00142909">
      <w:pPr>
        <w:pStyle w:val="NoSpacing"/>
        <w:ind w:left="360" w:hanging="360"/>
        <w:outlineLvl w:val="0"/>
        <w:rPr>
          <w:b/>
          <w:color w:val="auto"/>
          <w:sz w:val="22"/>
          <w:szCs w:val="22"/>
        </w:rPr>
      </w:pPr>
      <w:r w:rsidRPr="00590473">
        <w:rPr>
          <w:b/>
          <w:color w:val="auto"/>
          <w:sz w:val="22"/>
          <w:szCs w:val="22"/>
        </w:rPr>
        <w:t xml:space="preserve">3 </w:t>
      </w:r>
      <w:r w:rsidRPr="00590473">
        <w:rPr>
          <w:b/>
          <w:color w:val="auto"/>
          <w:sz w:val="22"/>
          <w:szCs w:val="22"/>
        </w:rPr>
        <w:tab/>
        <w:t>PROCEDURES</w:t>
      </w:r>
    </w:p>
    <w:p w14:paraId="7B181399" w14:textId="65B4BC35" w:rsidR="00AA41F2" w:rsidRDefault="00AA41F2" w:rsidP="00142909">
      <w:pPr>
        <w:pStyle w:val="NoSpacing"/>
        <w:ind w:left="360" w:hanging="360"/>
        <w:outlineLvl w:val="0"/>
        <w:rPr>
          <w:b/>
          <w:color w:val="auto"/>
          <w:sz w:val="22"/>
          <w:szCs w:val="22"/>
        </w:rPr>
      </w:pPr>
    </w:p>
    <w:p w14:paraId="744BF486" w14:textId="12389241" w:rsidR="009B3608" w:rsidRDefault="00AA41F2" w:rsidP="006651D0">
      <w:pPr>
        <w:pStyle w:val="NoSpacing"/>
        <w:tabs>
          <w:tab w:val="left" w:pos="810"/>
        </w:tabs>
        <w:spacing w:after="120"/>
        <w:ind w:left="360"/>
        <w:outlineLvl w:val="0"/>
        <w:rPr>
          <w:bCs/>
          <w:color w:val="auto"/>
          <w:sz w:val="22"/>
          <w:szCs w:val="22"/>
        </w:rPr>
      </w:pPr>
      <w:r>
        <w:rPr>
          <w:bCs/>
          <w:color w:val="auto"/>
          <w:sz w:val="22"/>
          <w:szCs w:val="22"/>
        </w:rPr>
        <w:t>3.1</w:t>
      </w:r>
      <w:r>
        <w:rPr>
          <w:bCs/>
          <w:color w:val="auto"/>
          <w:sz w:val="22"/>
          <w:szCs w:val="22"/>
        </w:rPr>
        <w:tab/>
      </w:r>
      <w:r w:rsidR="009B3608">
        <w:rPr>
          <w:b/>
          <w:color w:val="auto"/>
          <w:sz w:val="22"/>
          <w:szCs w:val="22"/>
        </w:rPr>
        <w:t xml:space="preserve">IRB composition. </w:t>
      </w:r>
      <w:r w:rsidR="009B3608">
        <w:rPr>
          <w:bCs/>
          <w:color w:val="auto"/>
          <w:sz w:val="22"/>
          <w:szCs w:val="22"/>
        </w:rPr>
        <w:t xml:space="preserve">In accordance with federal </w:t>
      </w:r>
      <w:r w:rsidR="00B03859">
        <w:rPr>
          <w:bCs/>
          <w:color w:val="auto"/>
          <w:sz w:val="22"/>
          <w:szCs w:val="22"/>
        </w:rPr>
        <w:t xml:space="preserve">and state </w:t>
      </w:r>
      <w:r w:rsidR="009B3608">
        <w:rPr>
          <w:bCs/>
          <w:color w:val="auto"/>
          <w:sz w:val="22"/>
          <w:szCs w:val="22"/>
        </w:rPr>
        <w:t>regulations</w:t>
      </w:r>
      <w:r w:rsidR="00B03859">
        <w:rPr>
          <w:bCs/>
          <w:color w:val="auto"/>
          <w:sz w:val="22"/>
          <w:szCs w:val="22"/>
        </w:rPr>
        <w:t xml:space="preserve"> and UW policy,</w:t>
      </w:r>
      <w:r w:rsidR="009B3608">
        <w:rPr>
          <w:bCs/>
          <w:color w:val="auto"/>
          <w:sz w:val="22"/>
          <w:szCs w:val="22"/>
        </w:rPr>
        <w:t xml:space="preserve"> each UW IRB:</w:t>
      </w:r>
    </w:p>
    <w:p w14:paraId="2F6A88B7" w14:textId="407BA9C8" w:rsidR="009B3608" w:rsidRDefault="009B3608" w:rsidP="00530E1D">
      <w:pPr>
        <w:pStyle w:val="NoSpacing"/>
        <w:numPr>
          <w:ilvl w:val="0"/>
          <w:numId w:val="39"/>
        </w:numPr>
        <w:spacing w:after="60"/>
        <w:ind w:left="1080" w:hanging="180"/>
        <w:outlineLvl w:val="0"/>
        <w:rPr>
          <w:bCs/>
          <w:color w:val="auto"/>
          <w:sz w:val="22"/>
          <w:szCs w:val="22"/>
        </w:rPr>
      </w:pPr>
      <w:proofErr w:type="gramStart"/>
      <w:r>
        <w:rPr>
          <w:bCs/>
          <w:color w:val="auto"/>
          <w:sz w:val="22"/>
          <w:szCs w:val="22"/>
        </w:rPr>
        <w:t>Consists</w:t>
      </w:r>
      <w:proofErr w:type="gramEnd"/>
      <w:r>
        <w:rPr>
          <w:bCs/>
          <w:color w:val="auto"/>
          <w:sz w:val="22"/>
          <w:szCs w:val="22"/>
        </w:rPr>
        <w:t xml:space="preserve"> of at least five members. Overlapping membership between IRBs is permitted.</w:t>
      </w:r>
    </w:p>
    <w:p w14:paraId="49CAC9ED" w14:textId="370895A2" w:rsidR="009B3608" w:rsidRDefault="009B3608" w:rsidP="00530E1D">
      <w:pPr>
        <w:pStyle w:val="NoSpacing"/>
        <w:numPr>
          <w:ilvl w:val="0"/>
          <w:numId w:val="39"/>
        </w:numPr>
        <w:spacing w:after="60"/>
        <w:ind w:left="1080" w:hanging="180"/>
        <w:outlineLvl w:val="0"/>
        <w:rPr>
          <w:bCs/>
          <w:color w:val="auto"/>
          <w:sz w:val="22"/>
          <w:szCs w:val="22"/>
        </w:rPr>
      </w:pPr>
      <w:r>
        <w:rPr>
          <w:bCs/>
          <w:color w:val="auto"/>
          <w:sz w:val="22"/>
          <w:szCs w:val="22"/>
        </w:rPr>
        <w:t xml:space="preserve">Includes at least one </w:t>
      </w:r>
      <w:hyperlink w:anchor="scientist" w:history="1">
        <w:r w:rsidRPr="00996BAD">
          <w:rPr>
            <w:rStyle w:val="Hyperlink"/>
            <w:bCs/>
            <w:sz w:val="22"/>
            <w:szCs w:val="22"/>
          </w:rPr>
          <w:t>scientist member</w:t>
        </w:r>
      </w:hyperlink>
      <w:r w:rsidR="00996BAD">
        <w:rPr>
          <w:bCs/>
          <w:color w:val="auto"/>
          <w:sz w:val="22"/>
          <w:szCs w:val="22"/>
        </w:rPr>
        <w:t>.</w:t>
      </w:r>
    </w:p>
    <w:p w14:paraId="502344AE" w14:textId="5D622800" w:rsidR="009B3608" w:rsidRDefault="009B3608" w:rsidP="00530E1D">
      <w:pPr>
        <w:pStyle w:val="NoSpacing"/>
        <w:numPr>
          <w:ilvl w:val="0"/>
          <w:numId w:val="39"/>
        </w:numPr>
        <w:spacing w:after="60"/>
        <w:ind w:left="1080" w:hanging="180"/>
        <w:outlineLvl w:val="0"/>
        <w:rPr>
          <w:bCs/>
          <w:color w:val="auto"/>
          <w:sz w:val="22"/>
          <w:szCs w:val="22"/>
        </w:rPr>
      </w:pPr>
      <w:r>
        <w:rPr>
          <w:bCs/>
          <w:color w:val="auto"/>
          <w:sz w:val="22"/>
          <w:szCs w:val="22"/>
        </w:rPr>
        <w:t>Includes at least on</w:t>
      </w:r>
      <w:r w:rsidR="00EE03FB">
        <w:rPr>
          <w:bCs/>
          <w:color w:val="auto"/>
          <w:sz w:val="22"/>
          <w:szCs w:val="22"/>
        </w:rPr>
        <w:t>e</w:t>
      </w:r>
      <w:r>
        <w:rPr>
          <w:bCs/>
          <w:color w:val="auto"/>
          <w:sz w:val="22"/>
          <w:szCs w:val="22"/>
        </w:rPr>
        <w:t xml:space="preserve"> </w:t>
      </w:r>
      <w:hyperlink w:anchor="scientist" w:history="1">
        <w:r w:rsidRPr="00996BAD">
          <w:rPr>
            <w:rStyle w:val="Hyperlink"/>
            <w:bCs/>
            <w:sz w:val="22"/>
            <w:szCs w:val="22"/>
          </w:rPr>
          <w:t>nonscientist member</w:t>
        </w:r>
      </w:hyperlink>
      <w:r w:rsidR="00996BAD">
        <w:rPr>
          <w:bCs/>
          <w:color w:val="auto"/>
          <w:sz w:val="22"/>
          <w:szCs w:val="22"/>
        </w:rPr>
        <w:t>.</w:t>
      </w:r>
    </w:p>
    <w:p w14:paraId="4B58EC68" w14:textId="32F26AA2" w:rsidR="009B3608" w:rsidRDefault="009B3608" w:rsidP="00530E1D">
      <w:pPr>
        <w:pStyle w:val="NoSpacing"/>
        <w:numPr>
          <w:ilvl w:val="0"/>
          <w:numId w:val="39"/>
        </w:numPr>
        <w:spacing w:after="60"/>
        <w:ind w:left="1080" w:hanging="180"/>
        <w:outlineLvl w:val="0"/>
        <w:rPr>
          <w:bCs/>
          <w:color w:val="auto"/>
          <w:sz w:val="22"/>
          <w:szCs w:val="22"/>
        </w:rPr>
      </w:pPr>
      <w:r>
        <w:rPr>
          <w:bCs/>
          <w:color w:val="auto"/>
          <w:sz w:val="22"/>
          <w:szCs w:val="22"/>
        </w:rPr>
        <w:t>Includes a</w:t>
      </w:r>
      <w:r w:rsidR="0064192B">
        <w:rPr>
          <w:bCs/>
          <w:color w:val="auto"/>
          <w:sz w:val="22"/>
          <w:szCs w:val="22"/>
        </w:rPr>
        <w:t>t</w:t>
      </w:r>
      <w:r>
        <w:rPr>
          <w:bCs/>
          <w:color w:val="auto"/>
          <w:sz w:val="22"/>
          <w:szCs w:val="22"/>
        </w:rPr>
        <w:t xml:space="preserve"> least one member </w:t>
      </w:r>
      <w:r w:rsidR="00F7271E">
        <w:rPr>
          <w:bCs/>
          <w:color w:val="auto"/>
          <w:sz w:val="22"/>
          <w:szCs w:val="22"/>
        </w:rPr>
        <w:t xml:space="preserve">who </w:t>
      </w:r>
      <w:r>
        <w:rPr>
          <w:bCs/>
          <w:color w:val="auto"/>
          <w:sz w:val="22"/>
          <w:szCs w:val="22"/>
        </w:rPr>
        <w:t xml:space="preserve">is not otherwise </w:t>
      </w:r>
      <w:hyperlink w:anchor="affiliation" w:history="1">
        <w:r w:rsidRPr="00996BAD">
          <w:rPr>
            <w:rStyle w:val="Hyperlink"/>
            <w:bCs/>
            <w:sz w:val="22"/>
            <w:szCs w:val="22"/>
          </w:rPr>
          <w:t>affiliated with the UW</w:t>
        </w:r>
      </w:hyperlink>
      <w:r>
        <w:rPr>
          <w:bCs/>
          <w:color w:val="auto"/>
          <w:sz w:val="22"/>
          <w:szCs w:val="22"/>
        </w:rPr>
        <w:t xml:space="preserve"> and who is not part of the immediate family of a person who is affiliated with the UW.</w:t>
      </w:r>
    </w:p>
    <w:p w14:paraId="1D603274" w14:textId="02193786" w:rsidR="00C15F10" w:rsidRDefault="009B3608" w:rsidP="00530E1D">
      <w:pPr>
        <w:pStyle w:val="NoSpacing"/>
        <w:numPr>
          <w:ilvl w:val="0"/>
          <w:numId w:val="39"/>
        </w:numPr>
        <w:spacing w:after="60"/>
        <w:ind w:left="1080" w:hanging="180"/>
        <w:outlineLvl w:val="0"/>
        <w:rPr>
          <w:bCs/>
          <w:color w:val="auto"/>
          <w:sz w:val="22"/>
          <w:szCs w:val="22"/>
        </w:rPr>
      </w:pPr>
      <w:proofErr w:type="gramStart"/>
      <w:r>
        <w:rPr>
          <w:bCs/>
          <w:color w:val="auto"/>
          <w:sz w:val="22"/>
          <w:szCs w:val="22"/>
        </w:rPr>
        <w:t>Is</w:t>
      </w:r>
      <w:proofErr w:type="gramEnd"/>
      <w:r>
        <w:rPr>
          <w:bCs/>
          <w:color w:val="auto"/>
          <w:sz w:val="22"/>
          <w:szCs w:val="22"/>
        </w:rPr>
        <w:t xml:space="preserve"> sufficiently qualified through the experience and expertise of its members, and the diversity of its members, including considerations of race, gender, and cultural backgrounds and sensitivity to such issues as community attitudes, to promote</w:t>
      </w:r>
      <w:r w:rsidR="00653A4E">
        <w:rPr>
          <w:bCs/>
          <w:color w:val="auto"/>
          <w:sz w:val="22"/>
          <w:szCs w:val="22"/>
        </w:rPr>
        <w:t xml:space="preserve"> respect for its advice and counsel in safeguarding the rights and welfare of subjects</w:t>
      </w:r>
      <w:r>
        <w:rPr>
          <w:bCs/>
          <w:color w:val="auto"/>
          <w:sz w:val="22"/>
          <w:szCs w:val="22"/>
        </w:rPr>
        <w:t>.</w:t>
      </w:r>
    </w:p>
    <w:p w14:paraId="7108765D" w14:textId="2EAC164F" w:rsidR="009B3608" w:rsidRDefault="00C15F10" w:rsidP="00530E1D">
      <w:pPr>
        <w:pStyle w:val="NoSpacing"/>
        <w:numPr>
          <w:ilvl w:val="1"/>
          <w:numId w:val="39"/>
        </w:numPr>
        <w:tabs>
          <w:tab w:val="left" w:pos="810"/>
        </w:tabs>
        <w:spacing w:after="60"/>
        <w:ind w:left="1530" w:hanging="270"/>
        <w:outlineLvl w:val="0"/>
        <w:rPr>
          <w:bCs/>
          <w:color w:val="auto"/>
          <w:sz w:val="22"/>
          <w:szCs w:val="22"/>
        </w:rPr>
      </w:pPr>
      <w:r>
        <w:rPr>
          <w:bCs/>
          <w:color w:val="auto"/>
          <w:sz w:val="22"/>
          <w:szCs w:val="22"/>
        </w:rPr>
        <w:t>Participation of a consultant may be sought when the</w:t>
      </w:r>
      <w:r w:rsidR="00BC491C">
        <w:rPr>
          <w:bCs/>
          <w:color w:val="auto"/>
          <w:sz w:val="22"/>
          <w:szCs w:val="22"/>
        </w:rPr>
        <w:t xml:space="preserve"> IRB </w:t>
      </w:r>
      <w:r>
        <w:rPr>
          <w:bCs/>
          <w:color w:val="auto"/>
          <w:sz w:val="22"/>
          <w:szCs w:val="22"/>
        </w:rPr>
        <w:t>has a</w:t>
      </w:r>
      <w:r w:rsidR="00BC491C">
        <w:rPr>
          <w:bCs/>
          <w:color w:val="auto"/>
          <w:sz w:val="22"/>
          <w:szCs w:val="22"/>
        </w:rPr>
        <w:t xml:space="preserve"> need to supplement</w:t>
      </w:r>
      <w:r>
        <w:rPr>
          <w:bCs/>
          <w:color w:val="auto"/>
          <w:sz w:val="22"/>
          <w:szCs w:val="22"/>
        </w:rPr>
        <w:t xml:space="preserve"> their</w:t>
      </w:r>
      <w:r w:rsidR="00BC491C">
        <w:rPr>
          <w:bCs/>
          <w:color w:val="auto"/>
          <w:sz w:val="22"/>
          <w:szCs w:val="22"/>
        </w:rPr>
        <w:t xml:space="preserve"> expertise on a particular topic</w:t>
      </w:r>
      <w:r w:rsidR="009B3608">
        <w:rPr>
          <w:bCs/>
          <w:color w:val="auto"/>
          <w:sz w:val="22"/>
          <w:szCs w:val="22"/>
        </w:rPr>
        <w:t xml:space="preserve"> (</w:t>
      </w:r>
      <w:r w:rsidR="009B3608">
        <w:rPr>
          <w:b/>
          <w:color w:val="auto"/>
          <w:sz w:val="22"/>
          <w:szCs w:val="22"/>
        </w:rPr>
        <w:t>SOP IRB Consultants</w:t>
      </w:r>
      <w:r w:rsidR="009B3608">
        <w:rPr>
          <w:bCs/>
          <w:color w:val="auto"/>
          <w:sz w:val="22"/>
          <w:szCs w:val="22"/>
        </w:rPr>
        <w:t xml:space="preserve">). </w:t>
      </w:r>
    </w:p>
    <w:p w14:paraId="1AE0A9E5" w14:textId="11C27AC9" w:rsidR="00C15F10" w:rsidRDefault="00C15F10" w:rsidP="00530E1D">
      <w:pPr>
        <w:pStyle w:val="NoSpacing"/>
        <w:numPr>
          <w:ilvl w:val="1"/>
          <w:numId w:val="39"/>
        </w:numPr>
        <w:tabs>
          <w:tab w:val="left" w:pos="810"/>
        </w:tabs>
        <w:spacing w:after="60"/>
        <w:ind w:left="1530" w:hanging="270"/>
        <w:outlineLvl w:val="0"/>
        <w:rPr>
          <w:bCs/>
          <w:color w:val="auto"/>
          <w:sz w:val="22"/>
          <w:szCs w:val="22"/>
        </w:rPr>
      </w:pPr>
      <w:r>
        <w:rPr>
          <w:bCs/>
          <w:color w:val="auto"/>
          <w:sz w:val="22"/>
          <w:szCs w:val="22"/>
        </w:rPr>
        <w:t xml:space="preserve">Every nondiscriminatory effort will be made to ensure that </w:t>
      </w:r>
      <w:r w:rsidR="00EC3F46">
        <w:rPr>
          <w:bCs/>
          <w:color w:val="auto"/>
          <w:sz w:val="22"/>
          <w:szCs w:val="22"/>
        </w:rPr>
        <w:t xml:space="preserve">each </w:t>
      </w:r>
      <w:r>
        <w:rPr>
          <w:bCs/>
          <w:color w:val="auto"/>
          <w:sz w:val="22"/>
          <w:szCs w:val="22"/>
        </w:rPr>
        <w:t xml:space="preserve">IRB </w:t>
      </w:r>
      <w:r w:rsidR="00EC3F46">
        <w:rPr>
          <w:bCs/>
          <w:color w:val="auto"/>
          <w:sz w:val="22"/>
          <w:szCs w:val="22"/>
        </w:rPr>
        <w:t>is gender inclusive</w:t>
      </w:r>
      <w:r w:rsidR="00B72BEF">
        <w:rPr>
          <w:bCs/>
          <w:color w:val="auto"/>
          <w:sz w:val="22"/>
          <w:szCs w:val="22"/>
        </w:rPr>
        <w:t xml:space="preserve"> </w:t>
      </w:r>
      <w:r w:rsidR="000258D8">
        <w:rPr>
          <w:bCs/>
          <w:color w:val="auto"/>
          <w:sz w:val="22"/>
          <w:szCs w:val="22"/>
        </w:rPr>
        <w:t>and that</w:t>
      </w:r>
      <w:r>
        <w:rPr>
          <w:bCs/>
          <w:color w:val="auto"/>
          <w:sz w:val="22"/>
          <w:szCs w:val="22"/>
        </w:rPr>
        <w:t xml:space="preserve"> qualified </w:t>
      </w:r>
      <w:proofErr w:type="gramStart"/>
      <w:r>
        <w:rPr>
          <w:bCs/>
          <w:color w:val="auto"/>
          <w:sz w:val="22"/>
          <w:szCs w:val="22"/>
        </w:rPr>
        <w:t>persons</w:t>
      </w:r>
      <w:proofErr w:type="gramEnd"/>
      <w:r>
        <w:rPr>
          <w:bCs/>
          <w:color w:val="auto"/>
          <w:sz w:val="22"/>
          <w:szCs w:val="22"/>
        </w:rPr>
        <w:t xml:space="preserve"> of </w:t>
      </w:r>
      <w:r w:rsidR="00EC3F46">
        <w:rPr>
          <w:bCs/>
          <w:color w:val="auto"/>
          <w:sz w:val="22"/>
          <w:szCs w:val="22"/>
        </w:rPr>
        <w:t>any gender</w:t>
      </w:r>
      <w:r w:rsidR="000258D8">
        <w:rPr>
          <w:bCs/>
          <w:color w:val="auto"/>
          <w:sz w:val="22"/>
          <w:szCs w:val="22"/>
        </w:rPr>
        <w:t xml:space="preserve"> will be considered</w:t>
      </w:r>
      <w:r>
        <w:rPr>
          <w:bCs/>
          <w:color w:val="auto"/>
          <w:sz w:val="22"/>
          <w:szCs w:val="22"/>
        </w:rPr>
        <w:t xml:space="preserve">, so long as no selection is made </w:t>
      </w:r>
      <w:proofErr w:type="gramStart"/>
      <w:r>
        <w:rPr>
          <w:bCs/>
          <w:color w:val="auto"/>
          <w:sz w:val="22"/>
          <w:szCs w:val="22"/>
        </w:rPr>
        <w:t>on the basis of</w:t>
      </w:r>
      <w:proofErr w:type="gramEnd"/>
      <w:r>
        <w:rPr>
          <w:bCs/>
          <w:color w:val="auto"/>
          <w:sz w:val="22"/>
          <w:szCs w:val="22"/>
        </w:rPr>
        <w:t xml:space="preserve"> gender.</w:t>
      </w:r>
    </w:p>
    <w:p w14:paraId="7663CB33" w14:textId="155ACD40" w:rsidR="00C15F10" w:rsidRDefault="00C15F10" w:rsidP="00530E1D">
      <w:pPr>
        <w:pStyle w:val="NoSpacing"/>
        <w:numPr>
          <w:ilvl w:val="1"/>
          <w:numId w:val="39"/>
        </w:numPr>
        <w:tabs>
          <w:tab w:val="left" w:pos="810"/>
        </w:tabs>
        <w:spacing w:after="60"/>
        <w:ind w:left="1530" w:hanging="270"/>
        <w:outlineLvl w:val="0"/>
        <w:rPr>
          <w:bCs/>
          <w:color w:val="auto"/>
          <w:sz w:val="22"/>
          <w:szCs w:val="22"/>
        </w:rPr>
      </w:pPr>
      <w:r>
        <w:rPr>
          <w:bCs/>
          <w:color w:val="auto"/>
          <w:sz w:val="22"/>
          <w:szCs w:val="22"/>
        </w:rPr>
        <w:t>No IRB may consist entirely of members of one profession.</w:t>
      </w:r>
    </w:p>
    <w:p w14:paraId="68C8020D" w14:textId="1AE81D82" w:rsidR="009B3608" w:rsidRDefault="00246EAF" w:rsidP="00530E1D">
      <w:pPr>
        <w:pStyle w:val="NoSpacing"/>
        <w:numPr>
          <w:ilvl w:val="0"/>
          <w:numId w:val="39"/>
        </w:numPr>
        <w:tabs>
          <w:tab w:val="left" w:pos="810"/>
        </w:tabs>
        <w:spacing w:after="60"/>
        <w:ind w:left="1080" w:hanging="180"/>
        <w:outlineLvl w:val="0"/>
        <w:rPr>
          <w:bCs/>
          <w:color w:val="auto"/>
          <w:sz w:val="22"/>
          <w:szCs w:val="22"/>
        </w:rPr>
      </w:pPr>
      <w:proofErr w:type="gramStart"/>
      <w:r>
        <w:rPr>
          <w:bCs/>
          <w:color w:val="auto"/>
          <w:sz w:val="22"/>
          <w:szCs w:val="22"/>
        </w:rPr>
        <w:t>Is able to</w:t>
      </w:r>
      <w:proofErr w:type="gramEnd"/>
      <w:r>
        <w:rPr>
          <w:bCs/>
          <w:color w:val="auto"/>
          <w:sz w:val="22"/>
          <w:szCs w:val="22"/>
        </w:rPr>
        <w:t xml:space="preserve"> ascertain the acceptability of proposed research in terms of institutional commitments </w:t>
      </w:r>
      <w:r w:rsidR="00653A4E">
        <w:rPr>
          <w:bCs/>
          <w:color w:val="auto"/>
          <w:sz w:val="22"/>
          <w:szCs w:val="22"/>
        </w:rPr>
        <w:t xml:space="preserve">(policies and resources), </w:t>
      </w:r>
      <w:r>
        <w:rPr>
          <w:bCs/>
          <w:color w:val="auto"/>
          <w:sz w:val="22"/>
          <w:szCs w:val="22"/>
        </w:rPr>
        <w:t>and regulations, applicable law, and standards of professional conduct and practice</w:t>
      </w:r>
      <w:r w:rsidR="000258D8">
        <w:rPr>
          <w:bCs/>
          <w:color w:val="auto"/>
          <w:sz w:val="22"/>
          <w:szCs w:val="22"/>
        </w:rPr>
        <w:t>, when these issues are appropriately part of the UW IRB’s roles and responsibilities</w:t>
      </w:r>
      <w:r>
        <w:rPr>
          <w:bCs/>
          <w:color w:val="auto"/>
          <w:sz w:val="22"/>
          <w:szCs w:val="22"/>
        </w:rPr>
        <w:t xml:space="preserve">. </w:t>
      </w:r>
    </w:p>
    <w:p w14:paraId="686BB857" w14:textId="67AC0BFA" w:rsidR="00246EAF" w:rsidRDefault="00EE03FB" w:rsidP="00530E1D">
      <w:pPr>
        <w:pStyle w:val="NoSpacing"/>
        <w:numPr>
          <w:ilvl w:val="0"/>
          <w:numId w:val="39"/>
        </w:numPr>
        <w:tabs>
          <w:tab w:val="left" w:pos="810"/>
        </w:tabs>
        <w:spacing w:after="60"/>
        <w:ind w:left="1080" w:hanging="180"/>
        <w:outlineLvl w:val="0"/>
        <w:rPr>
          <w:bCs/>
          <w:color w:val="auto"/>
          <w:sz w:val="22"/>
          <w:szCs w:val="22"/>
        </w:rPr>
      </w:pPr>
      <w:r>
        <w:rPr>
          <w:bCs/>
          <w:color w:val="auto"/>
          <w:sz w:val="22"/>
          <w:szCs w:val="22"/>
        </w:rPr>
        <w:t>Includes one or more members who are knowledgeable about and experienced in working with protected or vulnerable populations (e.g., children, prisoners, pregnant women, mentally disabled persons) w</w:t>
      </w:r>
      <w:r w:rsidR="00246EAF">
        <w:rPr>
          <w:bCs/>
          <w:color w:val="auto"/>
          <w:sz w:val="22"/>
          <w:szCs w:val="22"/>
        </w:rPr>
        <w:t xml:space="preserve">hen reviewing research involving </w:t>
      </w:r>
      <w:r>
        <w:rPr>
          <w:bCs/>
          <w:color w:val="auto"/>
          <w:sz w:val="22"/>
          <w:szCs w:val="22"/>
        </w:rPr>
        <w:t xml:space="preserve">those populations. Alternatively, the IRB may </w:t>
      </w:r>
      <w:r w:rsidR="00246EAF">
        <w:rPr>
          <w:bCs/>
          <w:color w:val="auto"/>
          <w:sz w:val="22"/>
          <w:szCs w:val="22"/>
        </w:rPr>
        <w:t xml:space="preserve">draw upon an expert consultation for this purpose. </w:t>
      </w:r>
    </w:p>
    <w:p w14:paraId="4E54634A" w14:textId="1671F630" w:rsidR="0064611D" w:rsidRDefault="0064611D" w:rsidP="0064611D">
      <w:pPr>
        <w:tabs>
          <w:tab w:val="left" w:pos="810"/>
        </w:tabs>
      </w:pPr>
      <w:r>
        <w:lastRenderedPageBreak/>
        <w:tab/>
      </w:r>
    </w:p>
    <w:p w14:paraId="69A90CE8" w14:textId="5A165793" w:rsidR="00F53E8B" w:rsidRPr="00F53E8B" w:rsidRDefault="00F53E8B" w:rsidP="00AA097F">
      <w:pPr>
        <w:tabs>
          <w:tab w:val="left" w:pos="810"/>
          <w:tab w:val="left" w:pos="1373"/>
        </w:tabs>
      </w:pPr>
      <w:r>
        <w:tab/>
      </w:r>
      <w:r w:rsidR="00590C15">
        <w:tab/>
      </w:r>
    </w:p>
    <w:p w14:paraId="0584DE58" w14:textId="6CED1B5A" w:rsidR="00C15F10" w:rsidRDefault="00EE03FB" w:rsidP="00530E1D">
      <w:pPr>
        <w:pStyle w:val="NoSpacing"/>
        <w:numPr>
          <w:ilvl w:val="0"/>
          <w:numId w:val="39"/>
        </w:numPr>
        <w:tabs>
          <w:tab w:val="left" w:pos="810"/>
        </w:tabs>
        <w:spacing w:after="60"/>
        <w:ind w:left="1080" w:hanging="180"/>
        <w:outlineLvl w:val="0"/>
        <w:rPr>
          <w:bCs/>
          <w:color w:val="auto"/>
          <w:sz w:val="22"/>
          <w:szCs w:val="22"/>
        </w:rPr>
      </w:pPr>
      <w:r>
        <w:rPr>
          <w:bCs/>
          <w:color w:val="auto"/>
          <w:sz w:val="22"/>
          <w:szCs w:val="22"/>
        </w:rPr>
        <w:t>Ensures</w:t>
      </w:r>
      <w:r w:rsidR="00C15F10">
        <w:rPr>
          <w:bCs/>
          <w:color w:val="auto"/>
          <w:sz w:val="22"/>
          <w:szCs w:val="22"/>
        </w:rPr>
        <w:t xml:space="preserve"> compliance with the American Nursing Magnet program</w:t>
      </w:r>
      <w:r>
        <w:rPr>
          <w:bCs/>
          <w:color w:val="auto"/>
          <w:sz w:val="22"/>
          <w:szCs w:val="22"/>
        </w:rPr>
        <w:t xml:space="preserve"> by requiring </w:t>
      </w:r>
      <w:r w:rsidR="00C15F10">
        <w:rPr>
          <w:bCs/>
          <w:color w:val="auto"/>
          <w:sz w:val="22"/>
          <w:szCs w:val="22"/>
        </w:rPr>
        <w:t xml:space="preserve">at least one nurse IRB member </w:t>
      </w:r>
      <w:r w:rsidR="000258D8">
        <w:rPr>
          <w:bCs/>
          <w:color w:val="auto"/>
          <w:sz w:val="22"/>
          <w:szCs w:val="22"/>
        </w:rPr>
        <w:t>to votes</w:t>
      </w:r>
      <w:r w:rsidR="00C15F10">
        <w:rPr>
          <w:bCs/>
          <w:color w:val="auto"/>
          <w:sz w:val="22"/>
          <w:szCs w:val="22"/>
        </w:rPr>
        <w:t xml:space="preserve"> on nursing-related protocols that are reviewed by the convened IRB.</w:t>
      </w:r>
    </w:p>
    <w:p w14:paraId="4A3FCFDA" w14:textId="4AB9E20B" w:rsidR="006651D0" w:rsidRPr="00647DC9" w:rsidRDefault="00340472" w:rsidP="00647DC9">
      <w:pPr>
        <w:pStyle w:val="NoSpacing"/>
        <w:numPr>
          <w:ilvl w:val="0"/>
          <w:numId w:val="39"/>
        </w:numPr>
        <w:tabs>
          <w:tab w:val="left" w:pos="810"/>
        </w:tabs>
        <w:spacing w:after="120"/>
        <w:ind w:left="1080" w:hanging="180"/>
        <w:outlineLvl w:val="0"/>
        <w:rPr>
          <w:bCs/>
          <w:color w:val="auto"/>
          <w:sz w:val="22"/>
          <w:szCs w:val="22"/>
        </w:rPr>
      </w:pPr>
      <w:r>
        <w:rPr>
          <w:bCs/>
          <w:color w:val="auto"/>
          <w:sz w:val="22"/>
          <w:szCs w:val="22"/>
        </w:rPr>
        <w:t>May include</w:t>
      </w:r>
      <w:r w:rsidR="00EE03FB">
        <w:rPr>
          <w:bCs/>
          <w:color w:val="auto"/>
          <w:sz w:val="22"/>
          <w:szCs w:val="22"/>
        </w:rPr>
        <w:t xml:space="preserve"> </w:t>
      </w:r>
      <w:hyperlink w:anchor="alternate" w:history="1">
        <w:r w:rsidR="00EE03FB" w:rsidRPr="00996BAD">
          <w:rPr>
            <w:rStyle w:val="Hyperlink"/>
            <w:bCs/>
            <w:sz w:val="22"/>
            <w:szCs w:val="22"/>
          </w:rPr>
          <w:t>a</w:t>
        </w:r>
        <w:r w:rsidR="00C15F10" w:rsidRPr="00996BAD">
          <w:rPr>
            <w:rStyle w:val="Hyperlink"/>
            <w:bCs/>
            <w:sz w:val="22"/>
            <w:szCs w:val="22"/>
          </w:rPr>
          <w:t xml:space="preserve">lternate </w:t>
        </w:r>
        <w:r w:rsidR="00DC2A84" w:rsidRPr="00996BAD">
          <w:rPr>
            <w:rStyle w:val="Hyperlink"/>
            <w:bCs/>
            <w:sz w:val="22"/>
            <w:szCs w:val="22"/>
          </w:rPr>
          <w:t xml:space="preserve">IRB </w:t>
        </w:r>
        <w:r w:rsidR="00C15F10" w:rsidRPr="00996BAD">
          <w:rPr>
            <w:rStyle w:val="Hyperlink"/>
            <w:bCs/>
            <w:sz w:val="22"/>
            <w:szCs w:val="22"/>
          </w:rPr>
          <w:t>members</w:t>
        </w:r>
      </w:hyperlink>
      <w:r w:rsidR="00C15F10">
        <w:rPr>
          <w:bCs/>
          <w:color w:val="auto"/>
          <w:sz w:val="22"/>
          <w:szCs w:val="22"/>
        </w:rPr>
        <w:t xml:space="preserve"> for primary members.</w:t>
      </w:r>
    </w:p>
    <w:p w14:paraId="5486A4D5" w14:textId="5821ACB7" w:rsidR="00044F23" w:rsidRDefault="006F7F58" w:rsidP="00647DC9">
      <w:pPr>
        <w:pStyle w:val="NoSpacing"/>
        <w:tabs>
          <w:tab w:val="left" w:pos="810"/>
        </w:tabs>
        <w:spacing w:after="120"/>
        <w:ind w:left="810" w:hanging="450"/>
        <w:outlineLvl w:val="0"/>
        <w:rPr>
          <w:bCs/>
          <w:color w:val="auto"/>
          <w:sz w:val="22"/>
          <w:szCs w:val="22"/>
        </w:rPr>
      </w:pPr>
      <w:r>
        <w:rPr>
          <w:bCs/>
          <w:color w:val="auto"/>
          <w:sz w:val="22"/>
          <w:szCs w:val="22"/>
        </w:rPr>
        <w:t>3.2</w:t>
      </w:r>
      <w:r>
        <w:rPr>
          <w:bCs/>
          <w:color w:val="auto"/>
          <w:sz w:val="22"/>
          <w:szCs w:val="22"/>
        </w:rPr>
        <w:tab/>
      </w:r>
      <w:r>
        <w:rPr>
          <w:b/>
          <w:color w:val="auto"/>
          <w:sz w:val="22"/>
          <w:szCs w:val="22"/>
        </w:rPr>
        <w:t xml:space="preserve">Nomination, selection, and appointment. </w:t>
      </w:r>
    </w:p>
    <w:p w14:paraId="40DD2574" w14:textId="7DB2530A" w:rsidR="00044F23" w:rsidRDefault="00FC5F97" w:rsidP="00647DC9">
      <w:pPr>
        <w:pStyle w:val="NoSpacing"/>
        <w:tabs>
          <w:tab w:val="left" w:pos="1440"/>
        </w:tabs>
        <w:spacing w:after="120"/>
        <w:ind w:left="1440" w:hanging="630"/>
        <w:outlineLvl w:val="0"/>
        <w:rPr>
          <w:bCs/>
          <w:color w:val="auto"/>
          <w:sz w:val="22"/>
          <w:szCs w:val="22"/>
        </w:rPr>
      </w:pPr>
      <w:r>
        <w:rPr>
          <w:bCs/>
          <w:color w:val="auto"/>
          <w:sz w:val="22"/>
          <w:szCs w:val="22"/>
        </w:rPr>
        <w:t>3.2.1</w:t>
      </w:r>
      <w:r>
        <w:rPr>
          <w:bCs/>
          <w:color w:val="auto"/>
          <w:sz w:val="22"/>
          <w:szCs w:val="22"/>
        </w:rPr>
        <w:tab/>
      </w:r>
      <w:r>
        <w:rPr>
          <w:b/>
          <w:color w:val="auto"/>
          <w:sz w:val="22"/>
          <w:szCs w:val="22"/>
        </w:rPr>
        <w:t>Nomination.</w:t>
      </w:r>
      <w:r w:rsidR="00AF6A30">
        <w:rPr>
          <w:b/>
          <w:color w:val="auto"/>
          <w:sz w:val="22"/>
          <w:szCs w:val="22"/>
        </w:rPr>
        <w:t xml:space="preserve"> </w:t>
      </w:r>
      <w:r w:rsidR="00AF6A30" w:rsidRPr="006651D0">
        <w:rPr>
          <w:bCs/>
          <w:color w:val="auto"/>
          <w:sz w:val="22"/>
          <w:szCs w:val="22"/>
        </w:rPr>
        <w:t>IRB</w:t>
      </w:r>
      <w:r w:rsidRPr="006651D0">
        <w:rPr>
          <w:bCs/>
          <w:color w:val="auto"/>
          <w:sz w:val="22"/>
          <w:szCs w:val="22"/>
        </w:rPr>
        <w:t xml:space="preserve"> </w:t>
      </w:r>
      <w:r w:rsidR="00E86256">
        <w:rPr>
          <w:bCs/>
          <w:color w:val="auto"/>
          <w:sz w:val="22"/>
          <w:szCs w:val="22"/>
        </w:rPr>
        <w:t>m</w:t>
      </w:r>
      <w:r w:rsidR="006F7F58">
        <w:rPr>
          <w:bCs/>
          <w:color w:val="auto"/>
          <w:sz w:val="22"/>
          <w:szCs w:val="22"/>
        </w:rPr>
        <w:t xml:space="preserve">embers </w:t>
      </w:r>
      <w:r w:rsidR="00AF6A30">
        <w:rPr>
          <w:bCs/>
          <w:color w:val="auto"/>
          <w:sz w:val="22"/>
          <w:szCs w:val="22"/>
        </w:rPr>
        <w:t>and IRB Chairs</w:t>
      </w:r>
      <w:r w:rsidR="00D94192">
        <w:rPr>
          <w:bCs/>
          <w:color w:val="auto"/>
          <w:sz w:val="22"/>
          <w:szCs w:val="22"/>
        </w:rPr>
        <w:t>/Vice Chairs</w:t>
      </w:r>
      <w:r w:rsidR="00AF6A30">
        <w:rPr>
          <w:bCs/>
          <w:color w:val="auto"/>
          <w:sz w:val="22"/>
          <w:szCs w:val="22"/>
        </w:rPr>
        <w:t xml:space="preserve"> </w:t>
      </w:r>
      <w:r w:rsidR="006F7F58">
        <w:rPr>
          <w:bCs/>
          <w:color w:val="auto"/>
          <w:sz w:val="22"/>
          <w:szCs w:val="22"/>
        </w:rPr>
        <w:t xml:space="preserve">may be nominated by various sources including HSD </w:t>
      </w:r>
      <w:r w:rsidR="0064192B">
        <w:rPr>
          <w:bCs/>
          <w:color w:val="auto"/>
          <w:sz w:val="22"/>
          <w:szCs w:val="22"/>
        </w:rPr>
        <w:t xml:space="preserve">leadership </w:t>
      </w:r>
      <w:r w:rsidR="006F7F58">
        <w:rPr>
          <w:bCs/>
          <w:color w:val="auto"/>
          <w:sz w:val="22"/>
          <w:szCs w:val="22"/>
        </w:rPr>
        <w:t xml:space="preserve">or staff, existing IRB members, Associate/Vice Deans, Department Chairs, Division Chiefs, self-nomination, </w:t>
      </w:r>
      <w:r w:rsidR="00B03859">
        <w:rPr>
          <w:bCs/>
          <w:color w:val="auto"/>
          <w:sz w:val="22"/>
          <w:szCs w:val="22"/>
        </w:rPr>
        <w:t>and</w:t>
      </w:r>
      <w:r w:rsidR="006F7F58">
        <w:rPr>
          <w:bCs/>
          <w:color w:val="auto"/>
          <w:sz w:val="22"/>
          <w:szCs w:val="22"/>
        </w:rPr>
        <w:t xml:space="preserve"> other methods.</w:t>
      </w:r>
      <w:r w:rsidR="00A93DF2">
        <w:rPr>
          <w:bCs/>
          <w:color w:val="auto"/>
          <w:sz w:val="22"/>
          <w:szCs w:val="22"/>
        </w:rPr>
        <w:t xml:space="preserve"> </w:t>
      </w:r>
    </w:p>
    <w:p w14:paraId="4102326A" w14:textId="58C39058" w:rsidR="00044F23" w:rsidRDefault="00FC5F97" w:rsidP="00647DC9">
      <w:pPr>
        <w:pStyle w:val="NoSpacing"/>
        <w:tabs>
          <w:tab w:val="left" w:pos="1440"/>
        </w:tabs>
        <w:spacing w:after="120"/>
        <w:ind w:left="1440" w:hanging="630"/>
        <w:outlineLvl w:val="0"/>
        <w:rPr>
          <w:bCs/>
          <w:color w:val="auto"/>
          <w:sz w:val="22"/>
          <w:szCs w:val="22"/>
        </w:rPr>
      </w:pPr>
      <w:r>
        <w:rPr>
          <w:bCs/>
          <w:color w:val="auto"/>
          <w:sz w:val="22"/>
          <w:szCs w:val="22"/>
        </w:rPr>
        <w:t>3.2.2</w:t>
      </w:r>
      <w:r>
        <w:rPr>
          <w:bCs/>
          <w:color w:val="auto"/>
          <w:sz w:val="22"/>
          <w:szCs w:val="22"/>
        </w:rPr>
        <w:tab/>
      </w:r>
      <w:r>
        <w:rPr>
          <w:b/>
          <w:color w:val="auto"/>
          <w:sz w:val="22"/>
          <w:szCs w:val="22"/>
        </w:rPr>
        <w:t xml:space="preserve">Selection. </w:t>
      </w:r>
      <w:r w:rsidR="006E0CBE">
        <w:rPr>
          <w:color w:val="auto"/>
          <w:sz w:val="22"/>
          <w:szCs w:val="22"/>
        </w:rPr>
        <w:t xml:space="preserve">One or more members of </w:t>
      </w:r>
      <w:r>
        <w:rPr>
          <w:bCs/>
          <w:color w:val="auto"/>
          <w:sz w:val="22"/>
          <w:szCs w:val="22"/>
        </w:rPr>
        <w:t xml:space="preserve">HSD </w:t>
      </w:r>
      <w:r w:rsidR="0064192B">
        <w:rPr>
          <w:bCs/>
          <w:color w:val="auto"/>
          <w:sz w:val="22"/>
          <w:szCs w:val="22"/>
        </w:rPr>
        <w:t xml:space="preserve">leadership </w:t>
      </w:r>
      <w:r>
        <w:rPr>
          <w:bCs/>
          <w:color w:val="auto"/>
          <w:sz w:val="22"/>
          <w:szCs w:val="22"/>
        </w:rPr>
        <w:t>evaluate</w:t>
      </w:r>
      <w:r w:rsidR="00B72BEF">
        <w:rPr>
          <w:bCs/>
          <w:color w:val="auto"/>
          <w:sz w:val="22"/>
          <w:szCs w:val="22"/>
        </w:rPr>
        <w:t>s</w:t>
      </w:r>
      <w:r>
        <w:rPr>
          <w:bCs/>
          <w:color w:val="auto"/>
          <w:sz w:val="22"/>
          <w:szCs w:val="22"/>
        </w:rPr>
        <w:t xml:space="preserve"> each nomination for: expertise, training, and experience; membership classification (e.g., scientist/nonscientist; affiliated/unaffiliated); and fit to a specific IRB (e.g., need for nonscientist; expertise fits departments assigned to th</w:t>
      </w:r>
      <w:r w:rsidR="00B03859">
        <w:rPr>
          <w:bCs/>
          <w:color w:val="auto"/>
          <w:sz w:val="22"/>
          <w:szCs w:val="22"/>
        </w:rPr>
        <w:t>at</w:t>
      </w:r>
      <w:r>
        <w:rPr>
          <w:bCs/>
          <w:color w:val="auto"/>
          <w:sz w:val="22"/>
          <w:szCs w:val="22"/>
        </w:rPr>
        <w:t xml:space="preserve"> IRB). A nomination may be respectfully declined, based on evaluation.</w:t>
      </w:r>
      <w:r w:rsidR="00AF6A30">
        <w:rPr>
          <w:bCs/>
          <w:color w:val="auto"/>
          <w:sz w:val="22"/>
          <w:szCs w:val="22"/>
        </w:rPr>
        <w:t xml:space="preserve"> In general, to be selected as an IRB Chair, a nominee must be an experienced IRB member.</w:t>
      </w:r>
    </w:p>
    <w:p w14:paraId="399F00BB" w14:textId="61855FE0" w:rsidR="00B72BEF" w:rsidRDefault="00FC5F97" w:rsidP="00647DC9">
      <w:pPr>
        <w:pStyle w:val="NoSpacing"/>
        <w:tabs>
          <w:tab w:val="left" w:pos="1440"/>
        </w:tabs>
        <w:spacing w:after="120"/>
        <w:ind w:left="1440" w:hanging="630"/>
        <w:outlineLvl w:val="0"/>
        <w:rPr>
          <w:bCs/>
          <w:color w:val="auto"/>
          <w:sz w:val="22"/>
          <w:szCs w:val="22"/>
        </w:rPr>
      </w:pPr>
      <w:r>
        <w:rPr>
          <w:bCs/>
          <w:color w:val="auto"/>
          <w:sz w:val="22"/>
          <w:szCs w:val="22"/>
        </w:rPr>
        <w:t>3.2.3</w:t>
      </w:r>
      <w:r>
        <w:rPr>
          <w:bCs/>
          <w:color w:val="auto"/>
          <w:sz w:val="22"/>
          <w:szCs w:val="22"/>
        </w:rPr>
        <w:tab/>
      </w:r>
      <w:r>
        <w:rPr>
          <w:b/>
          <w:color w:val="auto"/>
          <w:sz w:val="22"/>
          <w:szCs w:val="22"/>
        </w:rPr>
        <w:t xml:space="preserve">Appointment. </w:t>
      </w:r>
      <w:r>
        <w:rPr>
          <w:bCs/>
          <w:color w:val="auto"/>
          <w:sz w:val="22"/>
          <w:szCs w:val="22"/>
        </w:rPr>
        <w:t xml:space="preserve">Accepted nominations are forwarded to the FWA Signatory Official (Institutional Official) for any additional review and for formal appointment. </w:t>
      </w:r>
      <w:r w:rsidR="00FF1BE8">
        <w:rPr>
          <w:bCs/>
          <w:color w:val="auto"/>
          <w:sz w:val="22"/>
          <w:szCs w:val="22"/>
        </w:rPr>
        <w:t>The nomination packet includes a copy of the nominee’s resume or curriculum vitae and a draft appointment letter for the official’s signature (</w:t>
      </w:r>
      <w:r w:rsidR="00FF1BE8">
        <w:rPr>
          <w:b/>
          <w:color w:val="auto"/>
          <w:sz w:val="22"/>
          <w:szCs w:val="22"/>
        </w:rPr>
        <w:t>TEMPLATE Appointment Letters</w:t>
      </w:r>
      <w:r w:rsidR="00F60DF7">
        <w:rPr>
          <w:bCs/>
          <w:color w:val="auto"/>
          <w:sz w:val="22"/>
          <w:szCs w:val="22"/>
        </w:rPr>
        <w:t xml:space="preserve">; </w:t>
      </w:r>
      <w:r w:rsidR="00F60DF7">
        <w:rPr>
          <w:b/>
          <w:color w:val="auto"/>
          <w:sz w:val="22"/>
          <w:szCs w:val="22"/>
        </w:rPr>
        <w:t>POLICY Signatures and Attestations</w:t>
      </w:r>
      <w:r w:rsidR="00FF1BE8">
        <w:rPr>
          <w:bCs/>
          <w:color w:val="auto"/>
          <w:sz w:val="22"/>
          <w:szCs w:val="22"/>
        </w:rPr>
        <w:t xml:space="preserve">). If the nominee is appointed, the signed letter is returned to HSD </w:t>
      </w:r>
      <w:r w:rsidR="00D94192">
        <w:rPr>
          <w:bCs/>
          <w:color w:val="auto"/>
          <w:sz w:val="22"/>
          <w:szCs w:val="22"/>
        </w:rPr>
        <w:t xml:space="preserve">leadership </w:t>
      </w:r>
      <w:r w:rsidR="00FF1BE8">
        <w:rPr>
          <w:bCs/>
          <w:color w:val="auto"/>
          <w:sz w:val="22"/>
          <w:szCs w:val="22"/>
        </w:rPr>
        <w:t xml:space="preserve">for distribution to the new member and official IRB records.  </w:t>
      </w:r>
    </w:p>
    <w:p w14:paraId="58C66206" w14:textId="08FF4EF3" w:rsidR="004F0C2D" w:rsidRDefault="00B72BEF" w:rsidP="006651D0">
      <w:pPr>
        <w:pStyle w:val="NoSpacing"/>
        <w:tabs>
          <w:tab w:val="left" w:pos="1296"/>
        </w:tabs>
        <w:spacing w:after="120"/>
        <w:ind w:left="1296" w:hanging="576"/>
        <w:outlineLvl w:val="0"/>
        <w:rPr>
          <w:bCs/>
          <w:color w:val="auto"/>
          <w:sz w:val="22"/>
          <w:szCs w:val="22"/>
        </w:rPr>
      </w:pPr>
      <w:r>
        <w:rPr>
          <w:bCs/>
          <w:color w:val="auto"/>
          <w:sz w:val="22"/>
          <w:szCs w:val="22"/>
        </w:rPr>
        <w:t>3.2.4</w:t>
      </w:r>
      <w:r>
        <w:rPr>
          <w:bCs/>
          <w:color w:val="auto"/>
          <w:sz w:val="22"/>
          <w:szCs w:val="22"/>
        </w:rPr>
        <w:tab/>
      </w:r>
      <w:r>
        <w:rPr>
          <w:b/>
          <w:color w:val="auto"/>
          <w:sz w:val="22"/>
          <w:szCs w:val="22"/>
        </w:rPr>
        <w:t xml:space="preserve">Delegation of IRB </w:t>
      </w:r>
      <w:r w:rsidR="004F0C2D">
        <w:rPr>
          <w:b/>
          <w:color w:val="auto"/>
          <w:sz w:val="22"/>
          <w:szCs w:val="22"/>
        </w:rPr>
        <w:t>a</w:t>
      </w:r>
      <w:r>
        <w:rPr>
          <w:b/>
          <w:color w:val="auto"/>
          <w:sz w:val="22"/>
          <w:szCs w:val="22"/>
        </w:rPr>
        <w:t xml:space="preserve">uthority. </w:t>
      </w:r>
      <w:r w:rsidR="004F0C2D">
        <w:rPr>
          <w:bCs/>
          <w:color w:val="auto"/>
          <w:sz w:val="22"/>
          <w:szCs w:val="22"/>
        </w:rPr>
        <w:t xml:space="preserve">As allowed by federal regulations, a UW IRB chair may delegate the authority to a </w:t>
      </w:r>
      <w:r w:rsidR="004F0C2D" w:rsidRPr="002240A5">
        <w:rPr>
          <w:b/>
          <w:color w:val="auto"/>
          <w:sz w:val="22"/>
          <w:szCs w:val="22"/>
        </w:rPr>
        <w:t>designated reviewer</w:t>
      </w:r>
      <w:r w:rsidR="004F0C2D">
        <w:rPr>
          <w:bCs/>
          <w:color w:val="auto"/>
          <w:sz w:val="22"/>
          <w:szCs w:val="22"/>
        </w:rPr>
        <w:t xml:space="preserve"> to conduct expedited IRB review (described in </w:t>
      </w:r>
      <w:r w:rsidR="004F0C2D" w:rsidRPr="002240A5">
        <w:rPr>
          <w:b/>
          <w:color w:val="auto"/>
          <w:sz w:val="22"/>
          <w:szCs w:val="22"/>
        </w:rPr>
        <w:t>SOP IRB Review</w:t>
      </w:r>
      <w:r w:rsidR="004F0C2D">
        <w:rPr>
          <w:bCs/>
          <w:color w:val="auto"/>
          <w:sz w:val="22"/>
          <w:szCs w:val="22"/>
        </w:rPr>
        <w:t xml:space="preserve">) </w:t>
      </w:r>
      <w:r w:rsidR="006C6193">
        <w:rPr>
          <w:bCs/>
          <w:color w:val="auto"/>
          <w:sz w:val="22"/>
          <w:szCs w:val="22"/>
        </w:rPr>
        <w:t>and limited IRB Review (</w:t>
      </w:r>
      <w:r w:rsidR="00C23EBD">
        <w:rPr>
          <w:b/>
          <w:color w:val="auto"/>
          <w:sz w:val="22"/>
          <w:szCs w:val="22"/>
        </w:rPr>
        <w:t>Exempt Research Guidance</w:t>
      </w:r>
      <w:r w:rsidR="006C6193">
        <w:rPr>
          <w:bCs/>
          <w:color w:val="auto"/>
          <w:sz w:val="22"/>
          <w:szCs w:val="22"/>
        </w:rPr>
        <w:t xml:space="preserve">) </w:t>
      </w:r>
      <w:r w:rsidR="004F0C2D">
        <w:rPr>
          <w:bCs/>
          <w:color w:val="auto"/>
          <w:sz w:val="22"/>
          <w:szCs w:val="22"/>
        </w:rPr>
        <w:t xml:space="preserve">of all qualifying IRB applications and to grant a waiver or alteration of HIPAA authorization. </w:t>
      </w:r>
    </w:p>
    <w:p w14:paraId="71AE1783" w14:textId="1EAFAA09" w:rsidR="004F0C2D" w:rsidRDefault="004F0C2D" w:rsidP="006651D0">
      <w:pPr>
        <w:pStyle w:val="NoSpacing"/>
        <w:numPr>
          <w:ilvl w:val="0"/>
          <w:numId w:val="44"/>
        </w:numPr>
        <w:tabs>
          <w:tab w:val="left" w:pos="1296"/>
        </w:tabs>
        <w:spacing w:after="60"/>
        <w:ind w:left="1980"/>
        <w:outlineLvl w:val="0"/>
        <w:rPr>
          <w:color w:val="auto"/>
          <w:sz w:val="22"/>
          <w:szCs w:val="22"/>
        </w:rPr>
      </w:pPr>
      <w:r>
        <w:rPr>
          <w:color w:val="auto"/>
          <w:sz w:val="22"/>
          <w:szCs w:val="22"/>
        </w:rPr>
        <w:t xml:space="preserve">Designated reviewers are generally HSD staff members who are also IRB members </w:t>
      </w:r>
      <w:r w:rsidR="0023372E">
        <w:rPr>
          <w:color w:val="auto"/>
          <w:sz w:val="22"/>
          <w:szCs w:val="22"/>
        </w:rPr>
        <w:t xml:space="preserve">and </w:t>
      </w:r>
      <w:r>
        <w:rPr>
          <w:color w:val="auto"/>
          <w:sz w:val="22"/>
          <w:szCs w:val="22"/>
        </w:rPr>
        <w:t>who have been provided with delegation of authority from an IRB Chair (</w:t>
      </w:r>
      <w:r>
        <w:rPr>
          <w:b/>
          <w:bCs/>
          <w:color w:val="auto"/>
          <w:sz w:val="22"/>
          <w:szCs w:val="22"/>
        </w:rPr>
        <w:t>TEMPLATE Delegated IRB Authority Memorandum</w:t>
      </w:r>
      <w:r>
        <w:rPr>
          <w:color w:val="auto"/>
          <w:sz w:val="22"/>
          <w:szCs w:val="22"/>
        </w:rPr>
        <w:t>) when they are deemed by a</w:t>
      </w:r>
      <w:r w:rsidR="00253C7C">
        <w:rPr>
          <w:color w:val="auto"/>
          <w:sz w:val="22"/>
          <w:szCs w:val="22"/>
        </w:rPr>
        <w:t xml:space="preserve"> member of</w:t>
      </w:r>
      <w:r>
        <w:rPr>
          <w:color w:val="auto"/>
          <w:sz w:val="22"/>
          <w:szCs w:val="22"/>
        </w:rPr>
        <w:t xml:space="preserve"> HSD </w:t>
      </w:r>
      <w:r w:rsidR="00253C7C">
        <w:rPr>
          <w:color w:val="auto"/>
          <w:sz w:val="22"/>
          <w:szCs w:val="22"/>
        </w:rPr>
        <w:t xml:space="preserve">leadership </w:t>
      </w:r>
      <w:r>
        <w:rPr>
          <w:color w:val="auto"/>
          <w:sz w:val="22"/>
          <w:szCs w:val="22"/>
        </w:rPr>
        <w:t xml:space="preserve">to be sufficiently trained and experienced. </w:t>
      </w:r>
    </w:p>
    <w:p w14:paraId="08FDD8D6" w14:textId="4F0D2328" w:rsidR="00B72BEF" w:rsidRPr="00647DC9" w:rsidRDefault="0023372E" w:rsidP="00647DC9">
      <w:pPr>
        <w:pStyle w:val="NoSpacing"/>
        <w:numPr>
          <w:ilvl w:val="0"/>
          <w:numId w:val="44"/>
        </w:numPr>
        <w:tabs>
          <w:tab w:val="left" w:pos="1296"/>
        </w:tabs>
        <w:spacing w:after="120"/>
        <w:ind w:left="1980"/>
        <w:outlineLvl w:val="0"/>
        <w:rPr>
          <w:color w:val="auto"/>
          <w:sz w:val="22"/>
          <w:szCs w:val="22"/>
        </w:rPr>
      </w:pPr>
      <w:r>
        <w:rPr>
          <w:color w:val="auto"/>
          <w:sz w:val="22"/>
          <w:szCs w:val="22"/>
        </w:rPr>
        <w:t xml:space="preserve">Delegation of authority ends automatically when an individual leaves HSD or is hired into </w:t>
      </w:r>
      <w:r w:rsidR="00AA2E1E">
        <w:rPr>
          <w:color w:val="auto"/>
          <w:sz w:val="22"/>
          <w:szCs w:val="22"/>
        </w:rPr>
        <w:t>an</w:t>
      </w:r>
      <w:r>
        <w:rPr>
          <w:color w:val="auto"/>
          <w:sz w:val="22"/>
          <w:szCs w:val="22"/>
        </w:rPr>
        <w:t xml:space="preserve"> HSD position that is prohibited from being an IRB member.</w:t>
      </w:r>
      <w:r w:rsidR="00A21CF4">
        <w:rPr>
          <w:color w:val="auto"/>
          <w:sz w:val="22"/>
          <w:szCs w:val="22"/>
        </w:rPr>
        <w:t xml:space="preserve"> The delegated authority may also be temporarily or permanently suspended by HSD </w:t>
      </w:r>
      <w:r w:rsidR="0064192B">
        <w:rPr>
          <w:color w:val="auto"/>
          <w:sz w:val="22"/>
          <w:szCs w:val="22"/>
        </w:rPr>
        <w:t>leadership</w:t>
      </w:r>
      <w:r w:rsidR="00A21CF4">
        <w:rPr>
          <w:color w:val="auto"/>
          <w:sz w:val="22"/>
          <w:szCs w:val="22"/>
        </w:rPr>
        <w:t>, if necessary.</w:t>
      </w:r>
    </w:p>
    <w:p w14:paraId="7CC98A36" w14:textId="460A9D3B" w:rsidR="007537D5" w:rsidRDefault="00BF70CD" w:rsidP="00647DC9">
      <w:pPr>
        <w:pStyle w:val="NoSpacing"/>
        <w:tabs>
          <w:tab w:val="left" w:pos="810"/>
          <w:tab w:val="left" w:pos="1440"/>
        </w:tabs>
        <w:spacing w:after="120"/>
        <w:ind w:left="810" w:hanging="450"/>
        <w:outlineLvl w:val="0"/>
        <w:rPr>
          <w:bCs/>
          <w:color w:val="auto"/>
          <w:sz w:val="22"/>
          <w:szCs w:val="22"/>
        </w:rPr>
      </w:pPr>
      <w:r>
        <w:rPr>
          <w:bCs/>
          <w:color w:val="auto"/>
          <w:sz w:val="22"/>
          <w:szCs w:val="22"/>
        </w:rPr>
        <w:t>3.</w:t>
      </w:r>
      <w:r w:rsidR="004E4AAA">
        <w:rPr>
          <w:bCs/>
          <w:color w:val="auto"/>
          <w:sz w:val="22"/>
          <w:szCs w:val="22"/>
        </w:rPr>
        <w:t>3</w:t>
      </w:r>
      <w:r>
        <w:rPr>
          <w:bCs/>
          <w:color w:val="auto"/>
          <w:sz w:val="22"/>
          <w:szCs w:val="22"/>
        </w:rPr>
        <w:tab/>
      </w:r>
      <w:r w:rsidR="007537D5">
        <w:rPr>
          <w:b/>
          <w:color w:val="auto"/>
          <w:sz w:val="22"/>
          <w:szCs w:val="22"/>
        </w:rPr>
        <w:t xml:space="preserve">Documentation of membership. </w:t>
      </w:r>
      <w:r w:rsidR="007537D5">
        <w:rPr>
          <w:bCs/>
          <w:color w:val="auto"/>
          <w:sz w:val="22"/>
          <w:szCs w:val="22"/>
        </w:rPr>
        <w:tab/>
      </w:r>
    </w:p>
    <w:p w14:paraId="4AD17FAD" w14:textId="203EC943" w:rsidR="006F3506" w:rsidRDefault="007537D5" w:rsidP="00647DC9">
      <w:pPr>
        <w:pStyle w:val="NoSpacing"/>
        <w:tabs>
          <w:tab w:val="left" w:pos="1440"/>
          <w:tab w:val="left" w:pos="1530"/>
        </w:tabs>
        <w:spacing w:after="120"/>
        <w:ind w:left="1440" w:hanging="630"/>
        <w:outlineLvl w:val="0"/>
        <w:rPr>
          <w:bCs/>
          <w:color w:val="auto"/>
          <w:sz w:val="22"/>
          <w:szCs w:val="22"/>
        </w:rPr>
      </w:pPr>
      <w:r>
        <w:rPr>
          <w:bCs/>
          <w:color w:val="auto"/>
          <w:sz w:val="22"/>
          <w:szCs w:val="22"/>
        </w:rPr>
        <w:t>3.</w:t>
      </w:r>
      <w:r w:rsidR="004E4AAA">
        <w:rPr>
          <w:bCs/>
          <w:color w:val="auto"/>
          <w:sz w:val="22"/>
          <w:szCs w:val="22"/>
        </w:rPr>
        <w:t>3</w:t>
      </w:r>
      <w:r>
        <w:rPr>
          <w:bCs/>
          <w:color w:val="auto"/>
          <w:sz w:val="22"/>
          <w:szCs w:val="22"/>
        </w:rPr>
        <w:t>.1</w:t>
      </w:r>
      <w:r>
        <w:rPr>
          <w:bCs/>
          <w:color w:val="auto"/>
          <w:sz w:val="22"/>
          <w:szCs w:val="22"/>
        </w:rPr>
        <w:tab/>
      </w:r>
      <w:r>
        <w:rPr>
          <w:b/>
          <w:color w:val="auto"/>
          <w:sz w:val="22"/>
          <w:szCs w:val="22"/>
        </w:rPr>
        <w:t xml:space="preserve">Federal IRB registration. </w:t>
      </w:r>
      <w:r>
        <w:rPr>
          <w:bCs/>
          <w:color w:val="auto"/>
          <w:sz w:val="22"/>
          <w:szCs w:val="22"/>
        </w:rPr>
        <w:t>HSD</w:t>
      </w:r>
      <w:r w:rsidR="00FE5E10">
        <w:rPr>
          <w:bCs/>
          <w:color w:val="auto"/>
          <w:sz w:val="22"/>
          <w:szCs w:val="22"/>
        </w:rPr>
        <w:t xml:space="preserve"> </w:t>
      </w:r>
      <w:r w:rsidR="0064192B">
        <w:rPr>
          <w:bCs/>
          <w:color w:val="auto"/>
          <w:sz w:val="22"/>
          <w:szCs w:val="22"/>
        </w:rPr>
        <w:t>leadership, usually the Associate Director of Operations</w:t>
      </w:r>
      <w:r w:rsidR="00253C7C">
        <w:rPr>
          <w:bCs/>
          <w:color w:val="auto"/>
          <w:sz w:val="22"/>
          <w:szCs w:val="22"/>
        </w:rPr>
        <w:t xml:space="preserve"> (ADO)</w:t>
      </w:r>
      <w:r w:rsidR="0064192B">
        <w:rPr>
          <w:bCs/>
          <w:color w:val="auto"/>
          <w:sz w:val="22"/>
          <w:szCs w:val="22"/>
        </w:rPr>
        <w:t xml:space="preserve">, </w:t>
      </w:r>
      <w:r>
        <w:rPr>
          <w:bCs/>
          <w:color w:val="auto"/>
          <w:sz w:val="22"/>
          <w:szCs w:val="22"/>
        </w:rPr>
        <w:t xml:space="preserve">is responsible for filing and maintaining IRB registrations with OHRP. Per OHRP policy, the IRB registration, including the roster, must be renewed every three years. In addition, a roster update or renewal must be submitted to OHRP within 90 days after any changes occur regarding (1) the contact person who provides the IRB registration information or 2) an IRB Chair. </w:t>
      </w:r>
      <w:r w:rsidR="006F3506">
        <w:rPr>
          <w:bCs/>
          <w:color w:val="auto"/>
          <w:sz w:val="22"/>
          <w:szCs w:val="22"/>
        </w:rPr>
        <w:t xml:space="preserve">Copies of the modified IRB registration and acknowledgement are retained by HSD as an official HSD record. </w:t>
      </w:r>
    </w:p>
    <w:p w14:paraId="30CC40B1" w14:textId="59E43090" w:rsidR="00145CB3" w:rsidRDefault="006F3506" w:rsidP="00647DC9">
      <w:pPr>
        <w:pStyle w:val="NoSpacing"/>
        <w:tabs>
          <w:tab w:val="left" w:pos="1440"/>
          <w:tab w:val="left" w:pos="1530"/>
        </w:tabs>
        <w:spacing w:after="120"/>
        <w:ind w:left="1440" w:hanging="630"/>
        <w:outlineLvl w:val="0"/>
        <w:rPr>
          <w:bCs/>
          <w:color w:val="auto"/>
          <w:sz w:val="22"/>
          <w:szCs w:val="22"/>
        </w:rPr>
      </w:pPr>
      <w:r>
        <w:rPr>
          <w:bCs/>
          <w:color w:val="auto"/>
          <w:sz w:val="22"/>
          <w:szCs w:val="22"/>
        </w:rPr>
        <w:t>3.</w:t>
      </w:r>
      <w:r w:rsidR="004E4AAA">
        <w:rPr>
          <w:bCs/>
          <w:color w:val="auto"/>
          <w:sz w:val="22"/>
          <w:szCs w:val="22"/>
        </w:rPr>
        <w:t>3</w:t>
      </w:r>
      <w:r>
        <w:rPr>
          <w:bCs/>
          <w:color w:val="auto"/>
          <w:sz w:val="22"/>
          <w:szCs w:val="22"/>
        </w:rPr>
        <w:t>.2</w:t>
      </w:r>
      <w:r>
        <w:rPr>
          <w:bCs/>
          <w:color w:val="auto"/>
          <w:sz w:val="22"/>
          <w:szCs w:val="22"/>
        </w:rPr>
        <w:tab/>
      </w:r>
      <w:r>
        <w:rPr>
          <w:b/>
          <w:color w:val="auto"/>
          <w:sz w:val="22"/>
          <w:szCs w:val="22"/>
        </w:rPr>
        <w:t xml:space="preserve">IRB member qualifications and classification. </w:t>
      </w:r>
      <w:r>
        <w:rPr>
          <w:bCs/>
          <w:color w:val="auto"/>
          <w:sz w:val="22"/>
          <w:szCs w:val="22"/>
        </w:rPr>
        <w:t xml:space="preserve">HSD </w:t>
      </w:r>
      <w:r w:rsidR="0064192B">
        <w:rPr>
          <w:bCs/>
          <w:color w:val="auto"/>
          <w:sz w:val="22"/>
          <w:szCs w:val="22"/>
        </w:rPr>
        <w:t>leadership</w:t>
      </w:r>
      <w:r w:rsidR="00253C7C">
        <w:rPr>
          <w:bCs/>
          <w:color w:val="auto"/>
          <w:sz w:val="22"/>
          <w:szCs w:val="22"/>
        </w:rPr>
        <w:t>, usually the ADO,</w:t>
      </w:r>
      <w:r w:rsidR="0064192B">
        <w:rPr>
          <w:bCs/>
          <w:color w:val="auto"/>
          <w:sz w:val="22"/>
          <w:szCs w:val="22"/>
        </w:rPr>
        <w:t xml:space="preserve"> </w:t>
      </w:r>
      <w:r>
        <w:rPr>
          <w:bCs/>
          <w:color w:val="auto"/>
          <w:sz w:val="22"/>
          <w:szCs w:val="22"/>
        </w:rPr>
        <w:t>is responsible for obtaining and maintaining a record for each current IRB member</w:t>
      </w:r>
      <w:r w:rsidR="0097030E">
        <w:rPr>
          <w:bCs/>
          <w:color w:val="auto"/>
          <w:sz w:val="22"/>
          <w:szCs w:val="22"/>
        </w:rPr>
        <w:t xml:space="preserve"> who is not also a member of HSD staff</w:t>
      </w:r>
      <w:r>
        <w:rPr>
          <w:bCs/>
          <w:color w:val="auto"/>
          <w:sz w:val="22"/>
          <w:szCs w:val="22"/>
        </w:rPr>
        <w:t>, including: resume or curriculum vita</w:t>
      </w:r>
      <w:r w:rsidR="00B03859">
        <w:rPr>
          <w:bCs/>
          <w:color w:val="auto"/>
          <w:sz w:val="22"/>
          <w:szCs w:val="22"/>
        </w:rPr>
        <w:t>e</w:t>
      </w:r>
      <w:r w:rsidR="00361162">
        <w:rPr>
          <w:bCs/>
          <w:color w:val="auto"/>
          <w:sz w:val="22"/>
          <w:szCs w:val="22"/>
        </w:rPr>
        <w:t xml:space="preserve"> (collected at the time of initial appointment</w:t>
      </w:r>
      <w:r w:rsidR="009730AE">
        <w:rPr>
          <w:bCs/>
          <w:color w:val="auto"/>
          <w:sz w:val="22"/>
          <w:szCs w:val="22"/>
        </w:rPr>
        <w:t>,</w:t>
      </w:r>
      <w:r w:rsidR="00361162">
        <w:rPr>
          <w:bCs/>
          <w:color w:val="auto"/>
          <w:sz w:val="22"/>
          <w:szCs w:val="22"/>
        </w:rPr>
        <w:t xml:space="preserve"> </w:t>
      </w:r>
      <w:r w:rsidR="00361162">
        <w:rPr>
          <w:bCs/>
          <w:color w:val="auto"/>
          <w:sz w:val="22"/>
          <w:szCs w:val="22"/>
        </w:rPr>
        <w:lastRenderedPageBreak/>
        <w:t xml:space="preserve">and </w:t>
      </w:r>
      <w:r w:rsidR="009730AE" w:rsidRPr="006651D0">
        <w:rPr>
          <w:bCs/>
          <w:color w:val="auto"/>
          <w:sz w:val="22"/>
          <w:szCs w:val="22"/>
        </w:rPr>
        <w:t>for any relevant updates</w:t>
      </w:r>
      <w:r w:rsidR="00A161CB">
        <w:rPr>
          <w:bCs/>
          <w:color w:val="auto"/>
          <w:sz w:val="22"/>
          <w:szCs w:val="22"/>
        </w:rPr>
        <w:t xml:space="preserve"> solicited </w:t>
      </w:r>
      <w:r w:rsidR="0064192B">
        <w:rPr>
          <w:bCs/>
          <w:color w:val="auto"/>
          <w:sz w:val="22"/>
          <w:szCs w:val="22"/>
        </w:rPr>
        <w:t>as part of the periodic evaluation</w:t>
      </w:r>
      <w:r w:rsidR="00361162" w:rsidRPr="006651D0">
        <w:rPr>
          <w:bCs/>
          <w:color w:val="auto"/>
          <w:sz w:val="22"/>
          <w:szCs w:val="22"/>
        </w:rPr>
        <w:t>)</w:t>
      </w:r>
      <w:r w:rsidR="006651D0">
        <w:rPr>
          <w:bCs/>
          <w:color w:val="auto"/>
          <w:sz w:val="22"/>
          <w:szCs w:val="22"/>
        </w:rPr>
        <w:t xml:space="preserve"> and</w:t>
      </w:r>
      <w:r w:rsidR="00EC151B">
        <w:rPr>
          <w:bCs/>
          <w:color w:val="auto"/>
          <w:sz w:val="22"/>
          <w:szCs w:val="22"/>
        </w:rPr>
        <w:t xml:space="preserve"> </w:t>
      </w:r>
      <w:r>
        <w:rPr>
          <w:bCs/>
          <w:color w:val="auto"/>
          <w:sz w:val="22"/>
          <w:szCs w:val="22"/>
        </w:rPr>
        <w:t>Notes to File (as needed) concerning the member’s scientist/nonscientist status</w:t>
      </w:r>
      <w:r w:rsidR="00FE5E10">
        <w:rPr>
          <w:bCs/>
          <w:color w:val="auto"/>
          <w:sz w:val="22"/>
          <w:szCs w:val="22"/>
        </w:rPr>
        <w:t>,</w:t>
      </w:r>
      <w:r w:rsidR="0097030E">
        <w:rPr>
          <w:bCs/>
          <w:color w:val="auto"/>
          <w:sz w:val="22"/>
          <w:szCs w:val="22"/>
        </w:rPr>
        <w:t xml:space="preserve"> </w:t>
      </w:r>
      <w:r>
        <w:rPr>
          <w:bCs/>
          <w:color w:val="auto"/>
          <w:sz w:val="22"/>
          <w:szCs w:val="22"/>
        </w:rPr>
        <w:t>affiliated/unaffiliated status</w:t>
      </w:r>
      <w:r w:rsidR="00FE5E10">
        <w:rPr>
          <w:bCs/>
          <w:color w:val="auto"/>
          <w:sz w:val="22"/>
          <w:szCs w:val="22"/>
        </w:rPr>
        <w:t>, and other relevant information</w:t>
      </w:r>
      <w:r>
        <w:rPr>
          <w:bCs/>
          <w:color w:val="auto"/>
          <w:sz w:val="22"/>
          <w:szCs w:val="22"/>
        </w:rPr>
        <w:t>.</w:t>
      </w:r>
      <w:r w:rsidR="0097030E">
        <w:rPr>
          <w:bCs/>
          <w:color w:val="auto"/>
          <w:sz w:val="22"/>
          <w:szCs w:val="22"/>
        </w:rPr>
        <w:t xml:space="preserve"> </w:t>
      </w:r>
    </w:p>
    <w:p w14:paraId="36103B0F" w14:textId="23BBC73D" w:rsidR="006F3506" w:rsidRDefault="00145CB3" w:rsidP="00647DC9">
      <w:pPr>
        <w:pStyle w:val="NoSpacing"/>
        <w:tabs>
          <w:tab w:val="left" w:pos="1440"/>
          <w:tab w:val="left" w:pos="1530"/>
        </w:tabs>
        <w:spacing w:after="120"/>
        <w:ind w:left="1440" w:hanging="630"/>
        <w:outlineLvl w:val="0"/>
        <w:rPr>
          <w:bCs/>
          <w:color w:val="auto"/>
          <w:sz w:val="22"/>
          <w:szCs w:val="22"/>
        </w:rPr>
      </w:pPr>
      <w:r>
        <w:rPr>
          <w:bCs/>
          <w:color w:val="auto"/>
          <w:sz w:val="22"/>
          <w:szCs w:val="22"/>
        </w:rPr>
        <w:tab/>
      </w:r>
      <w:r w:rsidR="0097030E">
        <w:rPr>
          <w:bCs/>
          <w:color w:val="auto"/>
          <w:sz w:val="22"/>
          <w:szCs w:val="22"/>
        </w:rPr>
        <w:t xml:space="preserve">HSD staff IRB member qualifications are </w:t>
      </w:r>
      <w:r w:rsidR="00114799">
        <w:rPr>
          <w:bCs/>
          <w:color w:val="auto"/>
          <w:sz w:val="22"/>
          <w:szCs w:val="22"/>
        </w:rPr>
        <w:t xml:space="preserve">initially assessed at the time of hire and </w:t>
      </w:r>
      <w:r w:rsidR="0097030E">
        <w:rPr>
          <w:bCs/>
          <w:color w:val="auto"/>
          <w:sz w:val="22"/>
          <w:szCs w:val="22"/>
        </w:rPr>
        <w:t xml:space="preserve">reviewed </w:t>
      </w:r>
      <w:r w:rsidR="00114799">
        <w:rPr>
          <w:bCs/>
          <w:color w:val="auto"/>
          <w:sz w:val="22"/>
          <w:szCs w:val="22"/>
        </w:rPr>
        <w:t xml:space="preserve">annually </w:t>
      </w:r>
      <w:r w:rsidR="00F52DAD">
        <w:rPr>
          <w:bCs/>
          <w:color w:val="auto"/>
          <w:sz w:val="22"/>
          <w:szCs w:val="22"/>
        </w:rPr>
        <w:t xml:space="preserve">as part of </w:t>
      </w:r>
      <w:r w:rsidR="00114799">
        <w:rPr>
          <w:bCs/>
          <w:color w:val="auto"/>
          <w:sz w:val="22"/>
          <w:szCs w:val="22"/>
        </w:rPr>
        <w:t>performance</w:t>
      </w:r>
      <w:r w:rsidR="00F52DAD">
        <w:rPr>
          <w:bCs/>
          <w:color w:val="auto"/>
          <w:sz w:val="22"/>
          <w:szCs w:val="22"/>
        </w:rPr>
        <w:t xml:space="preserve"> evaluations</w:t>
      </w:r>
      <w:r w:rsidR="00114799">
        <w:rPr>
          <w:bCs/>
          <w:color w:val="auto"/>
          <w:sz w:val="22"/>
          <w:szCs w:val="22"/>
        </w:rPr>
        <w:t xml:space="preserve"> </w:t>
      </w:r>
      <w:r w:rsidR="004F74F9">
        <w:rPr>
          <w:bCs/>
          <w:color w:val="auto"/>
          <w:sz w:val="22"/>
          <w:szCs w:val="22"/>
        </w:rPr>
        <w:t xml:space="preserve">(refer to </w:t>
      </w:r>
      <w:r w:rsidR="0097030E">
        <w:rPr>
          <w:bCs/>
          <w:color w:val="auto"/>
          <w:sz w:val="22"/>
          <w:szCs w:val="22"/>
        </w:rPr>
        <w:t xml:space="preserve">the </w:t>
      </w:r>
      <w:r w:rsidR="0097030E" w:rsidRPr="00E04F2B">
        <w:rPr>
          <w:b/>
          <w:color w:val="auto"/>
          <w:sz w:val="22"/>
          <w:szCs w:val="22"/>
        </w:rPr>
        <w:t xml:space="preserve">GUIDANCE </w:t>
      </w:r>
      <w:r w:rsidR="004F74F9">
        <w:rPr>
          <w:b/>
          <w:color w:val="auto"/>
          <w:sz w:val="22"/>
          <w:szCs w:val="22"/>
        </w:rPr>
        <w:t xml:space="preserve">Evaluation for </w:t>
      </w:r>
      <w:r w:rsidR="0097030E" w:rsidRPr="00E04F2B">
        <w:rPr>
          <w:b/>
          <w:color w:val="auto"/>
          <w:sz w:val="22"/>
          <w:szCs w:val="22"/>
        </w:rPr>
        <w:t xml:space="preserve">IRB </w:t>
      </w:r>
      <w:r w:rsidR="004F74F9">
        <w:rPr>
          <w:b/>
          <w:color w:val="auto"/>
          <w:sz w:val="22"/>
          <w:szCs w:val="22"/>
        </w:rPr>
        <w:t xml:space="preserve">&amp; Reliance </w:t>
      </w:r>
      <w:r w:rsidR="0097030E" w:rsidRPr="00E04F2B">
        <w:rPr>
          <w:b/>
          <w:color w:val="auto"/>
          <w:sz w:val="22"/>
          <w:szCs w:val="22"/>
        </w:rPr>
        <w:t xml:space="preserve">Administrator </w:t>
      </w:r>
      <w:r w:rsidR="00AF6A30" w:rsidRPr="006651D0">
        <w:rPr>
          <w:bCs/>
          <w:color w:val="auto"/>
          <w:sz w:val="22"/>
          <w:szCs w:val="22"/>
        </w:rPr>
        <w:t>and</w:t>
      </w:r>
      <w:r w:rsidR="00AF6A30">
        <w:rPr>
          <w:b/>
          <w:color w:val="auto"/>
          <w:sz w:val="22"/>
          <w:szCs w:val="22"/>
        </w:rPr>
        <w:t xml:space="preserve"> Senior IRB Administrator</w:t>
      </w:r>
      <w:r w:rsidR="004F74F9">
        <w:rPr>
          <w:b/>
          <w:color w:val="auto"/>
          <w:sz w:val="22"/>
          <w:szCs w:val="22"/>
        </w:rPr>
        <w:t>)</w:t>
      </w:r>
      <w:r w:rsidR="0097030E">
        <w:rPr>
          <w:bCs/>
          <w:color w:val="auto"/>
          <w:sz w:val="22"/>
          <w:szCs w:val="22"/>
        </w:rPr>
        <w:t>.</w:t>
      </w:r>
    </w:p>
    <w:p w14:paraId="752DBC2E" w14:textId="796AD349" w:rsidR="00E34F05" w:rsidRPr="00F43260" w:rsidRDefault="006F3506" w:rsidP="006651D0">
      <w:pPr>
        <w:pStyle w:val="NoSpacing"/>
        <w:tabs>
          <w:tab w:val="left" w:pos="1440"/>
          <w:tab w:val="left" w:pos="1530"/>
        </w:tabs>
        <w:spacing w:after="120"/>
        <w:ind w:left="1440" w:hanging="630"/>
        <w:outlineLvl w:val="0"/>
        <w:rPr>
          <w:bCs/>
          <w:color w:val="auto"/>
          <w:sz w:val="22"/>
          <w:szCs w:val="22"/>
        </w:rPr>
      </w:pPr>
      <w:r>
        <w:rPr>
          <w:bCs/>
          <w:color w:val="auto"/>
          <w:sz w:val="22"/>
          <w:szCs w:val="22"/>
        </w:rPr>
        <w:t>3.</w:t>
      </w:r>
      <w:r w:rsidR="004E4AAA">
        <w:rPr>
          <w:bCs/>
          <w:color w:val="auto"/>
          <w:sz w:val="22"/>
          <w:szCs w:val="22"/>
        </w:rPr>
        <w:t>3</w:t>
      </w:r>
      <w:r>
        <w:rPr>
          <w:bCs/>
          <w:color w:val="auto"/>
          <w:sz w:val="22"/>
          <w:szCs w:val="22"/>
        </w:rPr>
        <w:t>.3</w:t>
      </w:r>
      <w:r>
        <w:rPr>
          <w:bCs/>
          <w:color w:val="auto"/>
          <w:sz w:val="22"/>
          <w:szCs w:val="22"/>
        </w:rPr>
        <w:tab/>
      </w:r>
      <w:r w:rsidR="00E34F05">
        <w:rPr>
          <w:b/>
          <w:color w:val="auto"/>
          <w:sz w:val="22"/>
          <w:szCs w:val="22"/>
        </w:rPr>
        <w:t xml:space="preserve">IRB member roster. </w:t>
      </w:r>
      <w:r w:rsidR="00E34F05">
        <w:rPr>
          <w:bCs/>
          <w:color w:val="auto"/>
          <w:sz w:val="22"/>
          <w:szCs w:val="22"/>
        </w:rPr>
        <w:t xml:space="preserve">HSD uses the </w:t>
      </w:r>
      <w:r w:rsidR="00E34F05">
        <w:rPr>
          <w:b/>
          <w:color w:val="auto"/>
          <w:sz w:val="22"/>
          <w:szCs w:val="22"/>
        </w:rPr>
        <w:t>TEMPLATE IRB Roster</w:t>
      </w:r>
      <w:r w:rsidR="00E34F05">
        <w:t xml:space="preserve"> </w:t>
      </w:r>
      <w:r w:rsidR="00F43260">
        <w:rPr>
          <w:bCs/>
          <w:color w:val="auto"/>
          <w:sz w:val="22"/>
          <w:szCs w:val="22"/>
        </w:rPr>
        <w:t>to</w:t>
      </w:r>
      <w:r w:rsidR="00E34F05" w:rsidRPr="00F43260">
        <w:rPr>
          <w:bCs/>
          <w:color w:val="auto"/>
          <w:sz w:val="22"/>
          <w:szCs w:val="22"/>
        </w:rPr>
        <w:t xml:space="preserve"> develop and maintain IRB member rosters as official HSD records that include: </w:t>
      </w:r>
    </w:p>
    <w:p w14:paraId="1E27E60E" w14:textId="712CA26A" w:rsidR="00E34F05" w:rsidRPr="00F43260" w:rsidRDefault="00E34F05" w:rsidP="006651D0">
      <w:pPr>
        <w:pStyle w:val="NoSpacing"/>
        <w:numPr>
          <w:ilvl w:val="0"/>
          <w:numId w:val="40"/>
        </w:numPr>
        <w:tabs>
          <w:tab w:val="left" w:pos="1440"/>
          <w:tab w:val="left" w:pos="1530"/>
        </w:tabs>
        <w:spacing w:after="60"/>
        <w:outlineLvl w:val="0"/>
        <w:rPr>
          <w:bCs/>
          <w:color w:val="auto"/>
          <w:sz w:val="22"/>
          <w:szCs w:val="22"/>
        </w:rPr>
      </w:pPr>
      <w:r w:rsidRPr="00F43260">
        <w:rPr>
          <w:bCs/>
          <w:color w:val="auto"/>
          <w:sz w:val="22"/>
          <w:szCs w:val="22"/>
        </w:rPr>
        <w:t>A list of IRB members by name</w:t>
      </w:r>
    </w:p>
    <w:p w14:paraId="585FAB7A" w14:textId="2C261822" w:rsidR="00E34F05" w:rsidRPr="00F43260" w:rsidRDefault="00E34F05" w:rsidP="006651D0">
      <w:pPr>
        <w:pStyle w:val="NoSpacing"/>
        <w:numPr>
          <w:ilvl w:val="0"/>
          <w:numId w:val="40"/>
        </w:numPr>
        <w:tabs>
          <w:tab w:val="left" w:pos="1440"/>
          <w:tab w:val="left" w:pos="1530"/>
        </w:tabs>
        <w:spacing w:after="60"/>
        <w:outlineLvl w:val="0"/>
        <w:rPr>
          <w:bCs/>
          <w:color w:val="auto"/>
          <w:sz w:val="22"/>
          <w:szCs w:val="22"/>
        </w:rPr>
      </w:pPr>
      <w:r w:rsidRPr="00F43260">
        <w:rPr>
          <w:bCs/>
          <w:color w:val="auto"/>
          <w:sz w:val="22"/>
          <w:szCs w:val="22"/>
        </w:rPr>
        <w:t>Earned degrees</w:t>
      </w:r>
    </w:p>
    <w:p w14:paraId="4C789DC1" w14:textId="0B3F9994" w:rsidR="00E34F05" w:rsidRPr="00F43260" w:rsidRDefault="00E34F05" w:rsidP="006651D0">
      <w:pPr>
        <w:pStyle w:val="NoSpacing"/>
        <w:numPr>
          <w:ilvl w:val="0"/>
          <w:numId w:val="40"/>
        </w:numPr>
        <w:tabs>
          <w:tab w:val="left" w:pos="1440"/>
          <w:tab w:val="left" w:pos="1530"/>
        </w:tabs>
        <w:spacing w:after="60"/>
        <w:outlineLvl w:val="0"/>
        <w:rPr>
          <w:bCs/>
          <w:color w:val="auto"/>
          <w:sz w:val="22"/>
          <w:szCs w:val="22"/>
        </w:rPr>
      </w:pPr>
      <w:r w:rsidRPr="00F43260">
        <w:rPr>
          <w:bCs/>
          <w:color w:val="auto"/>
          <w:sz w:val="22"/>
          <w:szCs w:val="22"/>
        </w:rPr>
        <w:t>Scientist/nonscientist status</w:t>
      </w:r>
    </w:p>
    <w:p w14:paraId="21F38288" w14:textId="390B263B" w:rsidR="00E34F05" w:rsidRPr="00F43260" w:rsidRDefault="00E34F05" w:rsidP="006651D0">
      <w:pPr>
        <w:pStyle w:val="NoSpacing"/>
        <w:numPr>
          <w:ilvl w:val="0"/>
          <w:numId w:val="40"/>
        </w:numPr>
        <w:tabs>
          <w:tab w:val="left" w:pos="1440"/>
          <w:tab w:val="left" w:pos="1530"/>
        </w:tabs>
        <w:spacing w:after="60"/>
        <w:outlineLvl w:val="0"/>
        <w:rPr>
          <w:bCs/>
          <w:color w:val="auto"/>
          <w:sz w:val="22"/>
          <w:szCs w:val="22"/>
        </w:rPr>
      </w:pPr>
      <w:r w:rsidRPr="00F43260">
        <w:rPr>
          <w:bCs/>
          <w:color w:val="auto"/>
          <w:sz w:val="22"/>
          <w:szCs w:val="22"/>
        </w:rPr>
        <w:t>Affiliated/unaffiliated status (if affiliated, includes a brief description of the nature of the affiliation)</w:t>
      </w:r>
    </w:p>
    <w:p w14:paraId="321F58B2" w14:textId="1D9C7C1B" w:rsidR="00E34F05" w:rsidRPr="00F43260" w:rsidRDefault="0074508A" w:rsidP="006651D0">
      <w:pPr>
        <w:pStyle w:val="NoSpacing"/>
        <w:numPr>
          <w:ilvl w:val="0"/>
          <w:numId w:val="40"/>
        </w:numPr>
        <w:tabs>
          <w:tab w:val="left" w:pos="1440"/>
          <w:tab w:val="left" w:pos="1530"/>
        </w:tabs>
        <w:spacing w:after="60"/>
        <w:outlineLvl w:val="0"/>
        <w:rPr>
          <w:bCs/>
          <w:color w:val="auto"/>
          <w:sz w:val="22"/>
          <w:szCs w:val="22"/>
        </w:rPr>
      </w:pPr>
      <w:r>
        <w:rPr>
          <w:bCs/>
          <w:color w:val="auto"/>
          <w:sz w:val="22"/>
          <w:szCs w:val="22"/>
        </w:rPr>
        <w:t>Protect</w:t>
      </w:r>
      <w:r w:rsidR="00E04F2B">
        <w:rPr>
          <w:bCs/>
          <w:color w:val="auto"/>
          <w:sz w:val="22"/>
          <w:szCs w:val="22"/>
        </w:rPr>
        <w:t>ed</w:t>
      </w:r>
      <w:r>
        <w:rPr>
          <w:bCs/>
          <w:color w:val="auto"/>
          <w:sz w:val="22"/>
          <w:szCs w:val="22"/>
        </w:rPr>
        <w:t xml:space="preserve"> population r</w:t>
      </w:r>
      <w:r w:rsidR="00E34F05" w:rsidRPr="00F43260">
        <w:rPr>
          <w:bCs/>
          <w:color w:val="auto"/>
          <w:sz w:val="22"/>
          <w:szCs w:val="22"/>
        </w:rPr>
        <w:t>epresentative capacity (e.g., children, prisoners)</w:t>
      </w:r>
    </w:p>
    <w:p w14:paraId="417137F8" w14:textId="41FFDC87" w:rsidR="00E34F05" w:rsidRPr="00F43260" w:rsidRDefault="00E34F05" w:rsidP="006651D0">
      <w:pPr>
        <w:pStyle w:val="NoSpacing"/>
        <w:numPr>
          <w:ilvl w:val="0"/>
          <w:numId w:val="40"/>
        </w:numPr>
        <w:tabs>
          <w:tab w:val="left" w:pos="1440"/>
          <w:tab w:val="left" w:pos="1530"/>
        </w:tabs>
        <w:spacing w:after="60"/>
        <w:outlineLvl w:val="0"/>
        <w:rPr>
          <w:bCs/>
          <w:color w:val="auto"/>
          <w:sz w:val="22"/>
          <w:szCs w:val="22"/>
        </w:rPr>
      </w:pPr>
      <w:r w:rsidRPr="00F43260">
        <w:rPr>
          <w:bCs/>
          <w:color w:val="auto"/>
          <w:sz w:val="22"/>
          <w:szCs w:val="22"/>
        </w:rPr>
        <w:t xml:space="preserve">Indications of experience such as board certifications, licenses, etc., sufficient to describe each member’s </w:t>
      </w:r>
      <w:proofErr w:type="gramStart"/>
      <w:r w:rsidRPr="00F43260">
        <w:rPr>
          <w:bCs/>
          <w:color w:val="auto"/>
          <w:sz w:val="22"/>
          <w:szCs w:val="22"/>
        </w:rPr>
        <w:t>chief</w:t>
      </w:r>
      <w:proofErr w:type="gramEnd"/>
      <w:r w:rsidRPr="00F43260">
        <w:rPr>
          <w:bCs/>
          <w:color w:val="auto"/>
          <w:sz w:val="22"/>
          <w:szCs w:val="22"/>
        </w:rPr>
        <w:t xml:space="preserve"> anticipated contributions to IRB discussions</w:t>
      </w:r>
    </w:p>
    <w:p w14:paraId="123029A6" w14:textId="67928203" w:rsidR="00C87A53" w:rsidRPr="00647DC9" w:rsidRDefault="00E34F05" w:rsidP="00647DC9">
      <w:pPr>
        <w:pStyle w:val="NoSpacing"/>
        <w:numPr>
          <w:ilvl w:val="0"/>
          <w:numId w:val="40"/>
        </w:numPr>
        <w:tabs>
          <w:tab w:val="left" w:pos="1440"/>
          <w:tab w:val="left" w:pos="1530"/>
        </w:tabs>
        <w:spacing w:after="120"/>
        <w:outlineLvl w:val="0"/>
        <w:rPr>
          <w:bCs/>
          <w:color w:val="auto"/>
          <w:sz w:val="22"/>
          <w:szCs w:val="22"/>
        </w:rPr>
      </w:pPr>
      <w:r w:rsidRPr="00F43260">
        <w:rPr>
          <w:bCs/>
          <w:color w:val="auto"/>
          <w:sz w:val="22"/>
          <w:szCs w:val="22"/>
        </w:rPr>
        <w:t xml:space="preserve">Status as a primary or alternate member and identification of primary members for whom </w:t>
      </w:r>
      <w:proofErr w:type="gramStart"/>
      <w:r w:rsidRPr="00F43260">
        <w:rPr>
          <w:bCs/>
          <w:color w:val="auto"/>
          <w:sz w:val="22"/>
          <w:szCs w:val="22"/>
        </w:rPr>
        <w:t>each individual</w:t>
      </w:r>
      <w:proofErr w:type="gramEnd"/>
      <w:r w:rsidRPr="00F43260">
        <w:rPr>
          <w:bCs/>
          <w:color w:val="auto"/>
          <w:sz w:val="22"/>
          <w:szCs w:val="22"/>
        </w:rPr>
        <w:t xml:space="preserve"> is an alternate</w:t>
      </w:r>
    </w:p>
    <w:p w14:paraId="54EF4532" w14:textId="7A9297EF" w:rsidR="00A21CF4" w:rsidRDefault="00C87A53" w:rsidP="00647DC9">
      <w:pPr>
        <w:pStyle w:val="NoSpacing"/>
        <w:spacing w:after="120"/>
        <w:ind w:left="1440" w:hanging="630"/>
        <w:outlineLvl w:val="0"/>
        <w:rPr>
          <w:color w:val="auto"/>
          <w:sz w:val="22"/>
          <w:szCs w:val="22"/>
        </w:rPr>
      </w:pPr>
      <w:r>
        <w:rPr>
          <w:color w:val="auto"/>
          <w:sz w:val="22"/>
          <w:szCs w:val="22"/>
        </w:rPr>
        <w:t>3.</w:t>
      </w:r>
      <w:r w:rsidR="004E4AAA">
        <w:rPr>
          <w:color w:val="auto"/>
          <w:sz w:val="22"/>
          <w:szCs w:val="22"/>
        </w:rPr>
        <w:t>3</w:t>
      </w:r>
      <w:r>
        <w:rPr>
          <w:color w:val="auto"/>
          <w:sz w:val="22"/>
          <w:szCs w:val="22"/>
        </w:rPr>
        <w:t>.</w:t>
      </w:r>
      <w:r w:rsidR="00B03859">
        <w:rPr>
          <w:color w:val="auto"/>
          <w:sz w:val="22"/>
          <w:szCs w:val="22"/>
        </w:rPr>
        <w:t>4</w:t>
      </w:r>
      <w:r>
        <w:rPr>
          <w:color w:val="auto"/>
          <w:sz w:val="22"/>
          <w:szCs w:val="22"/>
        </w:rPr>
        <w:tab/>
      </w:r>
      <w:r>
        <w:rPr>
          <w:b/>
          <w:bCs/>
          <w:color w:val="auto"/>
          <w:sz w:val="22"/>
          <w:szCs w:val="22"/>
        </w:rPr>
        <w:t xml:space="preserve">Prisoner Advocates </w:t>
      </w:r>
      <w:r>
        <w:rPr>
          <w:color w:val="auto"/>
          <w:sz w:val="22"/>
          <w:szCs w:val="22"/>
        </w:rPr>
        <w:t xml:space="preserve">are listed on the IRB membership roster and federal registrations as voting members but with the stipulation in the “Comments” section </w:t>
      </w:r>
      <w:r w:rsidR="00B11AE5">
        <w:rPr>
          <w:color w:val="auto"/>
          <w:sz w:val="22"/>
          <w:szCs w:val="22"/>
        </w:rPr>
        <w:t xml:space="preserve">of the meeting minutes </w:t>
      </w:r>
      <w:r>
        <w:rPr>
          <w:color w:val="auto"/>
          <w:sz w:val="22"/>
          <w:szCs w:val="22"/>
        </w:rPr>
        <w:t xml:space="preserve">that the advocate will only count towards quorum when they are in attendance and reviewing prisoner research studies unless they have also been appointed as a standard IRB member. </w:t>
      </w:r>
    </w:p>
    <w:p w14:paraId="7DB727EA" w14:textId="64DBACC6" w:rsidR="004E4AAA" w:rsidRDefault="00A21CF4" w:rsidP="00647DC9">
      <w:pPr>
        <w:pStyle w:val="NoSpacing"/>
        <w:spacing w:after="120"/>
        <w:ind w:left="1440" w:hanging="630"/>
        <w:outlineLvl w:val="0"/>
        <w:rPr>
          <w:bCs/>
          <w:color w:val="auto"/>
          <w:sz w:val="22"/>
          <w:szCs w:val="22"/>
        </w:rPr>
      </w:pPr>
      <w:r>
        <w:rPr>
          <w:color w:val="auto"/>
          <w:sz w:val="22"/>
          <w:szCs w:val="22"/>
        </w:rPr>
        <w:t>3.3.5</w:t>
      </w:r>
      <w:r>
        <w:rPr>
          <w:color w:val="auto"/>
          <w:sz w:val="22"/>
          <w:szCs w:val="22"/>
        </w:rPr>
        <w:tab/>
      </w:r>
      <w:r w:rsidRPr="00636A3B">
        <w:rPr>
          <w:b/>
          <w:bCs/>
          <w:color w:val="auto"/>
          <w:sz w:val="22"/>
          <w:szCs w:val="22"/>
        </w:rPr>
        <w:t>Designated reviewers</w:t>
      </w:r>
      <w:r>
        <w:rPr>
          <w:color w:val="auto"/>
          <w:sz w:val="22"/>
          <w:szCs w:val="22"/>
        </w:rPr>
        <w:t xml:space="preserve">. The signed </w:t>
      </w:r>
      <w:r w:rsidRPr="00636A3B">
        <w:rPr>
          <w:b/>
          <w:bCs/>
          <w:color w:val="auto"/>
          <w:sz w:val="22"/>
          <w:szCs w:val="22"/>
        </w:rPr>
        <w:t>Delegated IRB Authority Memorandum</w:t>
      </w:r>
      <w:r>
        <w:rPr>
          <w:color w:val="auto"/>
          <w:sz w:val="22"/>
          <w:szCs w:val="22"/>
        </w:rPr>
        <w:t xml:space="preserve"> is kept with the IRB rosters. </w:t>
      </w:r>
    </w:p>
    <w:p w14:paraId="14AA5942" w14:textId="0B257DD9" w:rsidR="006D2390" w:rsidRDefault="004E4AAA" w:rsidP="006651D0">
      <w:pPr>
        <w:pStyle w:val="NoSpacing"/>
        <w:tabs>
          <w:tab w:val="left" w:pos="810"/>
          <w:tab w:val="left" w:pos="1440"/>
        </w:tabs>
        <w:spacing w:after="120"/>
        <w:ind w:left="810" w:hanging="450"/>
        <w:outlineLvl w:val="0"/>
        <w:rPr>
          <w:bCs/>
          <w:color w:val="auto"/>
          <w:sz w:val="22"/>
          <w:szCs w:val="22"/>
        </w:rPr>
      </w:pPr>
      <w:r>
        <w:rPr>
          <w:bCs/>
          <w:color w:val="auto"/>
          <w:sz w:val="22"/>
          <w:szCs w:val="22"/>
        </w:rPr>
        <w:t>3.4</w:t>
      </w:r>
      <w:r>
        <w:rPr>
          <w:bCs/>
          <w:color w:val="auto"/>
          <w:sz w:val="22"/>
          <w:szCs w:val="22"/>
        </w:rPr>
        <w:tab/>
      </w:r>
      <w:r>
        <w:rPr>
          <w:b/>
          <w:color w:val="auto"/>
          <w:sz w:val="22"/>
          <w:szCs w:val="22"/>
        </w:rPr>
        <w:t xml:space="preserve">Term of service. </w:t>
      </w:r>
      <w:r w:rsidR="00AF6A30">
        <w:rPr>
          <w:bCs/>
          <w:color w:val="auto"/>
          <w:sz w:val="22"/>
          <w:szCs w:val="22"/>
        </w:rPr>
        <w:t xml:space="preserve">IRB members </w:t>
      </w:r>
      <w:r w:rsidR="00456C17">
        <w:rPr>
          <w:bCs/>
          <w:color w:val="auto"/>
          <w:sz w:val="22"/>
          <w:szCs w:val="22"/>
        </w:rPr>
        <w:t>and IRB Chair</w:t>
      </w:r>
      <w:r w:rsidR="003917ED">
        <w:rPr>
          <w:bCs/>
          <w:color w:val="auto"/>
          <w:sz w:val="22"/>
          <w:szCs w:val="22"/>
        </w:rPr>
        <w:t>/Vice Chair</w:t>
      </w:r>
      <w:r w:rsidR="00456C17">
        <w:rPr>
          <w:bCs/>
          <w:color w:val="auto"/>
          <w:sz w:val="22"/>
          <w:szCs w:val="22"/>
        </w:rPr>
        <w:t xml:space="preserve"> </w:t>
      </w:r>
      <w:r w:rsidR="00AF6A30">
        <w:rPr>
          <w:bCs/>
          <w:color w:val="auto"/>
          <w:sz w:val="22"/>
          <w:szCs w:val="22"/>
        </w:rPr>
        <w:t>appointment</w:t>
      </w:r>
      <w:r w:rsidR="00E86256">
        <w:rPr>
          <w:bCs/>
          <w:color w:val="auto"/>
          <w:sz w:val="22"/>
          <w:szCs w:val="22"/>
        </w:rPr>
        <w:t>s</w:t>
      </w:r>
      <w:r w:rsidR="00AF6A30">
        <w:rPr>
          <w:bCs/>
          <w:color w:val="auto"/>
          <w:sz w:val="22"/>
          <w:szCs w:val="22"/>
        </w:rPr>
        <w:t xml:space="preserve"> do not have an </w:t>
      </w:r>
      <w:r w:rsidR="005A0629">
        <w:rPr>
          <w:bCs/>
          <w:color w:val="auto"/>
          <w:sz w:val="22"/>
          <w:szCs w:val="22"/>
        </w:rPr>
        <w:t>end</w:t>
      </w:r>
      <w:r w:rsidR="00AF6A30">
        <w:rPr>
          <w:bCs/>
          <w:color w:val="auto"/>
          <w:sz w:val="22"/>
          <w:szCs w:val="22"/>
        </w:rPr>
        <w:t xml:space="preserve"> date. </w:t>
      </w:r>
      <w:r w:rsidR="00456C17">
        <w:rPr>
          <w:bCs/>
          <w:color w:val="auto"/>
          <w:sz w:val="22"/>
          <w:szCs w:val="22"/>
        </w:rPr>
        <w:t>These appointments remain in effect until the appointment is terminated by the Institutional Official. No annual reminder letter or other type of re-appointment letter is provided.</w:t>
      </w:r>
    </w:p>
    <w:p w14:paraId="22F1640C" w14:textId="79894491" w:rsidR="004E4AAA" w:rsidRPr="00647DC9" w:rsidRDefault="006651D0" w:rsidP="00647DC9">
      <w:pPr>
        <w:pStyle w:val="NoSpacing"/>
        <w:numPr>
          <w:ilvl w:val="0"/>
          <w:numId w:val="41"/>
        </w:numPr>
        <w:tabs>
          <w:tab w:val="left" w:pos="810"/>
          <w:tab w:val="left" w:pos="1440"/>
        </w:tabs>
        <w:spacing w:after="120"/>
        <w:outlineLvl w:val="0"/>
        <w:rPr>
          <w:bCs/>
          <w:color w:val="auto"/>
          <w:sz w:val="22"/>
          <w:szCs w:val="22"/>
        </w:rPr>
      </w:pPr>
      <w:r>
        <w:rPr>
          <w:b/>
          <w:color w:val="auto"/>
          <w:sz w:val="22"/>
          <w:szCs w:val="22"/>
        </w:rPr>
        <w:t xml:space="preserve"> </w:t>
      </w:r>
      <w:r w:rsidR="006D2390">
        <w:rPr>
          <w:b/>
          <w:color w:val="auto"/>
          <w:sz w:val="22"/>
          <w:szCs w:val="22"/>
        </w:rPr>
        <w:t xml:space="preserve">HSD staff. </w:t>
      </w:r>
      <w:r w:rsidR="006D2390">
        <w:rPr>
          <w:bCs/>
          <w:color w:val="auto"/>
          <w:sz w:val="22"/>
          <w:szCs w:val="22"/>
        </w:rPr>
        <w:t xml:space="preserve">HSD staff remain IRB members until they </w:t>
      </w:r>
      <w:r w:rsidR="0088587D">
        <w:rPr>
          <w:bCs/>
          <w:color w:val="auto"/>
          <w:sz w:val="22"/>
          <w:szCs w:val="22"/>
        </w:rPr>
        <w:t xml:space="preserve">separate from </w:t>
      </w:r>
      <w:r w:rsidR="006D2390">
        <w:rPr>
          <w:bCs/>
          <w:color w:val="auto"/>
          <w:sz w:val="22"/>
          <w:szCs w:val="22"/>
        </w:rPr>
        <w:t>HSD</w:t>
      </w:r>
      <w:r w:rsidR="0088587D">
        <w:rPr>
          <w:bCs/>
          <w:color w:val="auto"/>
          <w:sz w:val="22"/>
          <w:szCs w:val="22"/>
        </w:rPr>
        <w:t xml:space="preserve"> or</w:t>
      </w:r>
      <w:r w:rsidR="006D2390">
        <w:rPr>
          <w:bCs/>
          <w:color w:val="auto"/>
          <w:sz w:val="22"/>
          <w:szCs w:val="22"/>
        </w:rPr>
        <w:t xml:space="preserve"> move to a</w:t>
      </w:r>
      <w:r w:rsidR="003917ED">
        <w:rPr>
          <w:bCs/>
          <w:color w:val="auto"/>
          <w:sz w:val="22"/>
          <w:szCs w:val="22"/>
        </w:rPr>
        <w:t>n</w:t>
      </w:r>
      <w:r w:rsidR="006D2390">
        <w:rPr>
          <w:bCs/>
          <w:color w:val="auto"/>
          <w:sz w:val="22"/>
          <w:szCs w:val="22"/>
        </w:rPr>
        <w:t xml:space="preserve"> HSD position that is not eligible for IRB membership. </w:t>
      </w:r>
    </w:p>
    <w:p w14:paraId="45DE664D" w14:textId="22185B19" w:rsidR="00BB2DC6" w:rsidRDefault="007B2230" w:rsidP="00647DC9">
      <w:pPr>
        <w:pStyle w:val="NoSpacing"/>
        <w:tabs>
          <w:tab w:val="left" w:pos="810"/>
          <w:tab w:val="left" w:pos="900"/>
        </w:tabs>
        <w:spacing w:after="120"/>
        <w:ind w:left="360"/>
        <w:outlineLvl w:val="0"/>
        <w:rPr>
          <w:color w:val="auto"/>
          <w:sz w:val="22"/>
          <w:szCs w:val="22"/>
        </w:rPr>
      </w:pPr>
      <w:r>
        <w:rPr>
          <w:color w:val="auto"/>
          <w:sz w:val="22"/>
          <w:szCs w:val="22"/>
        </w:rPr>
        <w:t>3.5</w:t>
      </w:r>
      <w:r>
        <w:rPr>
          <w:color w:val="auto"/>
          <w:sz w:val="22"/>
          <w:szCs w:val="22"/>
        </w:rPr>
        <w:tab/>
      </w:r>
      <w:r w:rsidR="00D41D45">
        <w:rPr>
          <w:b/>
          <w:bCs/>
          <w:color w:val="auto"/>
          <w:sz w:val="22"/>
          <w:szCs w:val="22"/>
        </w:rPr>
        <w:t xml:space="preserve">Training and continuing education. </w:t>
      </w:r>
    </w:p>
    <w:p w14:paraId="4F926437" w14:textId="2F1C2320" w:rsidR="003F5A61" w:rsidRDefault="00BB2DC6" w:rsidP="00647DC9">
      <w:pPr>
        <w:pStyle w:val="NoSpacing"/>
        <w:tabs>
          <w:tab w:val="left" w:pos="810"/>
          <w:tab w:val="left" w:pos="900"/>
        </w:tabs>
        <w:spacing w:after="120"/>
        <w:ind w:left="1440" w:hanging="1080"/>
        <w:outlineLvl w:val="0"/>
        <w:rPr>
          <w:color w:val="auto"/>
          <w:sz w:val="22"/>
          <w:szCs w:val="22"/>
        </w:rPr>
      </w:pPr>
      <w:r>
        <w:rPr>
          <w:color w:val="auto"/>
          <w:sz w:val="22"/>
          <w:szCs w:val="22"/>
        </w:rPr>
        <w:tab/>
        <w:t>3.5.1</w:t>
      </w:r>
      <w:r>
        <w:rPr>
          <w:color w:val="auto"/>
          <w:sz w:val="22"/>
          <w:szCs w:val="22"/>
        </w:rPr>
        <w:tab/>
      </w:r>
      <w:r>
        <w:rPr>
          <w:b/>
          <w:bCs/>
          <w:color w:val="auto"/>
          <w:sz w:val="22"/>
          <w:szCs w:val="22"/>
        </w:rPr>
        <w:t xml:space="preserve">New member onboarding. </w:t>
      </w:r>
      <w:r w:rsidR="0033101E">
        <w:rPr>
          <w:color w:val="auto"/>
          <w:sz w:val="22"/>
          <w:szCs w:val="22"/>
        </w:rPr>
        <w:t xml:space="preserve">Onboarding of new members is </w:t>
      </w:r>
      <w:r w:rsidR="0088587D">
        <w:rPr>
          <w:color w:val="auto"/>
          <w:sz w:val="22"/>
          <w:szCs w:val="22"/>
        </w:rPr>
        <w:t xml:space="preserve">generally </w:t>
      </w:r>
      <w:r w:rsidR="0033101E">
        <w:rPr>
          <w:color w:val="auto"/>
          <w:sz w:val="22"/>
          <w:szCs w:val="22"/>
        </w:rPr>
        <w:t xml:space="preserve">completed by </w:t>
      </w:r>
      <w:r w:rsidR="0088587D">
        <w:rPr>
          <w:color w:val="auto"/>
          <w:sz w:val="22"/>
          <w:szCs w:val="22"/>
        </w:rPr>
        <w:t>the</w:t>
      </w:r>
      <w:r w:rsidR="0033101E">
        <w:rPr>
          <w:color w:val="auto"/>
          <w:sz w:val="22"/>
          <w:szCs w:val="22"/>
        </w:rPr>
        <w:t xml:space="preserve"> </w:t>
      </w:r>
      <w:r w:rsidR="003F5A61">
        <w:rPr>
          <w:color w:val="auto"/>
          <w:sz w:val="22"/>
          <w:szCs w:val="22"/>
        </w:rPr>
        <w:t>ADO</w:t>
      </w:r>
      <w:r w:rsidR="00AE05FD">
        <w:rPr>
          <w:color w:val="auto"/>
          <w:sz w:val="22"/>
          <w:szCs w:val="22"/>
        </w:rPr>
        <w:t xml:space="preserve"> or Team </w:t>
      </w:r>
      <w:r w:rsidR="0064611D">
        <w:rPr>
          <w:color w:val="auto"/>
          <w:sz w:val="22"/>
          <w:szCs w:val="22"/>
        </w:rPr>
        <w:t xml:space="preserve">Operations </w:t>
      </w:r>
      <w:r w:rsidR="00AE05FD">
        <w:rPr>
          <w:color w:val="auto"/>
          <w:sz w:val="22"/>
          <w:szCs w:val="22"/>
        </w:rPr>
        <w:t>Lead</w:t>
      </w:r>
      <w:r w:rsidR="0064611D">
        <w:rPr>
          <w:color w:val="auto"/>
          <w:sz w:val="22"/>
          <w:szCs w:val="22"/>
        </w:rPr>
        <w:t xml:space="preserve"> (TOL)</w:t>
      </w:r>
      <w:r w:rsidR="0033101E">
        <w:rPr>
          <w:color w:val="auto"/>
          <w:sz w:val="22"/>
          <w:szCs w:val="22"/>
        </w:rPr>
        <w:t xml:space="preserve">. </w:t>
      </w:r>
      <w:r w:rsidR="00AE05FD">
        <w:rPr>
          <w:color w:val="auto"/>
          <w:sz w:val="22"/>
          <w:szCs w:val="22"/>
        </w:rPr>
        <w:t xml:space="preserve">New members must </w:t>
      </w:r>
      <w:r w:rsidR="0033101E">
        <w:rPr>
          <w:color w:val="auto"/>
          <w:sz w:val="22"/>
          <w:szCs w:val="22"/>
        </w:rPr>
        <w:t xml:space="preserve">complete </w:t>
      </w:r>
      <w:r w:rsidR="00763CBF">
        <w:rPr>
          <w:color w:val="auto"/>
          <w:sz w:val="22"/>
          <w:szCs w:val="22"/>
        </w:rPr>
        <w:t xml:space="preserve">the HSD </w:t>
      </w:r>
      <w:r w:rsidR="0033101E">
        <w:rPr>
          <w:color w:val="auto"/>
          <w:sz w:val="22"/>
          <w:szCs w:val="22"/>
        </w:rPr>
        <w:t xml:space="preserve">online tutorials on </w:t>
      </w:r>
      <w:r w:rsidR="0033101E" w:rsidRPr="003F5A61">
        <w:rPr>
          <w:i/>
          <w:iCs/>
          <w:color w:val="auto"/>
          <w:sz w:val="22"/>
          <w:szCs w:val="22"/>
        </w:rPr>
        <w:t>Risk Assessment</w:t>
      </w:r>
      <w:r w:rsidR="00456C17" w:rsidRPr="006651D0">
        <w:rPr>
          <w:color w:val="auto"/>
          <w:sz w:val="22"/>
          <w:szCs w:val="22"/>
        </w:rPr>
        <w:t>,</w:t>
      </w:r>
      <w:r w:rsidR="006651D0">
        <w:rPr>
          <w:color w:val="auto"/>
          <w:sz w:val="22"/>
          <w:szCs w:val="22"/>
        </w:rPr>
        <w:t xml:space="preserve"> </w:t>
      </w:r>
      <w:r w:rsidR="006651D0">
        <w:rPr>
          <w:i/>
          <w:iCs/>
          <w:color w:val="auto"/>
          <w:sz w:val="22"/>
          <w:szCs w:val="22"/>
        </w:rPr>
        <w:t>T</w:t>
      </w:r>
      <w:r w:rsidR="0033101E" w:rsidRPr="006651D0">
        <w:rPr>
          <w:i/>
          <w:iCs/>
          <w:color w:val="auto"/>
          <w:sz w:val="22"/>
          <w:szCs w:val="22"/>
        </w:rPr>
        <w:t>he</w:t>
      </w:r>
      <w:r w:rsidR="0033101E">
        <w:rPr>
          <w:color w:val="auto"/>
          <w:sz w:val="22"/>
          <w:szCs w:val="22"/>
        </w:rPr>
        <w:t xml:space="preserve"> </w:t>
      </w:r>
      <w:r w:rsidR="0033101E" w:rsidRPr="003F5A61">
        <w:rPr>
          <w:i/>
          <w:iCs/>
          <w:color w:val="auto"/>
          <w:sz w:val="22"/>
          <w:szCs w:val="22"/>
        </w:rPr>
        <w:t>Criteria for Approval</w:t>
      </w:r>
      <w:r w:rsidR="00E86256" w:rsidRPr="006651D0">
        <w:rPr>
          <w:color w:val="auto"/>
          <w:sz w:val="22"/>
          <w:szCs w:val="22"/>
        </w:rPr>
        <w:t>,</w:t>
      </w:r>
      <w:r w:rsidR="00456C17" w:rsidRPr="006651D0">
        <w:rPr>
          <w:color w:val="auto"/>
          <w:sz w:val="22"/>
          <w:szCs w:val="22"/>
        </w:rPr>
        <w:t xml:space="preserve"> </w:t>
      </w:r>
      <w:r w:rsidR="00456C17">
        <w:rPr>
          <w:i/>
          <w:iCs/>
          <w:color w:val="auto"/>
          <w:sz w:val="22"/>
          <w:szCs w:val="22"/>
        </w:rPr>
        <w:t>Follow-on Submissions</w:t>
      </w:r>
      <w:r w:rsidR="007404CD">
        <w:rPr>
          <w:i/>
          <w:iCs/>
          <w:color w:val="auto"/>
          <w:sz w:val="22"/>
          <w:szCs w:val="22"/>
        </w:rPr>
        <w:t>, Reviewing Informed Consent</w:t>
      </w:r>
      <w:r w:rsidR="006949BC">
        <w:rPr>
          <w:i/>
          <w:iCs/>
          <w:color w:val="auto"/>
          <w:sz w:val="22"/>
          <w:szCs w:val="22"/>
        </w:rPr>
        <w:t xml:space="preserve"> and the PAUSE Framework</w:t>
      </w:r>
      <w:r w:rsidR="0033101E">
        <w:rPr>
          <w:color w:val="auto"/>
          <w:sz w:val="22"/>
          <w:szCs w:val="22"/>
        </w:rPr>
        <w:t xml:space="preserve">. The new member is also provided with the following foundational tools: </w:t>
      </w:r>
      <w:r w:rsidR="0033101E">
        <w:rPr>
          <w:b/>
          <w:bCs/>
          <w:color w:val="auto"/>
          <w:sz w:val="22"/>
          <w:szCs w:val="22"/>
        </w:rPr>
        <w:t>WORKSHEET Primary Reviewer, Initial</w:t>
      </w:r>
      <w:r w:rsidR="0033101E">
        <w:rPr>
          <w:color w:val="auto"/>
          <w:sz w:val="22"/>
          <w:szCs w:val="22"/>
        </w:rPr>
        <w:t xml:space="preserve">; </w:t>
      </w:r>
      <w:r w:rsidR="0033101E">
        <w:rPr>
          <w:b/>
          <w:bCs/>
          <w:color w:val="auto"/>
          <w:sz w:val="22"/>
          <w:szCs w:val="22"/>
        </w:rPr>
        <w:t>WORKSHEET Primary Reviewer, Continuing Review and Modification</w:t>
      </w:r>
      <w:r w:rsidR="00E619EA">
        <w:rPr>
          <w:b/>
          <w:bCs/>
          <w:color w:val="auto"/>
          <w:sz w:val="22"/>
          <w:szCs w:val="22"/>
        </w:rPr>
        <w:t>; WORKSHEET Primary Reviewer, RNI.</w:t>
      </w:r>
      <w:r w:rsidR="00253C7C">
        <w:rPr>
          <w:b/>
          <w:bCs/>
          <w:color w:val="auto"/>
          <w:sz w:val="22"/>
          <w:szCs w:val="22"/>
        </w:rPr>
        <w:t xml:space="preserve"> </w:t>
      </w:r>
      <w:r w:rsidR="00EF2F6A">
        <w:rPr>
          <w:color w:val="auto"/>
          <w:sz w:val="22"/>
          <w:szCs w:val="22"/>
        </w:rPr>
        <w:t>Once tutorials are completed, the new member is added to the roster.</w:t>
      </w:r>
      <w:r w:rsidR="0033101E">
        <w:rPr>
          <w:color w:val="auto"/>
          <w:sz w:val="22"/>
          <w:szCs w:val="22"/>
        </w:rPr>
        <w:t xml:space="preserve"> </w:t>
      </w:r>
      <w:r w:rsidR="003F5A61">
        <w:rPr>
          <w:color w:val="auto"/>
          <w:sz w:val="22"/>
          <w:szCs w:val="22"/>
        </w:rPr>
        <w:t xml:space="preserve">The </w:t>
      </w:r>
      <w:r w:rsidR="00CD2B40">
        <w:rPr>
          <w:color w:val="auto"/>
          <w:sz w:val="22"/>
          <w:szCs w:val="22"/>
        </w:rPr>
        <w:t>T</w:t>
      </w:r>
      <w:r w:rsidR="0064611D">
        <w:rPr>
          <w:color w:val="auto"/>
          <w:sz w:val="22"/>
          <w:szCs w:val="22"/>
        </w:rPr>
        <w:t xml:space="preserve">OL </w:t>
      </w:r>
      <w:r w:rsidR="00CD2B40">
        <w:rPr>
          <w:color w:val="auto"/>
          <w:sz w:val="22"/>
          <w:szCs w:val="22"/>
        </w:rPr>
        <w:t>and</w:t>
      </w:r>
      <w:r w:rsidR="00AE05FD">
        <w:rPr>
          <w:color w:val="auto"/>
          <w:sz w:val="22"/>
          <w:szCs w:val="22"/>
        </w:rPr>
        <w:t>/or</w:t>
      </w:r>
      <w:r w:rsidR="00CD2B40">
        <w:rPr>
          <w:color w:val="auto"/>
          <w:sz w:val="22"/>
          <w:szCs w:val="22"/>
        </w:rPr>
        <w:t xml:space="preserve"> ADO identify an experience</w:t>
      </w:r>
      <w:r w:rsidR="0064611D">
        <w:rPr>
          <w:color w:val="auto"/>
          <w:sz w:val="22"/>
          <w:szCs w:val="22"/>
        </w:rPr>
        <w:t>d</w:t>
      </w:r>
      <w:r w:rsidR="00CD2B40">
        <w:rPr>
          <w:color w:val="auto"/>
          <w:sz w:val="22"/>
          <w:szCs w:val="22"/>
        </w:rPr>
        <w:t xml:space="preserve"> reviewer, often the Chair, that the </w:t>
      </w:r>
      <w:r w:rsidR="003F5A61">
        <w:rPr>
          <w:color w:val="auto"/>
          <w:sz w:val="22"/>
          <w:szCs w:val="22"/>
        </w:rPr>
        <w:t xml:space="preserve">new member will shadow for </w:t>
      </w:r>
      <w:r w:rsidR="00EF6D40">
        <w:rPr>
          <w:color w:val="auto"/>
          <w:sz w:val="22"/>
          <w:szCs w:val="22"/>
        </w:rPr>
        <w:t xml:space="preserve">approximately </w:t>
      </w:r>
      <w:r w:rsidR="003F5A61">
        <w:rPr>
          <w:color w:val="auto"/>
          <w:sz w:val="22"/>
          <w:szCs w:val="22"/>
        </w:rPr>
        <w:t>two meetings</w:t>
      </w:r>
      <w:r w:rsidR="0064611D">
        <w:rPr>
          <w:color w:val="auto"/>
          <w:sz w:val="22"/>
          <w:szCs w:val="22"/>
        </w:rPr>
        <w:t xml:space="preserve">. </w:t>
      </w:r>
      <w:r w:rsidR="00EF6D40">
        <w:rPr>
          <w:color w:val="auto"/>
          <w:sz w:val="22"/>
          <w:szCs w:val="22"/>
        </w:rPr>
        <w:t>Next,</w:t>
      </w:r>
      <w:r w:rsidR="003F5A61">
        <w:rPr>
          <w:color w:val="auto"/>
          <w:sz w:val="22"/>
          <w:szCs w:val="22"/>
        </w:rPr>
        <w:t xml:space="preserve"> the new member is assigned as a secondary reviewer for approximately four meetings, using the Primary Reviewer Worksheets to prepare</w:t>
      </w:r>
      <w:r w:rsidR="00CD2B40">
        <w:rPr>
          <w:color w:val="auto"/>
          <w:sz w:val="22"/>
          <w:szCs w:val="22"/>
        </w:rPr>
        <w:t xml:space="preserve"> and receiv</w:t>
      </w:r>
      <w:r w:rsidR="0088587D">
        <w:rPr>
          <w:color w:val="auto"/>
          <w:sz w:val="22"/>
          <w:szCs w:val="22"/>
        </w:rPr>
        <w:t>e</w:t>
      </w:r>
      <w:r w:rsidR="00CD2B40">
        <w:rPr>
          <w:color w:val="auto"/>
          <w:sz w:val="22"/>
          <w:szCs w:val="22"/>
        </w:rPr>
        <w:t xml:space="preserve"> guidance and feedback from the </w:t>
      </w:r>
      <w:r w:rsidR="00AE05FD">
        <w:rPr>
          <w:color w:val="auto"/>
          <w:sz w:val="22"/>
          <w:szCs w:val="22"/>
        </w:rPr>
        <w:t>T</w:t>
      </w:r>
      <w:r w:rsidR="0064611D">
        <w:rPr>
          <w:color w:val="auto"/>
          <w:sz w:val="22"/>
          <w:szCs w:val="22"/>
        </w:rPr>
        <w:t>OL</w:t>
      </w:r>
      <w:r w:rsidR="00AE05FD">
        <w:rPr>
          <w:color w:val="auto"/>
          <w:sz w:val="22"/>
          <w:szCs w:val="22"/>
        </w:rPr>
        <w:t xml:space="preserve">, </w:t>
      </w:r>
      <w:r w:rsidR="00CD2B40">
        <w:rPr>
          <w:color w:val="auto"/>
          <w:sz w:val="22"/>
          <w:szCs w:val="22"/>
        </w:rPr>
        <w:t>ADO</w:t>
      </w:r>
      <w:r w:rsidR="0064611D">
        <w:rPr>
          <w:color w:val="auto"/>
          <w:sz w:val="22"/>
          <w:szCs w:val="22"/>
        </w:rPr>
        <w:t>,</w:t>
      </w:r>
      <w:r w:rsidR="00CD2B40">
        <w:rPr>
          <w:color w:val="auto"/>
          <w:sz w:val="22"/>
          <w:szCs w:val="22"/>
        </w:rPr>
        <w:t xml:space="preserve"> </w:t>
      </w:r>
      <w:r w:rsidR="00AE05FD">
        <w:rPr>
          <w:color w:val="auto"/>
          <w:sz w:val="22"/>
          <w:szCs w:val="22"/>
        </w:rPr>
        <w:t xml:space="preserve">and/or Chair </w:t>
      </w:r>
      <w:proofErr w:type="gramStart"/>
      <w:r w:rsidR="00CD2B40">
        <w:rPr>
          <w:color w:val="auto"/>
          <w:sz w:val="22"/>
          <w:szCs w:val="22"/>
        </w:rPr>
        <w:t>before during</w:t>
      </w:r>
      <w:proofErr w:type="gramEnd"/>
      <w:r w:rsidR="00CD2B40">
        <w:rPr>
          <w:color w:val="auto"/>
          <w:sz w:val="22"/>
          <w:szCs w:val="22"/>
        </w:rPr>
        <w:t xml:space="preserve"> and after the reviews</w:t>
      </w:r>
      <w:r w:rsidR="003F5A61">
        <w:rPr>
          <w:color w:val="auto"/>
          <w:sz w:val="22"/>
          <w:szCs w:val="22"/>
        </w:rPr>
        <w:t xml:space="preserve">. </w:t>
      </w:r>
      <w:proofErr w:type="gramStart"/>
      <w:r w:rsidR="007D6D45">
        <w:rPr>
          <w:color w:val="auto"/>
          <w:sz w:val="22"/>
          <w:szCs w:val="22"/>
        </w:rPr>
        <w:t xml:space="preserve">The </w:t>
      </w:r>
      <w:r w:rsidR="0064611D">
        <w:rPr>
          <w:color w:val="auto"/>
          <w:sz w:val="22"/>
          <w:szCs w:val="22"/>
        </w:rPr>
        <w:t>TOL</w:t>
      </w:r>
      <w:proofErr w:type="gramEnd"/>
      <w:r w:rsidR="00AE05FD">
        <w:rPr>
          <w:color w:val="auto"/>
          <w:sz w:val="22"/>
          <w:szCs w:val="22"/>
        </w:rPr>
        <w:t xml:space="preserve"> and/or </w:t>
      </w:r>
      <w:r w:rsidR="007D6D45">
        <w:rPr>
          <w:color w:val="auto"/>
          <w:sz w:val="22"/>
          <w:szCs w:val="22"/>
        </w:rPr>
        <w:t>ADO determines</w:t>
      </w:r>
      <w:r w:rsidR="0064611D">
        <w:rPr>
          <w:color w:val="auto"/>
          <w:sz w:val="22"/>
          <w:szCs w:val="22"/>
        </w:rPr>
        <w:t xml:space="preserve"> that</w:t>
      </w:r>
      <w:r w:rsidR="007D6D45">
        <w:rPr>
          <w:color w:val="auto"/>
          <w:sz w:val="22"/>
          <w:szCs w:val="22"/>
        </w:rPr>
        <w:t xml:space="preserve"> the member is ready to serve as </w:t>
      </w:r>
      <w:r w:rsidR="0088587D">
        <w:rPr>
          <w:color w:val="auto"/>
          <w:sz w:val="22"/>
          <w:szCs w:val="22"/>
        </w:rPr>
        <w:t xml:space="preserve">a </w:t>
      </w:r>
      <w:r w:rsidR="007D6D45">
        <w:rPr>
          <w:color w:val="auto"/>
          <w:sz w:val="22"/>
          <w:szCs w:val="22"/>
        </w:rPr>
        <w:t xml:space="preserve">primary reviewer when their secondary reviews have demonstrated that </w:t>
      </w:r>
      <w:r w:rsidR="007D6D45">
        <w:rPr>
          <w:color w:val="auto"/>
          <w:sz w:val="22"/>
          <w:szCs w:val="22"/>
        </w:rPr>
        <w:lastRenderedPageBreak/>
        <w:t xml:space="preserve">they: 1) are familiar with the </w:t>
      </w:r>
      <w:r w:rsidR="00623A7D">
        <w:rPr>
          <w:color w:val="auto"/>
          <w:sz w:val="22"/>
          <w:szCs w:val="22"/>
        </w:rPr>
        <w:t xml:space="preserve">IRB </w:t>
      </w:r>
      <w:r w:rsidR="007D6D45">
        <w:rPr>
          <w:color w:val="auto"/>
          <w:sz w:val="22"/>
          <w:szCs w:val="22"/>
        </w:rPr>
        <w:t xml:space="preserve">application materials; 2) understand how to apply the IRB criteria for approval; and 3) know how to use the primary reviewer tools. </w:t>
      </w:r>
    </w:p>
    <w:p w14:paraId="35F07C35" w14:textId="0B246546" w:rsidR="00D41D45" w:rsidRDefault="003F5A61" w:rsidP="00647DC9">
      <w:pPr>
        <w:pStyle w:val="NoSpacing"/>
        <w:tabs>
          <w:tab w:val="left" w:pos="810"/>
          <w:tab w:val="left" w:pos="900"/>
        </w:tabs>
        <w:spacing w:after="120"/>
        <w:ind w:left="1440" w:hanging="1080"/>
        <w:outlineLvl w:val="0"/>
        <w:rPr>
          <w:color w:val="auto"/>
          <w:sz w:val="22"/>
          <w:szCs w:val="22"/>
        </w:rPr>
      </w:pPr>
      <w:r>
        <w:rPr>
          <w:color w:val="auto"/>
          <w:sz w:val="22"/>
          <w:szCs w:val="22"/>
        </w:rPr>
        <w:tab/>
        <w:t>3.5.2</w:t>
      </w:r>
      <w:r>
        <w:rPr>
          <w:color w:val="auto"/>
          <w:sz w:val="22"/>
          <w:szCs w:val="22"/>
        </w:rPr>
        <w:tab/>
      </w:r>
      <w:r w:rsidR="003860A7">
        <w:rPr>
          <w:b/>
          <w:bCs/>
          <w:color w:val="auto"/>
          <w:sz w:val="22"/>
          <w:szCs w:val="22"/>
        </w:rPr>
        <w:t xml:space="preserve">Continuing education. </w:t>
      </w:r>
      <w:r w:rsidR="003860A7">
        <w:rPr>
          <w:color w:val="auto"/>
          <w:sz w:val="22"/>
          <w:szCs w:val="22"/>
        </w:rPr>
        <w:t xml:space="preserve">IRB members are provided with continuing education in response to new or revised regulations or </w:t>
      </w:r>
      <w:proofErr w:type="gramStart"/>
      <w:r w:rsidR="003860A7">
        <w:rPr>
          <w:color w:val="auto"/>
          <w:sz w:val="22"/>
          <w:szCs w:val="22"/>
        </w:rPr>
        <w:t>policy</w:t>
      </w:r>
      <w:proofErr w:type="gramEnd"/>
      <w:r w:rsidR="003860A7">
        <w:rPr>
          <w:color w:val="auto"/>
          <w:sz w:val="22"/>
          <w:szCs w:val="22"/>
        </w:rPr>
        <w:t xml:space="preserve">, the need for introduction to </w:t>
      </w:r>
      <w:r w:rsidR="00CB7633">
        <w:rPr>
          <w:color w:val="auto"/>
          <w:sz w:val="22"/>
          <w:szCs w:val="22"/>
        </w:rPr>
        <w:t>(</w:t>
      </w:r>
      <w:r w:rsidR="003860A7">
        <w:rPr>
          <w:color w:val="auto"/>
          <w:sz w:val="22"/>
          <w:szCs w:val="22"/>
        </w:rPr>
        <w:t>or a refresher about</w:t>
      </w:r>
      <w:r w:rsidR="00CB7633">
        <w:rPr>
          <w:color w:val="auto"/>
          <w:sz w:val="22"/>
          <w:szCs w:val="22"/>
        </w:rPr>
        <w:t>)</w:t>
      </w:r>
      <w:r w:rsidR="003860A7">
        <w:rPr>
          <w:color w:val="auto"/>
          <w:sz w:val="22"/>
          <w:szCs w:val="22"/>
        </w:rPr>
        <w:t xml:space="preserve"> special topics (e.g., GDS certification</w:t>
      </w:r>
      <w:r w:rsidR="005A1734">
        <w:rPr>
          <w:color w:val="auto"/>
          <w:sz w:val="22"/>
          <w:szCs w:val="22"/>
        </w:rPr>
        <w:t>, Zipline upgrades</w:t>
      </w:r>
      <w:r w:rsidR="003860A7">
        <w:rPr>
          <w:color w:val="auto"/>
          <w:sz w:val="22"/>
          <w:szCs w:val="22"/>
        </w:rPr>
        <w:t xml:space="preserve">), requests for training </w:t>
      </w:r>
      <w:r w:rsidR="00EF6D40">
        <w:rPr>
          <w:color w:val="auto"/>
          <w:sz w:val="22"/>
          <w:szCs w:val="22"/>
        </w:rPr>
        <w:t>from IRB members</w:t>
      </w:r>
      <w:r w:rsidR="003860A7">
        <w:rPr>
          <w:color w:val="auto"/>
          <w:sz w:val="22"/>
          <w:szCs w:val="22"/>
        </w:rPr>
        <w:t xml:space="preserve">, or </w:t>
      </w:r>
      <w:r w:rsidR="00EF6D40">
        <w:rPr>
          <w:color w:val="auto"/>
          <w:sz w:val="22"/>
          <w:szCs w:val="22"/>
        </w:rPr>
        <w:t xml:space="preserve">any </w:t>
      </w:r>
      <w:r w:rsidR="003860A7">
        <w:rPr>
          <w:color w:val="auto"/>
          <w:sz w:val="22"/>
          <w:szCs w:val="22"/>
        </w:rPr>
        <w:t xml:space="preserve">other needs. </w:t>
      </w:r>
      <w:r w:rsidR="005A1734">
        <w:rPr>
          <w:color w:val="auto"/>
          <w:sz w:val="22"/>
          <w:szCs w:val="22"/>
        </w:rPr>
        <w:t xml:space="preserve">Training is typically delivered </w:t>
      </w:r>
      <w:r w:rsidR="00CB7633">
        <w:rPr>
          <w:color w:val="auto"/>
          <w:sz w:val="22"/>
          <w:szCs w:val="22"/>
        </w:rPr>
        <w:t xml:space="preserve">at an IRB meeting </w:t>
      </w:r>
      <w:r w:rsidR="005A1734">
        <w:rPr>
          <w:color w:val="auto"/>
          <w:sz w:val="22"/>
          <w:szCs w:val="22"/>
        </w:rPr>
        <w:t xml:space="preserve">by the ADO or </w:t>
      </w:r>
      <w:r w:rsidR="0088587D">
        <w:rPr>
          <w:color w:val="auto"/>
          <w:sz w:val="22"/>
          <w:szCs w:val="22"/>
        </w:rPr>
        <w:t>TOL</w:t>
      </w:r>
      <w:r w:rsidR="005A1734">
        <w:rPr>
          <w:color w:val="auto"/>
          <w:sz w:val="22"/>
          <w:szCs w:val="22"/>
        </w:rPr>
        <w:t xml:space="preserve"> but may be delivered by other HSD staff members, IRB members, </w:t>
      </w:r>
      <w:r w:rsidR="0088587D">
        <w:rPr>
          <w:color w:val="auto"/>
          <w:sz w:val="22"/>
          <w:szCs w:val="22"/>
        </w:rPr>
        <w:t xml:space="preserve">IRB Chairs </w:t>
      </w:r>
      <w:r w:rsidR="005A1734">
        <w:rPr>
          <w:color w:val="auto"/>
          <w:sz w:val="22"/>
          <w:szCs w:val="22"/>
        </w:rPr>
        <w:t xml:space="preserve">or other </w:t>
      </w:r>
      <w:r w:rsidR="00D36969">
        <w:rPr>
          <w:color w:val="auto"/>
          <w:sz w:val="22"/>
          <w:szCs w:val="22"/>
        </w:rPr>
        <w:t>individual</w:t>
      </w:r>
      <w:r w:rsidR="0088587D">
        <w:rPr>
          <w:color w:val="auto"/>
          <w:sz w:val="22"/>
          <w:szCs w:val="22"/>
        </w:rPr>
        <w:t>s</w:t>
      </w:r>
      <w:r w:rsidR="00D36969">
        <w:rPr>
          <w:color w:val="auto"/>
          <w:sz w:val="22"/>
          <w:szCs w:val="22"/>
        </w:rPr>
        <w:t xml:space="preserve"> with expertise </w:t>
      </w:r>
      <w:r w:rsidR="00F86229">
        <w:rPr>
          <w:color w:val="auto"/>
          <w:sz w:val="22"/>
          <w:szCs w:val="22"/>
        </w:rPr>
        <w:t>o</w:t>
      </w:r>
      <w:r w:rsidR="00D36969">
        <w:rPr>
          <w:color w:val="auto"/>
          <w:sz w:val="22"/>
          <w:szCs w:val="22"/>
        </w:rPr>
        <w:t xml:space="preserve">n a particular topic. </w:t>
      </w:r>
      <w:r w:rsidR="00CB7633">
        <w:rPr>
          <w:color w:val="auto"/>
          <w:sz w:val="22"/>
          <w:szCs w:val="22"/>
        </w:rPr>
        <w:t xml:space="preserve">In addition, IRB members may be invited to view topical webinars to which HSD subscribes from IRB professional organizations such as PRIM&amp;R and AAHRPP. Finally, all IRB members are subscribed to the </w:t>
      </w:r>
      <w:r w:rsidR="00A71554">
        <w:rPr>
          <w:color w:val="auto"/>
          <w:sz w:val="22"/>
          <w:szCs w:val="22"/>
        </w:rPr>
        <w:t xml:space="preserve">HSD </w:t>
      </w:r>
      <w:proofErr w:type="spellStart"/>
      <w:r w:rsidR="00A71554">
        <w:rPr>
          <w:color w:val="auto"/>
          <w:sz w:val="22"/>
          <w:szCs w:val="22"/>
        </w:rPr>
        <w:t>eNewsletter</w:t>
      </w:r>
      <w:proofErr w:type="spellEnd"/>
      <w:r w:rsidR="00A71554">
        <w:rPr>
          <w:color w:val="auto"/>
          <w:sz w:val="22"/>
          <w:szCs w:val="22"/>
        </w:rPr>
        <w:t xml:space="preserve"> which is published approximately once a month.</w:t>
      </w:r>
    </w:p>
    <w:p w14:paraId="6F384D07" w14:textId="0E4DE25C" w:rsidR="00026E59" w:rsidRDefault="00D41D45" w:rsidP="00647DC9">
      <w:pPr>
        <w:pStyle w:val="NoSpacing"/>
        <w:tabs>
          <w:tab w:val="left" w:pos="810"/>
          <w:tab w:val="left" w:pos="900"/>
        </w:tabs>
        <w:spacing w:after="120"/>
        <w:ind w:left="810" w:hanging="450"/>
        <w:outlineLvl w:val="0"/>
        <w:rPr>
          <w:color w:val="auto"/>
          <w:sz w:val="22"/>
          <w:szCs w:val="22"/>
        </w:rPr>
      </w:pPr>
      <w:r>
        <w:rPr>
          <w:color w:val="auto"/>
          <w:sz w:val="22"/>
          <w:szCs w:val="22"/>
        </w:rPr>
        <w:t>3.6</w:t>
      </w:r>
      <w:r>
        <w:rPr>
          <w:color w:val="auto"/>
          <w:sz w:val="22"/>
          <w:szCs w:val="22"/>
        </w:rPr>
        <w:tab/>
      </w:r>
      <w:r>
        <w:rPr>
          <w:b/>
          <w:bCs/>
          <w:color w:val="auto"/>
          <w:sz w:val="22"/>
          <w:szCs w:val="22"/>
        </w:rPr>
        <w:t xml:space="preserve">Expectations. </w:t>
      </w:r>
      <w:r>
        <w:rPr>
          <w:color w:val="auto"/>
          <w:sz w:val="22"/>
          <w:szCs w:val="22"/>
        </w:rPr>
        <w:t xml:space="preserve">All members are expected to adequately fulfill the responsibilities outlined in the document </w:t>
      </w:r>
      <w:r>
        <w:rPr>
          <w:b/>
          <w:bCs/>
          <w:color w:val="auto"/>
          <w:sz w:val="22"/>
          <w:szCs w:val="22"/>
        </w:rPr>
        <w:t>IRB Member Standards and Responsibilities</w:t>
      </w:r>
      <w:r>
        <w:rPr>
          <w:color w:val="auto"/>
          <w:sz w:val="22"/>
          <w:szCs w:val="22"/>
        </w:rPr>
        <w:t xml:space="preserve"> and to manage conflicts of interest as described in the </w:t>
      </w:r>
      <w:r>
        <w:rPr>
          <w:b/>
          <w:bCs/>
          <w:color w:val="auto"/>
          <w:sz w:val="22"/>
          <w:szCs w:val="22"/>
        </w:rPr>
        <w:t xml:space="preserve">SOP </w:t>
      </w:r>
      <w:r w:rsidR="004F15E4">
        <w:rPr>
          <w:b/>
          <w:bCs/>
          <w:color w:val="auto"/>
          <w:sz w:val="22"/>
          <w:szCs w:val="22"/>
        </w:rPr>
        <w:t>Reviewer</w:t>
      </w:r>
      <w:r>
        <w:rPr>
          <w:b/>
          <w:bCs/>
          <w:color w:val="auto"/>
          <w:sz w:val="22"/>
          <w:szCs w:val="22"/>
        </w:rPr>
        <w:t xml:space="preserve"> Conflict of Interest</w:t>
      </w:r>
      <w:r>
        <w:rPr>
          <w:color w:val="auto"/>
          <w:sz w:val="22"/>
          <w:szCs w:val="22"/>
        </w:rPr>
        <w:t xml:space="preserve">. </w:t>
      </w:r>
    </w:p>
    <w:p w14:paraId="76CA6E32" w14:textId="172BFF26" w:rsidR="008C69FC" w:rsidRDefault="00E13CB6" w:rsidP="00530E1D">
      <w:pPr>
        <w:pStyle w:val="NoSpacing"/>
        <w:tabs>
          <w:tab w:val="left" w:pos="1440"/>
        </w:tabs>
        <w:spacing w:after="120"/>
        <w:ind w:left="810" w:hanging="450"/>
        <w:outlineLvl w:val="0"/>
        <w:rPr>
          <w:color w:val="auto"/>
          <w:sz w:val="22"/>
          <w:szCs w:val="22"/>
        </w:rPr>
      </w:pPr>
      <w:r>
        <w:rPr>
          <w:color w:val="auto"/>
          <w:sz w:val="22"/>
          <w:szCs w:val="22"/>
        </w:rPr>
        <w:t>3</w:t>
      </w:r>
      <w:r w:rsidR="00933ACD">
        <w:rPr>
          <w:color w:val="auto"/>
          <w:sz w:val="22"/>
          <w:szCs w:val="22"/>
        </w:rPr>
        <w:t>.</w:t>
      </w:r>
      <w:r w:rsidR="0088587D">
        <w:rPr>
          <w:color w:val="auto"/>
          <w:sz w:val="22"/>
          <w:szCs w:val="22"/>
        </w:rPr>
        <w:t>7</w:t>
      </w:r>
      <w:r w:rsidR="00933ACD">
        <w:rPr>
          <w:color w:val="auto"/>
          <w:sz w:val="22"/>
          <w:szCs w:val="22"/>
        </w:rPr>
        <w:tab/>
      </w:r>
      <w:r w:rsidR="00934C95">
        <w:rPr>
          <w:b/>
          <w:bCs/>
          <w:color w:val="auto"/>
          <w:sz w:val="22"/>
          <w:szCs w:val="22"/>
        </w:rPr>
        <w:t>IRB Member E</w:t>
      </w:r>
      <w:r w:rsidR="00933ACD">
        <w:rPr>
          <w:b/>
          <w:bCs/>
          <w:color w:val="auto"/>
          <w:sz w:val="22"/>
          <w:szCs w:val="22"/>
        </w:rPr>
        <w:t>valuation</w:t>
      </w:r>
      <w:r w:rsidR="00934C95">
        <w:rPr>
          <w:b/>
          <w:bCs/>
          <w:color w:val="auto"/>
          <w:sz w:val="22"/>
          <w:szCs w:val="22"/>
        </w:rPr>
        <w:t xml:space="preserve"> Process</w:t>
      </w:r>
      <w:r w:rsidR="00933ACD">
        <w:rPr>
          <w:b/>
          <w:bCs/>
          <w:color w:val="auto"/>
          <w:sz w:val="22"/>
          <w:szCs w:val="22"/>
        </w:rPr>
        <w:t xml:space="preserve">. </w:t>
      </w:r>
      <w:r w:rsidR="008C69FC">
        <w:rPr>
          <w:color w:val="auto"/>
          <w:sz w:val="22"/>
          <w:szCs w:val="22"/>
        </w:rPr>
        <w:t xml:space="preserve">At least one member of HSD </w:t>
      </w:r>
      <w:r w:rsidR="0088587D">
        <w:rPr>
          <w:color w:val="auto"/>
          <w:sz w:val="22"/>
          <w:szCs w:val="22"/>
        </w:rPr>
        <w:t>leadership</w:t>
      </w:r>
      <w:r w:rsidR="0014602B">
        <w:rPr>
          <w:color w:val="auto"/>
          <w:sz w:val="22"/>
          <w:szCs w:val="22"/>
        </w:rPr>
        <w:t xml:space="preserve">, </w:t>
      </w:r>
      <w:r w:rsidR="008C69FC">
        <w:rPr>
          <w:color w:val="auto"/>
          <w:sz w:val="22"/>
          <w:szCs w:val="22"/>
        </w:rPr>
        <w:t xml:space="preserve">relevant IRB </w:t>
      </w:r>
      <w:r w:rsidR="0088587D">
        <w:rPr>
          <w:color w:val="auto"/>
          <w:sz w:val="22"/>
          <w:szCs w:val="22"/>
        </w:rPr>
        <w:t>TOL</w:t>
      </w:r>
      <w:r w:rsidR="0014602B">
        <w:rPr>
          <w:color w:val="auto"/>
          <w:sz w:val="22"/>
          <w:szCs w:val="22"/>
        </w:rPr>
        <w:t>, and the IRB Chair</w:t>
      </w:r>
      <w:r w:rsidR="00E04F2B">
        <w:rPr>
          <w:color w:val="auto"/>
          <w:sz w:val="22"/>
          <w:szCs w:val="22"/>
        </w:rPr>
        <w:t xml:space="preserve"> </w:t>
      </w:r>
      <w:r w:rsidR="00913320">
        <w:rPr>
          <w:color w:val="auto"/>
          <w:sz w:val="22"/>
          <w:szCs w:val="22"/>
        </w:rPr>
        <w:t xml:space="preserve">will </w:t>
      </w:r>
      <w:r w:rsidR="008C69FC">
        <w:rPr>
          <w:color w:val="auto"/>
          <w:sz w:val="22"/>
          <w:szCs w:val="22"/>
        </w:rPr>
        <w:t>assess</w:t>
      </w:r>
      <w:r w:rsidR="00307A95">
        <w:rPr>
          <w:color w:val="auto"/>
          <w:sz w:val="22"/>
          <w:szCs w:val="22"/>
        </w:rPr>
        <w:t xml:space="preserve"> the IRB members</w:t>
      </w:r>
      <w:r w:rsidR="00456C17">
        <w:rPr>
          <w:color w:val="auto"/>
          <w:sz w:val="22"/>
          <w:szCs w:val="22"/>
        </w:rPr>
        <w:t xml:space="preserve"> </w:t>
      </w:r>
      <w:r w:rsidR="00913320">
        <w:rPr>
          <w:color w:val="auto"/>
          <w:sz w:val="22"/>
          <w:szCs w:val="22"/>
        </w:rPr>
        <w:t xml:space="preserve">and </w:t>
      </w:r>
      <w:r w:rsidR="0014602B">
        <w:rPr>
          <w:color w:val="auto"/>
          <w:sz w:val="22"/>
          <w:szCs w:val="22"/>
        </w:rPr>
        <w:t xml:space="preserve">IRB </w:t>
      </w:r>
      <w:r w:rsidR="003917ED">
        <w:rPr>
          <w:color w:val="auto"/>
          <w:sz w:val="22"/>
          <w:szCs w:val="22"/>
        </w:rPr>
        <w:t>Vice Chairs</w:t>
      </w:r>
      <w:r w:rsidR="00307A95">
        <w:rPr>
          <w:color w:val="auto"/>
          <w:sz w:val="22"/>
          <w:szCs w:val="22"/>
        </w:rPr>
        <w:t xml:space="preserve"> </w:t>
      </w:r>
      <w:r w:rsidR="0014602B">
        <w:rPr>
          <w:color w:val="auto"/>
          <w:sz w:val="22"/>
          <w:szCs w:val="22"/>
        </w:rPr>
        <w:t xml:space="preserve">yearly </w:t>
      </w:r>
      <w:r w:rsidR="00307A95">
        <w:rPr>
          <w:color w:val="auto"/>
          <w:sz w:val="22"/>
          <w:szCs w:val="22"/>
        </w:rPr>
        <w:t xml:space="preserve">as described below. </w:t>
      </w:r>
      <w:r w:rsidR="00212D0A">
        <w:rPr>
          <w:color w:val="auto"/>
          <w:sz w:val="22"/>
          <w:szCs w:val="22"/>
        </w:rPr>
        <w:t xml:space="preserve"> </w:t>
      </w:r>
      <w:r w:rsidR="00913320">
        <w:rPr>
          <w:color w:val="auto"/>
          <w:sz w:val="22"/>
          <w:szCs w:val="22"/>
        </w:rPr>
        <w:t xml:space="preserve">Additionally, </w:t>
      </w:r>
      <w:r w:rsidR="00212D0A">
        <w:rPr>
          <w:color w:val="auto"/>
          <w:sz w:val="22"/>
          <w:szCs w:val="22"/>
        </w:rPr>
        <w:t xml:space="preserve">HSD leadership will </w:t>
      </w:r>
      <w:r w:rsidR="00913320">
        <w:rPr>
          <w:color w:val="auto"/>
          <w:sz w:val="22"/>
          <w:szCs w:val="22"/>
        </w:rPr>
        <w:t xml:space="preserve">annually </w:t>
      </w:r>
      <w:r w:rsidR="00212D0A">
        <w:rPr>
          <w:color w:val="auto"/>
          <w:sz w:val="22"/>
          <w:szCs w:val="22"/>
        </w:rPr>
        <w:t>assess IRB Chairs</w:t>
      </w:r>
      <w:r w:rsidR="00913320">
        <w:rPr>
          <w:color w:val="auto"/>
          <w:sz w:val="22"/>
          <w:szCs w:val="22"/>
        </w:rPr>
        <w:t>.</w:t>
      </w:r>
      <w:r w:rsidR="00212D0A">
        <w:rPr>
          <w:color w:val="auto"/>
          <w:sz w:val="22"/>
          <w:szCs w:val="22"/>
        </w:rPr>
        <w:t xml:space="preserve"> </w:t>
      </w:r>
    </w:p>
    <w:p w14:paraId="2526F7F2" w14:textId="55987E7B" w:rsidR="008C69FC" w:rsidRDefault="008C69FC" w:rsidP="006B22FA">
      <w:pPr>
        <w:pStyle w:val="NoSpacing"/>
        <w:numPr>
          <w:ilvl w:val="1"/>
          <w:numId w:val="42"/>
        </w:numPr>
        <w:tabs>
          <w:tab w:val="left" w:pos="1440"/>
        </w:tabs>
        <w:spacing w:after="60"/>
        <w:ind w:left="1440" w:hanging="270"/>
        <w:outlineLvl w:val="0"/>
        <w:rPr>
          <w:color w:val="auto"/>
          <w:sz w:val="22"/>
          <w:szCs w:val="22"/>
        </w:rPr>
      </w:pPr>
      <w:r>
        <w:rPr>
          <w:color w:val="auto"/>
          <w:sz w:val="22"/>
          <w:szCs w:val="22"/>
        </w:rPr>
        <w:t>The membership and composition of each IRB</w:t>
      </w:r>
      <w:r w:rsidR="00023716">
        <w:rPr>
          <w:color w:val="auto"/>
          <w:sz w:val="22"/>
          <w:szCs w:val="22"/>
        </w:rPr>
        <w:t xml:space="preserve"> is evaluated</w:t>
      </w:r>
      <w:r>
        <w:rPr>
          <w:color w:val="auto"/>
          <w:sz w:val="22"/>
          <w:szCs w:val="22"/>
        </w:rPr>
        <w:t xml:space="preserve"> to ensure all regulatory and policy requirements are met. If requirements are not met, adjustments </w:t>
      </w:r>
      <w:r w:rsidR="00A449D6">
        <w:rPr>
          <w:color w:val="auto"/>
          <w:sz w:val="22"/>
          <w:szCs w:val="22"/>
        </w:rPr>
        <w:t>are</w:t>
      </w:r>
      <w:r>
        <w:rPr>
          <w:color w:val="auto"/>
          <w:sz w:val="22"/>
          <w:szCs w:val="22"/>
        </w:rPr>
        <w:t xml:space="preserve"> made.</w:t>
      </w:r>
    </w:p>
    <w:p w14:paraId="2720A3AB" w14:textId="0F08A42E" w:rsidR="00D04D4A" w:rsidRPr="00647DC9" w:rsidRDefault="008C69FC" w:rsidP="00647DC9">
      <w:pPr>
        <w:pStyle w:val="NoSpacing"/>
        <w:numPr>
          <w:ilvl w:val="1"/>
          <w:numId w:val="42"/>
        </w:numPr>
        <w:tabs>
          <w:tab w:val="left" w:pos="1440"/>
        </w:tabs>
        <w:spacing w:after="120"/>
        <w:ind w:left="1440" w:hanging="270"/>
        <w:outlineLvl w:val="0"/>
        <w:rPr>
          <w:color w:val="auto"/>
          <w:sz w:val="22"/>
          <w:szCs w:val="22"/>
        </w:rPr>
      </w:pPr>
      <w:r>
        <w:rPr>
          <w:color w:val="auto"/>
          <w:sz w:val="22"/>
          <w:szCs w:val="22"/>
        </w:rPr>
        <w:t>E</w:t>
      </w:r>
      <w:r w:rsidR="00933ACD">
        <w:rPr>
          <w:color w:val="auto"/>
          <w:sz w:val="22"/>
          <w:szCs w:val="22"/>
        </w:rPr>
        <w:t>ach IRB member</w:t>
      </w:r>
      <w:r w:rsidR="00023716">
        <w:rPr>
          <w:color w:val="auto"/>
          <w:sz w:val="22"/>
          <w:szCs w:val="22"/>
        </w:rPr>
        <w:t xml:space="preserve"> </w:t>
      </w:r>
      <w:r w:rsidR="00AF4301">
        <w:rPr>
          <w:color w:val="auto"/>
          <w:sz w:val="22"/>
          <w:szCs w:val="22"/>
        </w:rPr>
        <w:t>and IRB Chair</w:t>
      </w:r>
      <w:r w:rsidR="003917ED">
        <w:rPr>
          <w:color w:val="auto"/>
          <w:sz w:val="22"/>
          <w:szCs w:val="22"/>
        </w:rPr>
        <w:t>/Vice Chair</w:t>
      </w:r>
      <w:r w:rsidR="00AF4301">
        <w:rPr>
          <w:color w:val="auto"/>
          <w:sz w:val="22"/>
          <w:szCs w:val="22"/>
        </w:rPr>
        <w:t xml:space="preserve"> </w:t>
      </w:r>
      <w:proofErr w:type="gramStart"/>
      <w:r w:rsidR="00023716">
        <w:rPr>
          <w:color w:val="auto"/>
          <w:sz w:val="22"/>
          <w:szCs w:val="22"/>
        </w:rPr>
        <w:t>is</w:t>
      </w:r>
      <w:proofErr w:type="gramEnd"/>
      <w:r w:rsidR="00023716">
        <w:rPr>
          <w:color w:val="auto"/>
          <w:sz w:val="22"/>
          <w:szCs w:val="22"/>
        </w:rPr>
        <w:t xml:space="preserve"> evaluated</w:t>
      </w:r>
      <w:r w:rsidR="00933ACD">
        <w:rPr>
          <w:color w:val="auto"/>
          <w:sz w:val="22"/>
          <w:szCs w:val="22"/>
        </w:rPr>
        <w:t xml:space="preserve"> for </w:t>
      </w:r>
      <w:r w:rsidR="00307A95">
        <w:rPr>
          <w:color w:val="auto"/>
          <w:sz w:val="22"/>
          <w:szCs w:val="22"/>
        </w:rPr>
        <w:t xml:space="preserve">acceptable </w:t>
      </w:r>
      <w:r w:rsidR="00933ACD">
        <w:rPr>
          <w:color w:val="auto"/>
          <w:sz w:val="22"/>
          <w:szCs w:val="22"/>
        </w:rPr>
        <w:t xml:space="preserve">adherence to the </w:t>
      </w:r>
      <w:r w:rsidR="00F86229">
        <w:rPr>
          <w:b/>
          <w:bCs/>
          <w:color w:val="auto"/>
          <w:sz w:val="22"/>
          <w:szCs w:val="22"/>
        </w:rPr>
        <w:t xml:space="preserve">SOP </w:t>
      </w:r>
      <w:r w:rsidR="00933ACD">
        <w:rPr>
          <w:b/>
          <w:bCs/>
          <w:color w:val="auto"/>
          <w:sz w:val="22"/>
          <w:szCs w:val="22"/>
        </w:rPr>
        <w:t>IRB Member Standards and Responsibilities</w:t>
      </w:r>
      <w:r w:rsidR="00212D0A">
        <w:rPr>
          <w:color w:val="auto"/>
          <w:sz w:val="22"/>
          <w:szCs w:val="22"/>
        </w:rPr>
        <w:t xml:space="preserve"> using the TEMP</w:t>
      </w:r>
      <w:r w:rsidR="00AB4A3B">
        <w:rPr>
          <w:color w:val="auto"/>
          <w:sz w:val="22"/>
          <w:szCs w:val="22"/>
        </w:rPr>
        <w:t>LATE IRB Member Evaluation. The evaluations are kept in the IRB member</w:t>
      </w:r>
      <w:r w:rsidR="00850FF3">
        <w:rPr>
          <w:color w:val="auto"/>
          <w:sz w:val="22"/>
          <w:szCs w:val="22"/>
        </w:rPr>
        <w:t xml:space="preserve"> files. </w:t>
      </w:r>
      <w:r w:rsidR="00AB4A3B">
        <w:rPr>
          <w:color w:val="auto"/>
          <w:sz w:val="22"/>
          <w:szCs w:val="22"/>
        </w:rPr>
        <w:t>IRB members</w:t>
      </w:r>
      <w:r w:rsidR="00850FF3">
        <w:rPr>
          <w:color w:val="auto"/>
          <w:sz w:val="22"/>
          <w:szCs w:val="22"/>
        </w:rPr>
        <w:t xml:space="preserve"> who are meeting expectations</w:t>
      </w:r>
      <w:r w:rsidR="00AB4A3B">
        <w:rPr>
          <w:color w:val="auto"/>
          <w:sz w:val="22"/>
          <w:szCs w:val="22"/>
        </w:rPr>
        <w:t xml:space="preserve"> are sent a</w:t>
      </w:r>
      <w:r w:rsidR="00850FF3">
        <w:rPr>
          <w:color w:val="auto"/>
          <w:sz w:val="22"/>
          <w:szCs w:val="22"/>
        </w:rPr>
        <w:t xml:space="preserve"> yearly email thanking them for their participation and for their </w:t>
      </w:r>
      <w:r w:rsidR="008F6143">
        <w:rPr>
          <w:color w:val="auto"/>
          <w:sz w:val="22"/>
          <w:szCs w:val="22"/>
        </w:rPr>
        <w:t>adherence</w:t>
      </w:r>
      <w:r w:rsidR="00850FF3">
        <w:rPr>
          <w:color w:val="auto"/>
          <w:sz w:val="22"/>
          <w:szCs w:val="22"/>
        </w:rPr>
        <w:t xml:space="preserve"> to the SOP IRB Member </w:t>
      </w:r>
      <w:r w:rsidR="008F6143">
        <w:rPr>
          <w:color w:val="auto"/>
          <w:sz w:val="22"/>
          <w:szCs w:val="22"/>
        </w:rPr>
        <w:t xml:space="preserve">Standards </w:t>
      </w:r>
      <w:r w:rsidR="00850FF3">
        <w:rPr>
          <w:color w:val="auto"/>
          <w:sz w:val="22"/>
          <w:szCs w:val="22"/>
        </w:rPr>
        <w:t xml:space="preserve">and </w:t>
      </w:r>
      <w:r w:rsidR="008F6143">
        <w:rPr>
          <w:color w:val="auto"/>
          <w:sz w:val="22"/>
          <w:szCs w:val="22"/>
        </w:rPr>
        <w:t>Responsibilities. When</w:t>
      </w:r>
      <w:r w:rsidR="00525734">
        <w:rPr>
          <w:color w:val="auto"/>
          <w:sz w:val="22"/>
          <w:szCs w:val="22"/>
        </w:rPr>
        <w:t xml:space="preserve"> an IRB member is assessed as not adequately fulfilling standards and responsibilities</w:t>
      </w:r>
      <w:r w:rsidR="00913320">
        <w:rPr>
          <w:color w:val="auto"/>
          <w:sz w:val="22"/>
          <w:szCs w:val="22"/>
        </w:rPr>
        <w:t xml:space="preserve">, </w:t>
      </w:r>
      <w:r w:rsidR="00610712">
        <w:rPr>
          <w:color w:val="auto"/>
          <w:sz w:val="22"/>
          <w:szCs w:val="22"/>
        </w:rPr>
        <w:t>HSD leadership and</w:t>
      </w:r>
      <w:r w:rsidR="00913320">
        <w:rPr>
          <w:color w:val="auto"/>
          <w:sz w:val="22"/>
          <w:szCs w:val="22"/>
        </w:rPr>
        <w:t>/</w:t>
      </w:r>
      <w:r w:rsidR="00610712">
        <w:rPr>
          <w:color w:val="auto"/>
          <w:sz w:val="22"/>
          <w:szCs w:val="22"/>
        </w:rPr>
        <w:t xml:space="preserve">or the IRB chair will communicate the issues to the IRB member using the template as a guide. </w:t>
      </w:r>
      <w:r w:rsidR="00525734">
        <w:rPr>
          <w:color w:val="auto"/>
          <w:sz w:val="22"/>
          <w:szCs w:val="22"/>
        </w:rPr>
        <w:t xml:space="preserve">HSD </w:t>
      </w:r>
      <w:r w:rsidR="0088587D">
        <w:rPr>
          <w:color w:val="auto"/>
          <w:sz w:val="22"/>
          <w:szCs w:val="22"/>
        </w:rPr>
        <w:t xml:space="preserve">leadership </w:t>
      </w:r>
      <w:r w:rsidR="00525734">
        <w:rPr>
          <w:color w:val="auto"/>
          <w:sz w:val="22"/>
          <w:szCs w:val="22"/>
        </w:rPr>
        <w:t>team</w:t>
      </w:r>
      <w:r w:rsidR="00913320">
        <w:rPr>
          <w:color w:val="auto"/>
          <w:sz w:val="22"/>
          <w:szCs w:val="22"/>
        </w:rPr>
        <w:t>, in consultation with the IRB Chair, will</w:t>
      </w:r>
      <w:r w:rsidR="00525734">
        <w:rPr>
          <w:color w:val="auto"/>
          <w:sz w:val="22"/>
          <w:szCs w:val="22"/>
        </w:rPr>
        <w:t xml:space="preserve"> determine </w:t>
      </w:r>
      <w:r w:rsidR="00307A95">
        <w:rPr>
          <w:color w:val="auto"/>
          <w:sz w:val="22"/>
          <w:szCs w:val="22"/>
        </w:rPr>
        <w:t xml:space="preserve">how to address the issue(s). Possibilities include: (1) development of new or better guidance about problematic issues; (2) </w:t>
      </w:r>
      <w:proofErr w:type="gramStart"/>
      <w:r w:rsidR="00307A95">
        <w:rPr>
          <w:color w:val="auto"/>
          <w:sz w:val="22"/>
          <w:szCs w:val="22"/>
        </w:rPr>
        <w:t>provide</w:t>
      </w:r>
      <w:proofErr w:type="gramEnd"/>
      <w:r w:rsidR="00307A95">
        <w:rPr>
          <w:color w:val="auto"/>
          <w:sz w:val="22"/>
          <w:szCs w:val="22"/>
        </w:rPr>
        <w:t xml:space="preserve"> the member </w:t>
      </w:r>
      <w:r w:rsidR="00525734">
        <w:rPr>
          <w:color w:val="auto"/>
          <w:sz w:val="22"/>
          <w:szCs w:val="22"/>
        </w:rPr>
        <w:t>with feedback and/or additional training; or (</w:t>
      </w:r>
      <w:r w:rsidR="00307A95">
        <w:rPr>
          <w:color w:val="auto"/>
          <w:sz w:val="22"/>
          <w:szCs w:val="22"/>
        </w:rPr>
        <w:t>3</w:t>
      </w:r>
      <w:r w:rsidR="00525734">
        <w:rPr>
          <w:color w:val="auto"/>
          <w:sz w:val="22"/>
          <w:szCs w:val="22"/>
        </w:rPr>
        <w:t xml:space="preserve">) </w:t>
      </w:r>
      <w:r w:rsidR="00307A95">
        <w:rPr>
          <w:color w:val="auto"/>
          <w:sz w:val="22"/>
          <w:szCs w:val="22"/>
        </w:rPr>
        <w:t xml:space="preserve">as a last resort, </w:t>
      </w:r>
      <w:r w:rsidR="0088587D">
        <w:rPr>
          <w:color w:val="auto"/>
          <w:sz w:val="22"/>
          <w:szCs w:val="22"/>
        </w:rPr>
        <w:t xml:space="preserve">request </w:t>
      </w:r>
      <w:r w:rsidR="00525734">
        <w:rPr>
          <w:color w:val="auto"/>
          <w:sz w:val="22"/>
          <w:szCs w:val="22"/>
        </w:rPr>
        <w:t>appointment</w:t>
      </w:r>
      <w:r w:rsidR="00AF4301">
        <w:rPr>
          <w:color w:val="auto"/>
          <w:sz w:val="22"/>
          <w:szCs w:val="22"/>
        </w:rPr>
        <w:t xml:space="preserve"> </w:t>
      </w:r>
      <w:r w:rsidR="0088587D">
        <w:rPr>
          <w:color w:val="auto"/>
          <w:sz w:val="22"/>
          <w:szCs w:val="22"/>
        </w:rPr>
        <w:t>termination from the IO</w:t>
      </w:r>
      <w:r w:rsidR="00307A95">
        <w:rPr>
          <w:color w:val="auto"/>
          <w:sz w:val="22"/>
          <w:szCs w:val="22"/>
        </w:rPr>
        <w:t>.</w:t>
      </w:r>
    </w:p>
    <w:p w14:paraId="24E01195" w14:textId="5779DA10" w:rsidR="00592E38" w:rsidRDefault="00D04D4A" w:rsidP="00647DC9">
      <w:pPr>
        <w:pStyle w:val="NoSpacing"/>
        <w:tabs>
          <w:tab w:val="left" w:pos="810"/>
          <w:tab w:val="left" w:pos="1440"/>
        </w:tabs>
        <w:spacing w:after="120"/>
        <w:ind w:left="900" w:hanging="540"/>
        <w:outlineLvl w:val="0"/>
        <w:rPr>
          <w:color w:val="auto"/>
          <w:sz w:val="22"/>
          <w:szCs w:val="22"/>
        </w:rPr>
      </w:pPr>
      <w:r>
        <w:rPr>
          <w:color w:val="auto"/>
          <w:sz w:val="22"/>
          <w:szCs w:val="22"/>
        </w:rPr>
        <w:t>3.</w:t>
      </w:r>
      <w:r w:rsidR="00530E1D">
        <w:rPr>
          <w:color w:val="auto"/>
          <w:sz w:val="22"/>
          <w:szCs w:val="22"/>
        </w:rPr>
        <w:t>8</w:t>
      </w:r>
      <w:r>
        <w:rPr>
          <w:color w:val="auto"/>
          <w:sz w:val="22"/>
          <w:szCs w:val="22"/>
        </w:rPr>
        <w:tab/>
      </w:r>
      <w:r>
        <w:rPr>
          <w:b/>
          <w:bCs/>
          <w:color w:val="auto"/>
          <w:sz w:val="22"/>
          <w:szCs w:val="22"/>
        </w:rPr>
        <w:t xml:space="preserve">Liability coverage. </w:t>
      </w:r>
      <w:r>
        <w:rPr>
          <w:color w:val="auto"/>
          <w:sz w:val="22"/>
          <w:szCs w:val="22"/>
        </w:rPr>
        <w:t xml:space="preserve">The </w:t>
      </w:r>
      <w:r w:rsidR="0088587D">
        <w:rPr>
          <w:color w:val="auto"/>
          <w:sz w:val="22"/>
          <w:szCs w:val="22"/>
        </w:rPr>
        <w:t>UW</w:t>
      </w:r>
      <w:r>
        <w:rPr>
          <w:color w:val="auto"/>
          <w:sz w:val="22"/>
          <w:szCs w:val="22"/>
        </w:rPr>
        <w:t xml:space="preserve"> </w:t>
      </w:r>
      <w:r w:rsidR="0088587D">
        <w:rPr>
          <w:color w:val="auto"/>
          <w:sz w:val="22"/>
          <w:szCs w:val="22"/>
        </w:rPr>
        <w:t>Compliance and Risk</w:t>
      </w:r>
      <w:r w:rsidR="008900BE">
        <w:rPr>
          <w:color w:val="auto"/>
          <w:sz w:val="22"/>
          <w:szCs w:val="22"/>
        </w:rPr>
        <w:t xml:space="preserve"> Services </w:t>
      </w:r>
      <w:r>
        <w:rPr>
          <w:color w:val="auto"/>
          <w:sz w:val="22"/>
          <w:szCs w:val="22"/>
        </w:rPr>
        <w:t xml:space="preserve">provides defense and indemnification with respect to claims resulting from the acts or omissions of </w:t>
      </w:r>
      <w:proofErr w:type="gramStart"/>
      <w:r>
        <w:rPr>
          <w:color w:val="auto"/>
          <w:sz w:val="22"/>
          <w:szCs w:val="22"/>
        </w:rPr>
        <w:t>University</w:t>
      </w:r>
      <w:proofErr w:type="gramEnd"/>
      <w:r>
        <w:rPr>
          <w:color w:val="auto"/>
          <w:sz w:val="22"/>
          <w:szCs w:val="22"/>
        </w:rPr>
        <w:t xml:space="preserve"> employees or agents when acting in the course and scope of </w:t>
      </w:r>
      <w:proofErr w:type="gramStart"/>
      <w:r>
        <w:rPr>
          <w:color w:val="auto"/>
          <w:sz w:val="22"/>
          <w:szCs w:val="22"/>
        </w:rPr>
        <w:t>University</w:t>
      </w:r>
      <w:proofErr w:type="gramEnd"/>
      <w:r>
        <w:rPr>
          <w:color w:val="auto"/>
          <w:sz w:val="22"/>
          <w:szCs w:val="22"/>
        </w:rPr>
        <w:t xml:space="preserve"> employment or agency, except where the individual acted or failed to act because of fraud, corruption, or actual malice. This applies to IRB members, including unaffiliated members. </w:t>
      </w:r>
      <w:r w:rsidR="008900BE">
        <w:rPr>
          <w:color w:val="auto"/>
          <w:sz w:val="22"/>
          <w:szCs w:val="22"/>
        </w:rPr>
        <w:t xml:space="preserve">The HSD Director acts as the initial contact and communication go-between, as needed, for the IRB member(s) and UW </w:t>
      </w:r>
      <w:r w:rsidR="0088587D">
        <w:rPr>
          <w:color w:val="auto"/>
          <w:sz w:val="22"/>
          <w:szCs w:val="22"/>
        </w:rPr>
        <w:t>Compliance and Risk</w:t>
      </w:r>
      <w:r w:rsidR="008900BE">
        <w:rPr>
          <w:color w:val="auto"/>
          <w:sz w:val="22"/>
          <w:szCs w:val="22"/>
        </w:rPr>
        <w:t xml:space="preserve"> Services.</w:t>
      </w:r>
    </w:p>
    <w:p w14:paraId="325E0DFE" w14:textId="7653EBA9" w:rsidR="00BD0613" w:rsidRDefault="00592E38" w:rsidP="00530E1D">
      <w:pPr>
        <w:pStyle w:val="NoSpacing"/>
        <w:tabs>
          <w:tab w:val="left" w:pos="810"/>
          <w:tab w:val="left" w:pos="1440"/>
        </w:tabs>
        <w:ind w:left="900" w:hanging="540"/>
        <w:outlineLvl w:val="0"/>
        <w:rPr>
          <w:color w:val="auto"/>
          <w:sz w:val="22"/>
          <w:szCs w:val="22"/>
        </w:rPr>
      </w:pPr>
      <w:r>
        <w:rPr>
          <w:color w:val="auto"/>
          <w:sz w:val="22"/>
          <w:szCs w:val="22"/>
        </w:rPr>
        <w:t>3.</w:t>
      </w:r>
      <w:r w:rsidR="00530E1D">
        <w:rPr>
          <w:color w:val="auto"/>
          <w:sz w:val="22"/>
          <w:szCs w:val="22"/>
        </w:rPr>
        <w:t>9</w:t>
      </w:r>
      <w:r>
        <w:rPr>
          <w:color w:val="auto"/>
          <w:sz w:val="22"/>
          <w:szCs w:val="22"/>
        </w:rPr>
        <w:tab/>
      </w:r>
      <w:r w:rsidRPr="00636A3B">
        <w:rPr>
          <w:b/>
          <w:bCs/>
          <w:color w:val="auto"/>
          <w:sz w:val="22"/>
          <w:szCs w:val="22"/>
        </w:rPr>
        <w:t>IRB membership and Zipline role</w:t>
      </w:r>
      <w:r>
        <w:rPr>
          <w:color w:val="auto"/>
          <w:sz w:val="22"/>
          <w:szCs w:val="22"/>
        </w:rPr>
        <w:t xml:space="preserve">. </w:t>
      </w:r>
      <w:r w:rsidR="00BD0613">
        <w:rPr>
          <w:color w:val="auto"/>
          <w:sz w:val="22"/>
          <w:szCs w:val="22"/>
        </w:rPr>
        <w:t xml:space="preserve">The Zipline role of “IRB Member” (including listings on the Committee Member List and the Designated Reviewer List) is not an official record of who is on an IRB roster or who has received delegated authority from an IRB Chair to do expedited reviews. </w:t>
      </w:r>
    </w:p>
    <w:p w14:paraId="3B11514A" w14:textId="77777777" w:rsidR="00BD0613" w:rsidRDefault="00BD0613" w:rsidP="006B22FA">
      <w:pPr>
        <w:pStyle w:val="NoSpacing"/>
        <w:numPr>
          <w:ilvl w:val="0"/>
          <w:numId w:val="45"/>
        </w:numPr>
        <w:tabs>
          <w:tab w:val="left" w:pos="900"/>
          <w:tab w:val="left" w:pos="1440"/>
        </w:tabs>
        <w:ind w:left="1440" w:hanging="270"/>
        <w:outlineLvl w:val="0"/>
        <w:rPr>
          <w:color w:val="auto"/>
          <w:sz w:val="22"/>
          <w:szCs w:val="22"/>
        </w:rPr>
      </w:pPr>
      <w:r>
        <w:rPr>
          <w:color w:val="auto"/>
          <w:sz w:val="22"/>
          <w:szCs w:val="22"/>
        </w:rPr>
        <w:t xml:space="preserve">The Zipline IRB member role is assigned for training purposes to new staff in certain HSD positions, so that they can fully participate in supervised and mentored training activities. </w:t>
      </w:r>
    </w:p>
    <w:p w14:paraId="3D55C275" w14:textId="7E8DDAFE" w:rsidR="00592E38" w:rsidRDefault="008713D3" w:rsidP="006B22FA">
      <w:pPr>
        <w:pStyle w:val="NoSpacing"/>
        <w:numPr>
          <w:ilvl w:val="0"/>
          <w:numId w:val="45"/>
        </w:numPr>
        <w:tabs>
          <w:tab w:val="left" w:pos="900"/>
          <w:tab w:val="left" w:pos="1440"/>
        </w:tabs>
        <w:ind w:left="1440" w:hanging="270"/>
        <w:outlineLvl w:val="0"/>
        <w:rPr>
          <w:color w:val="auto"/>
          <w:sz w:val="22"/>
          <w:szCs w:val="22"/>
        </w:rPr>
      </w:pPr>
      <w:r>
        <w:rPr>
          <w:color w:val="auto"/>
          <w:sz w:val="22"/>
          <w:szCs w:val="22"/>
        </w:rPr>
        <w:t xml:space="preserve">Close supervision during training, combined with the process for assigning responsibility to specific applications, ensures </w:t>
      </w:r>
      <w:r w:rsidR="00BD0613">
        <w:rPr>
          <w:color w:val="auto"/>
          <w:sz w:val="22"/>
          <w:szCs w:val="22"/>
        </w:rPr>
        <w:t>that the</w:t>
      </w:r>
      <w:r>
        <w:rPr>
          <w:color w:val="auto"/>
          <w:sz w:val="22"/>
          <w:szCs w:val="22"/>
        </w:rPr>
        <w:t>se individuals do not use</w:t>
      </w:r>
      <w:r w:rsidR="00BD0613">
        <w:rPr>
          <w:color w:val="auto"/>
          <w:sz w:val="22"/>
          <w:szCs w:val="22"/>
        </w:rPr>
        <w:t xml:space="preserve"> the IRB member role inappropriately</w:t>
      </w:r>
      <w:r w:rsidR="001E271B">
        <w:rPr>
          <w:color w:val="auto"/>
          <w:sz w:val="22"/>
          <w:szCs w:val="22"/>
        </w:rPr>
        <w:t>.</w:t>
      </w:r>
      <w:r w:rsidR="00BD0613">
        <w:rPr>
          <w:color w:val="auto"/>
          <w:sz w:val="22"/>
          <w:szCs w:val="22"/>
        </w:rPr>
        <w:t xml:space="preserve"> </w:t>
      </w:r>
    </w:p>
    <w:p w14:paraId="284C84C9" w14:textId="77777777" w:rsidR="007B2230" w:rsidRPr="00B00AFA" w:rsidRDefault="007B2230" w:rsidP="00142909">
      <w:pPr>
        <w:pStyle w:val="NoSpacing"/>
        <w:outlineLvl w:val="0"/>
        <w:rPr>
          <w:color w:val="auto"/>
          <w:sz w:val="22"/>
          <w:szCs w:val="22"/>
        </w:rPr>
      </w:pPr>
    </w:p>
    <w:p w14:paraId="74C2DF5C" w14:textId="7BBD502E" w:rsidR="00F90EBF" w:rsidRDefault="003E1F8C" w:rsidP="00142909">
      <w:pPr>
        <w:pStyle w:val="NoSpacing"/>
        <w:ind w:left="360" w:hanging="360"/>
        <w:outlineLvl w:val="0"/>
        <w:rPr>
          <w:bCs/>
          <w:color w:val="auto"/>
          <w:sz w:val="22"/>
          <w:szCs w:val="22"/>
        </w:rPr>
      </w:pPr>
      <w:r>
        <w:rPr>
          <w:b/>
          <w:color w:val="auto"/>
          <w:sz w:val="22"/>
          <w:szCs w:val="22"/>
        </w:rPr>
        <w:t>4</w:t>
      </w:r>
      <w:r>
        <w:rPr>
          <w:b/>
          <w:color w:val="auto"/>
          <w:sz w:val="22"/>
          <w:szCs w:val="22"/>
        </w:rPr>
        <w:tab/>
        <w:t>DEFINITIONS</w:t>
      </w:r>
    </w:p>
    <w:p w14:paraId="28B9EF12" w14:textId="001550D9" w:rsidR="003E1F8C" w:rsidRDefault="003E1F8C" w:rsidP="00142909">
      <w:pPr>
        <w:pStyle w:val="NoSpacing"/>
        <w:ind w:left="360" w:hanging="360"/>
        <w:outlineLvl w:val="0"/>
        <w:rPr>
          <w:bCs/>
          <w:color w:val="auto"/>
          <w:sz w:val="22"/>
          <w:szCs w:val="22"/>
        </w:rPr>
      </w:pPr>
    </w:p>
    <w:p w14:paraId="6D3575A9" w14:textId="4C6E4310" w:rsidR="003E1F8C" w:rsidRDefault="003E1F8C" w:rsidP="00647DC9">
      <w:pPr>
        <w:pStyle w:val="NoSpacing"/>
        <w:spacing w:after="120"/>
        <w:ind w:left="990" w:hanging="540"/>
        <w:outlineLvl w:val="0"/>
        <w:rPr>
          <w:bCs/>
          <w:color w:val="auto"/>
          <w:sz w:val="22"/>
          <w:szCs w:val="22"/>
        </w:rPr>
      </w:pPr>
      <w:r>
        <w:rPr>
          <w:bCs/>
          <w:color w:val="auto"/>
          <w:sz w:val="22"/>
          <w:szCs w:val="22"/>
        </w:rPr>
        <w:t>4.1</w:t>
      </w:r>
      <w:r>
        <w:rPr>
          <w:bCs/>
          <w:color w:val="auto"/>
          <w:sz w:val="22"/>
          <w:szCs w:val="22"/>
        </w:rPr>
        <w:tab/>
      </w:r>
      <w:bookmarkStart w:id="0" w:name="affiliation"/>
      <w:r>
        <w:rPr>
          <w:b/>
          <w:color w:val="auto"/>
          <w:sz w:val="22"/>
          <w:szCs w:val="22"/>
        </w:rPr>
        <w:t>UW Affiliation</w:t>
      </w:r>
      <w:bookmarkEnd w:id="0"/>
      <w:r>
        <w:rPr>
          <w:b/>
          <w:color w:val="auto"/>
          <w:sz w:val="22"/>
          <w:szCs w:val="22"/>
        </w:rPr>
        <w:t xml:space="preserve">. </w:t>
      </w:r>
      <w:r>
        <w:rPr>
          <w:bCs/>
          <w:color w:val="auto"/>
          <w:sz w:val="22"/>
          <w:szCs w:val="22"/>
        </w:rPr>
        <w:t xml:space="preserve">All IRB members are categorized as “affiliated” or “unaffiliated”. An employee, student, or agent of the UW or any components of UW Medicine is considered affiliated, as are members of their immediate family. </w:t>
      </w:r>
    </w:p>
    <w:p w14:paraId="31B3B62C" w14:textId="3B34A1F1" w:rsidR="003E1F8C" w:rsidRDefault="003E1F8C" w:rsidP="00647DC9">
      <w:pPr>
        <w:pStyle w:val="NoSpacing"/>
        <w:spacing w:after="60"/>
        <w:ind w:left="990"/>
        <w:outlineLvl w:val="0"/>
        <w:rPr>
          <w:bCs/>
          <w:color w:val="auto"/>
          <w:sz w:val="22"/>
          <w:szCs w:val="22"/>
        </w:rPr>
      </w:pPr>
      <w:r>
        <w:rPr>
          <w:bCs/>
          <w:color w:val="auto"/>
          <w:sz w:val="22"/>
          <w:szCs w:val="22"/>
        </w:rPr>
        <w:t xml:space="preserve">Affiliated IRB members may include, but are not limited to: </w:t>
      </w:r>
    </w:p>
    <w:p w14:paraId="76D9CCB4" w14:textId="14AEA35E" w:rsidR="00023716" w:rsidRDefault="003E1F8C" w:rsidP="00647DC9">
      <w:pPr>
        <w:pStyle w:val="NoSpacing"/>
        <w:spacing w:after="120"/>
        <w:ind w:left="1440" w:hanging="990"/>
        <w:outlineLvl w:val="0"/>
        <w:rPr>
          <w:bCs/>
          <w:color w:val="auto"/>
          <w:sz w:val="22"/>
          <w:szCs w:val="22"/>
        </w:rPr>
      </w:pPr>
      <w:r>
        <w:rPr>
          <w:bCs/>
          <w:color w:val="auto"/>
          <w:sz w:val="22"/>
          <w:szCs w:val="22"/>
        </w:rPr>
        <w:tab/>
        <w:t>Full-time or part-time employees; current students; members of any governing panel or board of the UW; paid or unpaid consultants to the UW; health care providers holding credentials to practice at UW Medicine; volun</w:t>
      </w:r>
      <w:r w:rsidR="006651D0">
        <w:rPr>
          <w:bCs/>
          <w:color w:val="auto"/>
          <w:sz w:val="22"/>
          <w:szCs w:val="22"/>
        </w:rPr>
        <w:t>t</w:t>
      </w:r>
      <w:r>
        <w:rPr>
          <w:bCs/>
          <w:color w:val="auto"/>
          <w:sz w:val="22"/>
          <w:szCs w:val="22"/>
        </w:rPr>
        <w:t>eers working at the UW on business unrelated to the IRB.</w:t>
      </w:r>
      <w:r>
        <w:rPr>
          <w:bCs/>
          <w:color w:val="auto"/>
          <w:sz w:val="22"/>
          <w:szCs w:val="22"/>
        </w:rPr>
        <w:tab/>
      </w:r>
    </w:p>
    <w:p w14:paraId="2F44AC98" w14:textId="23172B66" w:rsidR="0042145E" w:rsidRDefault="003E1F8C" w:rsidP="00647DC9">
      <w:pPr>
        <w:pStyle w:val="NoSpacing"/>
        <w:spacing w:after="120"/>
        <w:ind w:left="990"/>
        <w:outlineLvl w:val="0"/>
        <w:rPr>
          <w:bCs/>
          <w:color w:val="auto"/>
          <w:sz w:val="22"/>
          <w:szCs w:val="22"/>
        </w:rPr>
      </w:pPr>
      <w:r>
        <w:rPr>
          <w:bCs/>
          <w:color w:val="auto"/>
          <w:sz w:val="22"/>
          <w:szCs w:val="22"/>
        </w:rPr>
        <w:t xml:space="preserve">Unaffiliated IRB members have no affiliation with the UW, other than as an IRB member. Unaffiliated members may include individuals whose only association with the UW is that of a patient, subject, or former student at the UW. Paying unaffiliated </w:t>
      </w:r>
      <w:proofErr w:type="gramStart"/>
      <w:r>
        <w:rPr>
          <w:bCs/>
          <w:color w:val="auto"/>
          <w:sz w:val="22"/>
          <w:szCs w:val="22"/>
        </w:rPr>
        <w:t>members</w:t>
      </w:r>
      <w:proofErr w:type="gramEnd"/>
      <w:r>
        <w:rPr>
          <w:bCs/>
          <w:color w:val="auto"/>
          <w:sz w:val="22"/>
          <w:szCs w:val="22"/>
        </w:rPr>
        <w:t xml:space="preserve"> a reasonable market rate for their IRB services does not make them affiliated nor does it cause them to have a conflict of interest. </w:t>
      </w:r>
    </w:p>
    <w:p w14:paraId="0BF1A29A" w14:textId="4AE8BBE6" w:rsidR="00EA1F0F" w:rsidRDefault="0042145E" w:rsidP="00647DC9">
      <w:pPr>
        <w:pStyle w:val="NoSpacing"/>
        <w:spacing w:after="120"/>
        <w:ind w:left="990" w:hanging="540"/>
        <w:outlineLvl w:val="0"/>
        <w:rPr>
          <w:bCs/>
          <w:color w:val="auto"/>
          <w:sz w:val="22"/>
          <w:szCs w:val="22"/>
        </w:rPr>
      </w:pPr>
      <w:r>
        <w:rPr>
          <w:bCs/>
          <w:color w:val="auto"/>
          <w:sz w:val="22"/>
          <w:szCs w:val="22"/>
        </w:rPr>
        <w:t>4.2</w:t>
      </w:r>
      <w:r>
        <w:rPr>
          <w:bCs/>
          <w:color w:val="auto"/>
          <w:sz w:val="22"/>
          <w:szCs w:val="22"/>
        </w:rPr>
        <w:tab/>
      </w:r>
      <w:bookmarkStart w:id="1" w:name="alternate"/>
      <w:r>
        <w:rPr>
          <w:b/>
          <w:color w:val="auto"/>
          <w:sz w:val="22"/>
          <w:szCs w:val="22"/>
        </w:rPr>
        <w:t>Alternate IRB member</w:t>
      </w:r>
      <w:bookmarkEnd w:id="1"/>
      <w:r>
        <w:rPr>
          <w:b/>
          <w:color w:val="auto"/>
          <w:sz w:val="22"/>
          <w:szCs w:val="22"/>
        </w:rPr>
        <w:t xml:space="preserve">. </w:t>
      </w:r>
      <w:r w:rsidR="004F4BC2">
        <w:rPr>
          <w:bCs/>
          <w:color w:val="auto"/>
          <w:sz w:val="22"/>
          <w:szCs w:val="22"/>
        </w:rPr>
        <w:t xml:space="preserve">Alternate IRB members may be designated for members of the IRB. Each alternate member must have experience, expertise, background, professional competence, and knowledge comparable to that of the primary IRB member whom the alternate would replace. </w:t>
      </w:r>
      <w:r w:rsidR="00E46811">
        <w:rPr>
          <w:bCs/>
          <w:color w:val="auto"/>
          <w:sz w:val="22"/>
          <w:szCs w:val="22"/>
        </w:rPr>
        <w:t xml:space="preserve">Representatives of the same department may share a membership </w:t>
      </w:r>
      <w:r w:rsidR="00C43B65">
        <w:rPr>
          <w:bCs/>
          <w:color w:val="auto"/>
          <w:sz w:val="22"/>
          <w:szCs w:val="22"/>
        </w:rPr>
        <w:t>to</w:t>
      </w:r>
      <w:r w:rsidR="00E46811">
        <w:rPr>
          <w:bCs/>
          <w:color w:val="auto"/>
          <w:sz w:val="22"/>
          <w:szCs w:val="22"/>
        </w:rPr>
        <w:t xml:space="preserve"> represent scientific expertise</w:t>
      </w:r>
      <w:r w:rsidR="003B1AB0">
        <w:rPr>
          <w:bCs/>
          <w:color w:val="auto"/>
          <w:sz w:val="22"/>
          <w:szCs w:val="22"/>
        </w:rPr>
        <w:t xml:space="preserve">. However, it is not required that the two members (primary, alternate) be in the same specific scientific discipline or healthcare specialty within the department. Scientists can be alternates for non-scientists, and vice versa, so long as they have comparable expertise and knowledge that they bring to the IRB. See </w:t>
      </w:r>
      <w:r w:rsidR="003B1AB0">
        <w:rPr>
          <w:b/>
          <w:color w:val="auto"/>
          <w:sz w:val="22"/>
          <w:szCs w:val="22"/>
        </w:rPr>
        <w:t>SOP Convened IRB Meetings</w:t>
      </w:r>
      <w:r w:rsidR="003B1AB0">
        <w:rPr>
          <w:bCs/>
          <w:color w:val="auto"/>
          <w:sz w:val="22"/>
          <w:szCs w:val="22"/>
        </w:rPr>
        <w:t xml:space="preserve"> for the procedures by which an alternate member participates in an IRB meeting. </w:t>
      </w:r>
    </w:p>
    <w:p w14:paraId="6923C779" w14:textId="2EA8F263" w:rsidR="00EA1F0F" w:rsidRDefault="00EA1F0F" w:rsidP="006651D0">
      <w:pPr>
        <w:pStyle w:val="NoSpacing"/>
        <w:spacing w:after="120"/>
        <w:ind w:left="990" w:hanging="540"/>
        <w:outlineLvl w:val="0"/>
        <w:rPr>
          <w:bCs/>
          <w:color w:val="auto"/>
          <w:sz w:val="22"/>
          <w:szCs w:val="22"/>
        </w:rPr>
      </w:pPr>
      <w:r>
        <w:rPr>
          <w:bCs/>
          <w:color w:val="auto"/>
          <w:sz w:val="22"/>
          <w:szCs w:val="22"/>
        </w:rPr>
        <w:t>4.3</w:t>
      </w:r>
      <w:r>
        <w:rPr>
          <w:bCs/>
          <w:color w:val="auto"/>
          <w:sz w:val="22"/>
          <w:szCs w:val="22"/>
        </w:rPr>
        <w:tab/>
      </w:r>
      <w:bookmarkStart w:id="2" w:name="scientist"/>
      <w:r>
        <w:rPr>
          <w:b/>
          <w:color w:val="auto"/>
          <w:sz w:val="22"/>
          <w:szCs w:val="22"/>
        </w:rPr>
        <w:t>Scientist vs. nonscientist IRB member</w:t>
      </w:r>
      <w:bookmarkEnd w:id="2"/>
      <w:r>
        <w:rPr>
          <w:b/>
          <w:color w:val="auto"/>
          <w:sz w:val="22"/>
          <w:szCs w:val="22"/>
        </w:rPr>
        <w:t xml:space="preserve">. </w:t>
      </w:r>
      <w:r>
        <w:rPr>
          <w:bCs/>
          <w:color w:val="auto"/>
          <w:sz w:val="22"/>
          <w:szCs w:val="22"/>
        </w:rPr>
        <w:t>All IRB members are categorized as “scientist” or “nonscientist”. The Food and Drug Administration (FDA) and the federal Office of Human Research Protections (OHRP) offer somewhat different guidance about defining these categories. In developing the definitions below, the UW drew up on the agencies’ stated intent of the distinction between “scientist” and “nonscientist” and upon the analysis and recommendations of a national advisory group appointed by OHRP. The definitions below are based on the following principles:</w:t>
      </w:r>
    </w:p>
    <w:p w14:paraId="3210277E" w14:textId="537CB4CB" w:rsidR="00EA1F0F" w:rsidRDefault="00EA1F0F" w:rsidP="006651D0">
      <w:pPr>
        <w:pStyle w:val="NoSpacing"/>
        <w:numPr>
          <w:ilvl w:val="0"/>
          <w:numId w:val="43"/>
        </w:numPr>
        <w:spacing w:after="60"/>
        <w:ind w:left="1440" w:hanging="270"/>
        <w:outlineLvl w:val="0"/>
        <w:rPr>
          <w:bCs/>
          <w:color w:val="auto"/>
          <w:sz w:val="22"/>
          <w:szCs w:val="22"/>
        </w:rPr>
      </w:pPr>
      <w:r>
        <w:rPr>
          <w:bCs/>
          <w:color w:val="auto"/>
          <w:sz w:val="22"/>
          <w:szCs w:val="22"/>
        </w:rPr>
        <w:t xml:space="preserve">The intent is to distinguish between IRB members who are included to view research primarily from the viewpoint of a scientist versus a non-scientist. The UW believes this approach is consistent with federal guidance about “primary concerns” but provides a more useful </w:t>
      </w:r>
      <w:r w:rsidR="008B7C29">
        <w:rPr>
          <w:bCs/>
          <w:color w:val="auto"/>
          <w:sz w:val="22"/>
          <w:szCs w:val="22"/>
        </w:rPr>
        <w:t xml:space="preserve">operational framework for classification. </w:t>
      </w:r>
    </w:p>
    <w:p w14:paraId="7230A323" w14:textId="047E4DF3" w:rsidR="008B7C29" w:rsidRDefault="008B7C29" w:rsidP="006651D0">
      <w:pPr>
        <w:pStyle w:val="NoSpacing"/>
        <w:numPr>
          <w:ilvl w:val="0"/>
          <w:numId w:val="43"/>
        </w:numPr>
        <w:spacing w:after="60"/>
        <w:ind w:left="1440" w:hanging="270"/>
        <w:outlineLvl w:val="0"/>
        <w:rPr>
          <w:bCs/>
          <w:color w:val="auto"/>
          <w:sz w:val="22"/>
          <w:szCs w:val="22"/>
        </w:rPr>
      </w:pPr>
      <w:r>
        <w:rPr>
          <w:bCs/>
          <w:color w:val="auto"/>
          <w:sz w:val="22"/>
          <w:szCs w:val="22"/>
        </w:rPr>
        <w:t>The UW allows reasonable flexibility in the interpretation of “inclined to view” or “primary concerns”.</w:t>
      </w:r>
    </w:p>
    <w:p w14:paraId="7C811015" w14:textId="25EBA113" w:rsidR="008B7C29" w:rsidRDefault="008B7C29" w:rsidP="006651D0">
      <w:pPr>
        <w:pStyle w:val="NoSpacing"/>
        <w:numPr>
          <w:ilvl w:val="0"/>
          <w:numId w:val="43"/>
        </w:numPr>
        <w:spacing w:after="60"/>
        <w:ind w:left="1440" w:hanging="270"/>
        <w:outlineLvl w:val="0"/>
        <w:rPr>
          <w:bCs/>
          <w:color w:val="auto"/>
          <w:sz w:val="22"/>
          <w:szCs w:val="22"/>
        </w:rPr>
      </w:pPr>
      <w:r>
        <w:rPr>
          <w:bCs/>
          <w:color w:val="auto"/>
          <w:sz w:val="22"/>
          <w:szCs w:val="22"/>
        </w:rPr>
        <w:t xml:space="preserve">When the rational for the categorization is not apparent based on occupation or training, or is less well-defined but justifiable, HSD maintains written documentation of the reason for the categorization. </w:t>
      </w:r>
    </w:p>
    <w:p w14:paraId="5B8F1FDB" w14:textId="22678C8B" w:rsidR="008B7C29" w:rsidRDefault="008B7C29" w:rsidP="006651D0">
      <w:pPr>
        <w:pStyle w:val="NoSpacing"/>
        <w:numPr>
          <w:ilvl w:val="0"/>
          <w:numId w:val="43"/>
        </w:numPr>
        <w:spacing w:after="60"/>
        <w:ind w:left="1440" w:hanging="270"/>
        <w:outlineLvl w:val="0"/>
        <w:rPr>
          <w:bCs/>
          <w:color w:val="auto"/>
          <w:sz w:val="22"/>
          <w:szCs w:val="22"/>
        </w:rPr>
      </w:pPr>
      <w:r>
        <w:rPr>
          <w:bCs/>
          <w:color w:val="auto"/>
          <w:sz w:val="22"/>
          <w:szCs w:val="22"/>
        </w:rPr>
        <w:t xml:space="preserve">The presence or absence of advanced professional or scientific training is not a required criterion for “scientist” or “nonscientist”. Instead, the totality of an individual’s background, professional, and personal experience is considered when categorizing them. For example, a long-time elementary school teacher may have obtained a PhD in Experimental Psychology but might be most appropriately classified as a nonscientist. In another example, an attorney specializing in biomedical regulatory affairs or intellectual property might be most appropriately classified as a scientist. </w:t>
      </w:r>
    </w:p>
    <w:p w14:paraId="79877C65" w14:textId="36FA4F93" w:rsidR="00250512" w:rsidRDefault="00250512" w:rsidP="006651D0">
      <w:pPr>
        <w:pStyle w:val="NoSpacing"/>
        <w:numPr>
          <w:ilvl w:val="0"/>
          <w:numId w:val="43"/>
        </w:numPr>
        <w:spacing w:after="60"/>
        <w:ind w:left="1440" w:hanging="270"/>
        <w:outlineLvl w:val="0"/>
        <w:rPr>
          <w:bCs/>
          <w:color w:val="auto"/>
          <w:sz w:val="22"/>
          <w:szCs w:val="22"/>
        </w:rPr>
      </w:pPr>
      <w:r>
        <w:rPr>
          <w:bCs/>
          <w:color w:val="auto"/>
          <w:sz w:val="22"/>
          <w:szCs w:val="22"/>
        </w:rPr>
        <w:t xml:space="preserve">Scientists are not limited to individuals who are behavioral and biomedical scientists. Scientists in other fields, such as geology or statistics, should be considered scientists for the </w:t>
      </w:r>
      <w:proofErr w:type="gramStart"/>
      <w:r>
        <w:rPr>
          <w:bCs/>
          <w:color w:val="auto"/>
          <w:sz w:val="22"/>
          <w:szCs w:val="22"/>
        </w:rPr>
        <w:t>purposes</w:t>
      </w:r>
      <w:proofErr w:type="gramEnd"/>
      <w:r>
        <w:rPr>
          <w:bCs/>
          <w:color w:val="auto"/>
          <w:sz w:val="22"/>
          <w:szCs w:val="22"/>
        </w:rPr>
        <w:t xml:space="preserve"> of IRB membership. </w:t>
      </w:r>
    </w:p>
    <w:p w14:paraId="3BCB9524" w14:textId="428F83F6" w:rsidR="00250512" w:rsidRDefault="00250512" w:rsidP="006651D0">
      <w:pPr>
        <w:pStyle w:val="NoSpacing"/>
        <w:numPr>
          <w:ilvl w:val="0"/>
          <w:numId w:val="43"/>
        </w:numPr>
        <w:spacing w:after="60"/>
        <w:ind w:left="1440" w:hanging="270"/>
        <w:outlineLvl w:val="0"/>
        <w:rPr>
          <w:bCs/>
          <w:color w:val="auto"/>
          <w:sz w:val="22"/>
          <w:szCs w:val="22"/>
        </w:rPr>
      </w:pPr>
      <w:r>
        <w:rPr>
          <w:bCs/>
          <w:color w:val="auto"/>
          <w:sz w:val="22"/>
          <w:szCs w:val="22"/>
        </w:rPr>
        <w:lastRenderedPageBreak/>
        <w:t>The same criteria for “scientist” and “nonscientist” are applied to all members, regardless of whether they are reviewing biomedical or socio-behavioral</w:t>
      </w:r>
      <w:r w:rsidR="00086EEA">
        <w:rPr>
          <w:bCs/>
          <w:color w:val="auto"/>
          <w:sz w:val="22"/>
          <w:szCs w:val="22"/>
        </w:rPr>
        <w:t xml:space="preserve"> research.</w:t>
      </w:r>
    </w:p>
    <w:p w14:paraId="4F2D5C43" w14:textId="359CB135" w:rsidR="00747636" w:rsidRPr="00647DC9" w:rsidRDefault="00086EEA" w:rsidP="00647DC9">
      <w:pPr>
        <w:pStyle w:val="NoSpacing"/>
        <w:numPr>
          <w:ilvl w:val="0"/>
          <w:numId w:val="43"/>
        </w:numPr>
        <w:spacing w:after="120"/>
        <w:ind w:left="1440" w:hanging="270"/>
        <w:outlineLvl w:val="0"/>
        <w:rPr>
          <w:bCs/>
          <w:color w:val="auto"/>
          <w:sz w:val="22"/>
          <w:szCs w:val="22"/>
        </w:rPr>
      </w:pPr>
      <w:r>
        <w:rPr>
          <w:bCs/>
          <w:color w:val="auto"/>
          <w:sz w:val="22"/>
          <w:szCs w:val="22"/>
        </w:rPr>
        <w:t xml:space="preserve">Although biomedical health professionals are most likely to be appropriately classified as scientists, there may be extenuating circumstances that would make them more appropriately classified as nonscientists. </w:t>
      </w:r>
    </w:p>
    <w:p w14:paraId="686E7204" w14:textId="4009B339" w:rsidR="00EA1F0F" w:rsidRDefault="00EA1F0F" w:rsidP="00747636">
      <w:pPr>
        <w:pStyle w:val="NoSpacing"/>
        <w:ind w:left="990"/>
        <w:outlineLvl w:val="0"/>
        <w:rPr>
          <w:bCs/>
          <w:color w:val="auto"/>
          <w:sz w:val="22"/>
          <w:szCs w:val="22"/>
        </w:rPr>
      </w:pPr>
      <w:r>
        <w:rPr>
          <w:b/>
          <w:color w:val="auto"/>
          <w:sz w:val="22"/>
          <w:szCs w:val="22"/>
        </w:rPr>
        <w:t xml:space="preserve">Scientist. </w:t>
      </w:r>
      <w:r>
        <w:rPr>
          <w:bCs/>
          <w:color w:val="auto"/>
          <w:sz w:val="22"/>
          <w:szCs w:val="22"/>
        </w:rPr>
        <w:t>Members will be considered “scientists” when the totality of their training, professional experience (type, duration) and personal experience would incline them to view scientific activities from the viewpoint of a scientist.</w:t>
      </w:r>
    </w:p>
    <w:p w14:paraId="55B896C1" w14:textId="223BF81A" w:rsidR="00250512" w:rsidRDefault="00250512" w:rsidP="00EA1F0F">
      <w:pPr>
        <w:pStyle w:val="NoSpacing"/>
        <w:ind w:left="990"/>
        <w:outlineLvl w:val="0"/>
        <w:rPr>
          <w:b/>
          <w:color w:val="auto"/>
          <w:sz w:val="22"/>
          <w:szCs w:val="22"/>
        </w:rPr>
      </w:pPr>
    </w:p>
    <w:p w14:paraId="25B08F8A" w14:textId="57470150" w:rsidR="00B32313" w:rsidRDefault="00EA1F0F" w:rsidP="00647DC9">
      <w:pPr>
        <w:pStyle w:val="NoSpacing"/>
        <w:spacing w:after="120"/>
        <w:ind w:left="990"/>
        <w:outlineLvl w:val="0"/>
        <w:rPr>
          <w:bCs/>
          <w:color w:val="auto"/>
          <w:sz w:val="22"/>
          <w:szCs w:val="22"/>
        </w:rPr>
      </w:pPr>
      <w:r>
        <w:rPr>
          <w:b/>
          <w:color w:val="auto"/>
          <w:sz w:val="22"/>
          <w:szCs w:val="22"/>
        </w:rPr>
        <w:t xml:space="preserve">Nonscientist. </w:t>
      </w:r>
      <w:r>
        <w:rPr>
          <w:bCs/>
          <w:color w:val="auto"/>
          <w:sz w:val="22"/>
          <w:szCs w:val="22"/>
        </w:rPr>
        <w:t>Members will be considered “nonscientists” when the totality of their training, professional experience (type, duration) and personal experience would incline them to view scientific activities from the viewpoint of a nonscientist.</w:t>
      </w:r>
    </w:p>
    <w:p w14:paraId="2B19294A" w14:textId="17CEB53E" w:rsidR="00A91A8B" w:rsidRDefault="00B32313" w:rsidP="00EA2439">
      <w:pPr>
        <w:pStyle w:val="NoSpacing"/>
        <w:ind w:left="990" w:hanging="720"/>
        <w:outlineLvl w:val="0"/>
        <w:rPr>
          <w:color w:val="auto"/>
          <w:sz w:val="22"/>
          <w:szCs w:val="22"/>
        </w:rPr>
      </w:pPr>
      <w:r>
        <w:rPr>
          <w:bCs/>
          <w:color w:val="auto"/>
          <w:sz w:val="22"/>
          <w:szCs w:val="22"/>
        </w:rPr>
        <w:t xml:space="preserve">     4.4 </w:t>
      </w:r>
      <w:r w:rsidR="00EA2439">
        <w:rPr>
          <w:bCs/>
          <w:color w:val="auto"/>
          <w:sz w:val="22"/>
          <w:szCs w:val="22"/>
        </w:rPr>
        <w:tab/>
      </w:r>
      <w:r w:rsidR="00EA2439" w:rsidRPr="00B47F7C">
        <w:rPr>
          <w:b/>
          <w:color w:val="auto"/>
          <w:sz w:val="22"/>
          <w:szCs w:val="22"/>
        </w:rPr>
        <w:t xml:space="preserve">IRB </w:t>
      </w:r>
      <w:r w:rsidRPr="00B47F7C">
        <w:rPr>
          <w:b/>
          <w:color w:val="auto"/>
          <w:sz w:val="22"/>
          <w:szCs w:val="22"/>
        </w:rPr>
        <w:t>Chair and Vice Chair</w:t>
      </w:r>
      <w:r w:rsidR="00EA2439">
        <w:rPr>
          <w:bCs/>
          <w:color w:val="auto"/>
          <w:sz w:val="22"/>
          <w:szCs w:val="22"/>
        </w:rPr>
        <w:t xml:space="preserve">. </w:t>
      </w:r>
      <w:r w:rsidR="00E64E05">
        <w:rPr>
          <w:bCs/>
          <w:color w:val="auto"/>
          <w:sz w:val="22"/>
          <w:szCs w:val="22"/>
        </w:rPr>
        <w:t xml:space="preserve">The Chair </w:t>
      </w:r>
      <w:r w:rsidR="00CB2ACC">
        <w:rPr>
          <w:bCs/>
          <w:color w:val="auto"/>
          <w:sz w:val="22"/>
          <w:szCs w:val="22"/>
        </w:rPr>
        <w:t xml:space="preserve">is a </w:t>
      </w:r>
      <w:r w:rsidR="00E64E05">
        <w:rPr>
          <w:bCs/>
          <w:color w:val="auto"/>
          <w:sz w:val="22"/>
          <w:szCs w:val="22"/>
        </w:rPr>
        <w:t>voting member</w:t>
      </w:r>
      <w:r w:rsidR="00CB2ACC">
        <w:rPr>
          <w:bCs/>
          <w:color w:val="auto"/>
          <w:sz w:val="22"/>
          <w:szCs w:val="22"/>
        </w:rPr>
        <w:t xml:space="preserve"> </w:t>
      </w:r>
      <w:r w:rsidR="00E64E05">
        <w:rPr>
          <w:bCs/>
          <w:color w:val="auto"/>
          <w:sz w:val="22"/>
          <w:szCs w:val="22"/>
        </w:rPr>
        <w:t xml:space="preserve">of the IRB and </w:t>
      </w:r>
      <w:r w:rsidR="003A0D61">
        <w:rPr>
          <w:bCs/>
          <w:color w:val="auto"/>
          <w:sz w:val="22"/>
          <w:szCs w:val="22"/>
        </w:rPr>
        <w:t>assumes</w:t>
      </w:r>
      <w:r w:rsidR="00E64E05">
        <w:rPr>
          <w:bCs/>
          <w:color w:val="auto"/>
          <w:sz w:val="22"/>
          <w:szCs w:val="22"/>
        </w:rPr>
        <w:t xml:space="preserve"> all the responsibilities of an IRB member as well as over</w:t>
      </w:r>
      <w:r w:rsidR="003A0D61">
        <w:rPr>
          <w:bCs/>
          <w:color w:val="auto"/>
          <w:sz w:val="22"/>
          <w:szCs w:val="22"/>
        </w:rPr>
        <w:t>sight</w:t>
      </w:r>
      <w:r w:rsidR="00E64E05">
        <w:rPr>
          <w:bCs/>
          <w:color w:val="auto"/>
          <w:sz w:val="22"/>
          <w:szCs w:val="22"/>
        </w:rPr>
        <w:t xml:space="preserve"> the IRB meetings </w:t>
      </w:r>
      <w:r w:rsidR="00CB2ACC">
        <w:rPr>
          <w:bCs/>
          <w:color w:val="auto"/>
          <w:sz w:val="22"/>
          <w:szCs w:val="22"/>
        </w:rPr>
        <w:t xml:space="preserve">to ensure reviews and approvals </w:t>
      </w:r>
      <w:proofErr w:type="gramStart"/>
      <w:r w:rsidR="00CB2ACC">
        <w:rPr>
          <w:bCs/>
          <w:color w:val="auto"/>
          <w:sz w:val="22"/>
          <w:szCs w:val="22"/>
        </w:rPr>
        <w:t>consider</w:t>
      </w:r>
      <w:proofErr w:type="gramEnd"/>
      <w:r w:rsidR="00CB2ACC">
        <w:rPr>
          <w:bCs/>
          <w:color w:val="auto"/>
          <w:sz w:val="22"/>
          <w:szCs w:val="22"/>
        </w:rPr>
        <w:t xml:space="preserve"> the relevant regulatory requirements, state laws and university and HSD policies.</w:t>
      </w:r>
      <w:r w:rsidR="00EA2439">
        <w:rPr>
          <w:bCs/>
          <w:color w:val="auto"/>
          <w:sz w:val="22"/>
          <w:szCs w:val="22"/>
        </w:rPr>
        <w:t xml:space="preserve"> </w:t>
      </w:r>
      <w:r w:rsidR="00CB2ACC">
        <w:rPr>
          <w:bCs/>
          <w:color w:val="auto"/>
          <w:sz w:val="22"/>
          <w:szCs w:val="22"/>
        </w:rPr>
        <w:t>When the Chair is unable to attend or fully chair the IRB meeting</w:t>
      </w:r>
      <w:r w:rsidR="00EA2439">
        <w:rPr>
          <w:bCs/>
          <w:color w:val="auto"/>
          <w:sz w:val="22"/>
          <w:szCs w:val="22"/>
        </w:rPr>
        <w:t>,</w:t>
      </w:r>
      <w:r w:rsidR="00CB2ACC">
        <w:rPr>
          <w:bCs/>
          <w:color w:val="auto"/>
          <w:sz w:val="22"/>
          <w:szCs w:val="22"/>
        </w:rPr>
        <w:t xml:space="preserve"> the Vice Chair </w:t>
      </w:r>
      <w:r w:rsidR="00EA2439">
        <w:rPr>
          <w:bCs/>
          <w:color w:val="auto"/>
          <w:sz w:val="22"/>
          <w:szCs w:val="22"/>
        </w:rPr>
        <w:t xml:space="preserve">(or another member acting as Chair Pro Tempore) </w:t>
      </w:r>
      <w:r w:rsidR="00CB2ACC">
        <w:rPr>
          <w:bCs/>
          <w:color w:val="auto"/>
          <w:sz w:val="22"/>
          <w:szCs w:val="22"/>
        </w:rPr>
        <w:t xml:space="preserve">may </w:t>
      </w:r>
      <w:r w:rsidR="00A91A8B">
        <w:rPr>
          <w:bCs/>
          <w:color w:val="auto"/>
          <w:sz w:val="22"/>
          <w:szCs w:val="22"/>
        </w:rPr>
        <w:t>take over the</w:t>
      </w:r>
      <w:r w:rsidR="003A0D61">
        <w:rPr>
          <w:bCs/>
          <w:color w:val="auto"/>
          <w:sz w:val="22"/>
          <w:szCs w:val="22"/>
        </w:rPr>
        <w:t xml:space="preserve"> </w:t>
      </w:r>
      <w:r w:rsidR="00A91A8B">
        <w:rPr>
          <w:bCs/>
          <w:color w:val="auto"/>
          <w:sz w:val="22"/>
          <w:szCs w:val="22"/>
        </w:rPr>
        <w:t xml:space="preserve">chair responsibilities </w:t>
      </w:r>
      <w:r w:rsidR="00EA2439">
        <w:rPr>
          <w:bCs/>
          <w:color w:val="auto"/>
          <w:sz w:val="22"/>
          <w:szCs w:val="22"/>
        </w:rPr>
        <w:t xml:space="preserve">for conducting the meeting </w:t>
      </w:r>
      <w:r w:rsidR="00A91A8B">
        <w:rPr>
          <w:bCs/>
          <w:color w:val="auto"/>
          <w:sz w:val="22"/>
          <w:szCs w:val="22"/>
        </w:rPr>
        <w:t>as outlined in</w:t>
      </w:r>
      <w:r w:rsidR="00EA2439">
        <w:rPr>
          <w:bCs/>
          <w:color w:val="auto"/>
          <w:sz w:val="22"/>
          <w:szCs w:val="22"/>
        </w:rPr>
        <w:t xml:space="preserve"> the</w:t>
      </w:r>
      <w:r w:rsidR="00A91A8B">
        <w:rPr>
          <w:bCs/>
          <w:color w:val="auto"/>
          <w:sz w:val="22"/>
          <w:szCs w:val="22"/>
        </w:rPr>
        <w:t xml:space="preserve"> </w:t>
      </w:r>
      <w:hyperlink r:id="rId12" w:history="1">
        <w:r w:rsidR="00EA2439" w:rsidRPr="00B47F7C">
          <w:rPr>
            <w:rStyle w:val="Hyperlink"/>
            <w:b/>
            <w:bCs/>
            <w:sz w:val="22"/>
            <w:szCs w:val="22"/>
          </w:rPr>
          <w:t>SOP</w:t>
        </w:r>
      </w:hyperlink>
      <w:r w:rsidR="00EA2439" w:rsidRPr="00EA2439">
        <w:rPr>
          <w:rStyle w:val="Hyperlink"/>
          <w:b/>
          <w:bCs/>
          <w:sz w:val="22"/>
          <w:szCs w:val="22"/>
        </w:rPr>
        <w:t xml:space="preserve"> Convened IRB Meeting</w:t>
      </w:r>
      <w:r w:rsidR="00F53E8B">
        <w:rPr>
          <w:rStyle w:val="Hyperlink"/>
          <w:b/>
          <w:bCs/>
          <w:sz w:val="22"/>
          <w:szCs w:val="22"/>
        </w:rPr>
        <w:t>s</w:t>
      </w:r>
      <w:r w:rsidR="00A91A8B">
        <w:rPr>
          <w:color w:val="auto"/>
          <w:sz w:val="22"/>
          <w:szCs w:val="22"/>
        </w:rPr>
        <w:t>.</w:t>
      </w:r>
      <w:r w:rsidR="00EA2439">
        <w:rPr>
          <w:color w:val="auto"/>
          <w:sz w:val="22"/>
          <w:szCs w:val="22"/>
        </w:rPr>
        <w:t xml:space="preserve"> </w:t>
      </w:r>
    </w:p>
    <w:p w14:paraId="133678CA" w14:textId="42DFFB79" w:rsidR="003E1F8C" w:rsidRDefault="003E1F8C" w:rsidP="00142909">
      <w:pPr>
        <w:pStyle w:val="NoSpacing"/>
        <w:ind w:left="360" w:hanging="360"/>
        <w:outlineLvl w:val="0"/>
        <w:rPr>
          <w:b/>
          <w:color w:val="auto"/>
          <w:sz w:val="22"/>
          <w:szCs w:val="22"/>
        </w:rPr>
      </w:pPr>
    </w:p>
    <w:p w14:paraId="0CCEF76E" w14:textId="4E2002C3" w:rsidR="00142909" w:rsidRDefault="003E1F8C" w:rsidP="00142909">
      <w:pPr>
        <w:pStyle w:val="NoSpacing"/>
        <w:ind w:left="360" w:hanging="360"/>
        <w:outlineLvl w:val="0"/>
        <w:rPr>
          <w:b/>
          <w:color w:val="auto"/>
          <w:sz w:val="22"/>
          <w:szCs w:val="22"/>
        </w:rPr>
      </w:pPr>
      <w:r>
        <w:rPr>
          <w:b/>
          <w:color w:val="auto"/>
          <w:sz w:val="22"/>
          <w:szCs w:val="22"/>
        </w:rPr>
        <w:t>5</w:t>
      </w:r>
      <w:r w:rsidR="00142909" w:rsidRPr="00CD274A">
        <w:rPr>
          <w:b/>
          <w:color w:val="auto"/>
          <w:sz w:val="22"/>
          <w:szCs w:val="22"/>
        </w:rPr>
        <w:t xml:space="preserve"> </w:t>
      </w:r>
      <w:r w:rsidR="00142909" w:rsidRPr="00CD274A">
        <w:rPr>
          <w:b/>
          <w:color w:val="auto"/>
          <w:sz w:val="22"/>
          <w:szCs w:val="22"/>
        </w:rPr>
        <w:tab/>
        <w:t>RELATED MATERIALS</w:t>
      </w:r>
    </w:p>
    <w:p w14:paraId="7AF700B0" w14:textId="77777777" w:rsidR="00142909" w:rsidRDefault="00142909" w:rsidP="00142909">
      <w:pPr>
        <w:pStyle w:val="NoSpacing"/>
        <w:ind w:left="360" w:hanging="360"/>
        <w:outlineLvl w:val="0"/>
        <w:rPr>
          <w:color w:val="auto"/>
          <w:sz w:val="22"/>
          <w:szCs w:val="22"/>
        </w:rPr>
      </w:pPr>
    </w:p>
    <w:p w14:paraId="27DA5B9A" w14:textId="7211E414" w:rsidR="00F8076F" w:rsidRDefault="00F8076F" w:rsidP="00722BFD">
      <w:pPr>
        <w:pStyle w:val="NoSpacing"/>
        <w:ind w:left="450"/>
        <w:rPr>
          <w:color w:val="auto"/>
          <w:sz w:val="22"/>
          <w:szCs w:val="22"/>
        </w:rPr>
      </w:pPr>
      <w:r>
        <w:rPr>
          <w:color w:val="auto"/>
          <w:sz w:val="22"/>
          <w:szCs w:val="22"/>
        </w:rPr>
        <w:t>POLICY Signatures and Attestations</w:t>
      </w:r>
    </w:p>
    <w:p w14:paraId="7A2228E6" w14:textId="61F85BEC" w:rsidR="00F53E8B" w:rsidRDefault="00F53E8B" w:rsidP="00722BFD">
      <w:pPr>
        <w:pStyle w:val="NoSpacing"/>
        <w:ind w:left="450"/>
        <w:rPr>
          <w:color w:val="auto"/>
          <w:sz w:val="22"/>
          <w:szCs w:val="22"/>
        </w:rPr>
      </w:pPr>
      <w:hyperlink r:id="rId13" w:history="1">
        <w:r w:rsidRPr="00F53E8B">
          <w:rPr>
            <w:rStyle w:val="Hyperlink"/>
            <w:sz w:val="22"/>
            <w:szCs w:val="22"/>
          </w:rPr>
          <w:t>SOP Convened IRB Meetings</w:t>
        </w:r>
      </w:hyperlink>
    </w:p>
    <w:p w14:paraId="03875D36" w14:textId="6DE0C42B" w:rsidR="00ED134C" w:rsidRDefault="00722BFD" w:rsidP="00722BFD">
      <w:pPr>
        <w:pStyle w:val="NoSpacing"/>
        <w:ind w:left="450"/>
        <w:rPr>
          <w:color w:val="auto"/>
          <w:sz w:val="22"/>
          <w:szCs w:val="22"/>
        </w:rPr>
      </w:pPr>
      <w:hyperlink r:id="rId14" w:history="1">
        <w:r w:rsidRPr="00747636">
          <w:rPr>
            <w:rStyle w:val="Hyperlink"/>
            <w:sz w:val="22"/>
            <w:szCs w:val="22"/>
          </w:rPr>
          <w:t>SOP IRB Consultants</w:t>
        </w:r>
      </w:hyperlink>
    </w:p>
    <w:p w14:paraId="563DD1F0" w14:textId="6B773AC0" w:rsidR="00530E1D" w:rsidRPr="00530E1D" w:rsidRDefault="00530E1D" w:rsidP="00722BFD">
      <w:pPr>
        <w:pStyle w:val="NoSpacing"/>
        <w:ind w:left="450"/>
        <w:rPr>
          <w:color w:val="auto"/>
          <w:sz w:val="22"/>
          <w:szCs w:val="22"/>
        </w:rPr>
      </w:pPr>
      <w:r w:rsidRPr="00530E1D">
        <w:rPr>
          <w:color w:val="auto"/>
          <w:sz w:val="22"/>
          <w:szCs w:val="22"/>
        </w:rPr>
        <w:t>SOP IRB Membership Compensation</w:t>
      </w:r>
    </w:p>
    <w:p w14:paraId="10B2BFBB" w14:textId="0C849B13" w:rsidR="00722BFD" w:rsidRDefault="00722BFD" w:rsidP="00722BFD">
      <w:pPr>
        <w:pStyle w:val="NoSpacing"/>
        <w:ind w:left="450"/>
        <w:rPr>
          <w:color w:val="auto"/>
          <w:sz w:val="22"/>
          <w:szCs w:val="22"/>
        </w:rPr>
      </w:pPr>
      <w:hyperlink r:id="rId15" w:history="1">
        <w:r w:rsidRPr="00747636">
          <w:rPr>
            <w:rStyle w:val="Hyperlink"/>
            <w:sz w:val="22"/>
            <w:szCs w:val="22"/>
          </w:rPr>
          <w:t xml:space="preserve">SOP </w:t>
        </w:r>
        <w:r w:rsidR="004337A5" w:rsidRPr="00747636">
          <w:rPr>
            <w:rStyle w:val="Hyperlink"/>
            <w:sz w:val="22"/>
            <w:szCs w:val="22"/>
          </w:rPr>
          <w:t>Reviewer Conflict</w:t>
        </w:r>
        <w:r w:rsidRPr="00747636">
          <w:rPr>
            <w:rStyle w:val="Hyperlink"/>
            <w:sz w:val="22"/>
            <w:szCs w:val="22"/>
          </w:rPr>
          <w:t xml:space="preserve"> of Interest</w:t>
        </w:r>
      </w:hyperlink>
    </w:p>
    <w:p w14:paraId="788B055D" w14:textId="1DC16137" w:rsidR="00F86229" w:rsidRDefault="00F86229" w:rsidP="00F86229">
      <w:pPr>
        <w:pStyle w:val="NoSpacing"/>
        <w:ind w:left="450"/>
        <w:rPr>
          <w:color w:val="auto"/>
          <w:sz w:val="22"/>
          <w:szCs w:val="22"/>
        </w:rPr>
      </w:pPr>
      <w:hyperlink r:id="rId16" w:history="1">
        <w:r w:rsidRPr="00747636">
          <w:rPr>
            <w:rStyle w:val="Hyperlink"/>
            <w:sz w:val="22"/>
            <w:szCs w:val="22"/>
          </w:rPr>
          <w:t>SOP IRB Member Standards and Responsibilities</w:t>
        </w:r>
      </w:hyperlink>
      <w:r>
        <w:rPr>
          <w:color w:val="auto"/>
          <w:sz w:val="22"/>
          <w:szCs w:val="22"/>
        </w:rPr>
        <w:t xml:space="preserve"> </w:t>
      </w:r>
    </w:p>
    <w:p w14:paraId="1EB99C4B" w14:textId="51ADA629" w:rsidR="0044048D" w:rsidRDefault="0044048D" w:rsidP="0044048D">
      <w:pPr>
        <w:pStyle w:val="NoSpacing"/>
        <w:ind w:left="450"/>
        <w:rPr>
          <w:color w:val="auto"/>
          <w:sz w:val="22"/>
          <w:szCs w:val="22"/>
        </w:rPr>
      </w:pPr>
      <w:r>
        <w:rPr>
          <w:color w:val="auto"/>
          <w:sz w:val="22"/>
          <w:szCs w:val="22"/>
        </w:rPr>
        <w:t>TEMPLATE IRB Roster</w:t>
      </w:r>
    </w:p>
    <w:p w14:paraId="6BD93574" w14:textId="021569E8" w:rsidR="00722BFD" w:rsidRDefault="000C37E9" w:rsidP="00722BFD">
      <w:pPr>
        <w:pStyle w:val="NoSpacing"/>
        <w:ind w:left="450"/>
        <w:rPr>
          <w:color w:val="auto"/>
          <w:sz w:val="22"/>
          <w:szCs w:val="22"/>
        </w:rPr>
      </w:pPr>
      <w:r>
        <w:rPr>
          <w:color w:val="auto"/>
          <w:sz w:val="22"/>
          <w:szCs w:val="22"/>
        </w:rPr>
        <w:t>TEMPLATE Appointment Letter, Chair New</w:t>
      </w:r>
    </w:p>
    <w:p w14:paraId="4DE3E305" w14:textId="28DDCD44" w:rsidR="000C37E9" w:rsidRDefault="000C37E9" w:rsidP="000C37E9">
      <w:pPr>
        <w:pStyle w:val="NoSpacing"/>
        <w:ind w:left="450"/>
        <w:rPr>
          <w:color w:val="auto"/>
          <w:sz w:val="22"/>
          <w:szCs w:val="22"/>
        </w:rPr>
      </w:pPr>
      <w:r>
        <w:rPr>
          <w:color w:val="auto"/>
          <w:sz w:val="22"/>
          <w:szCs w:val="22"/>
        </w:rPr>
        <w:t xml:space="preserve">TEMPLATE Appointment Letter, Chair </w:t>
      </w:r>
      <w:r w:rsidR="0048319A">
        <w:rPr>
          <w:color w:val="auto"/>
          <w:sz w:val="22"/>
          <w:szCs w:val="22"/>
        </w:rPr>
        <w:t>Renewal</w:t>
      </w:r>
    </w:p>
    <w:p w14:paraId="21514A41" w14:textId="7A6E0430" w:rsidR="0048319A" w:rsidRDefault="0048319A" w:rsidP="0048319A">
      <w:pPr>
        <w:pStyle w:val="NoSpacing"/>
        <w:ind w:left="450"/>
        <w:rPr>
          <w:color w:val="auto"/>
          <w:sz w:val="22"/>
          <w:szCs w:val="22"/>
        </w:rPr>
      </w:pPr>
      <w:r>
        <w:rPr>
          <w:color w:val="auto"/>
          <w:sz w:val="22"/>
          <w:szCs w:val="22"/>
        </w:rPr>
        <w:t>TEMPLATE Appointment Letter, Member New</w:t>
      </w:r>
    </w:p>
    <w:p w14:paraId="469A73FC" w14:textId="69EF29AA" w:rsidR="0048319A" w:rsidRDefault="0048319A" w:rsidP="0048319A">
      <w:pPr>
        <w:pStyle w:val="NoSpacing"/>
        <w:ind w:left="450"/>
        <w:rPr>
          <w:color w:val="auto"/>
          <w:sz w:val="22"/>
          <w:szCs w:val="22"/>
        </w:rPr>
      </w:pPr>
      <w:r>
        <w:rPr>
          <w:color w:val="auto"/>
          <w:sz w:val="22"/>
          <w:szCs w:val="22"/>
        </w:rPr>
        <w:t>TEMPLATE Appointment Letter, Member Renewal</w:t>
      </w:r>
    </w:p>
    <w:p w14:paraId="2E605241" w14:textId="1B5305A7" w:rsidR="0048319A" w:rsidRDefault="0048319A" w:rsidP="0048319A">
      <w:pPr>
        <w:pStyle w:val="NoSpacing"/>
        <w:ind w:left="450"/>
        <w:rPr>
          <w:color w:val="auto"/>
          <w:sz w:val="22"/>
          <w:szCs w:val="22"/>
        </w:rPr>
      </w:pPr>
      <w:r>
        <w:rPr>
          <w:color w:val="auto"/>
          <w:sz w:val="22"/>
          <w:szCs w:val="22"/>
        </w:rPr>
        <w:t>TEMPLATE Appointment Letter, PA [prisoner advocate]</w:t>
      </w:r>
    </w:p>
    <w:p w14:paraId="5B0C99FA" w14:textId="0B722C70" w:rsidR="001E271B" w:rsidRDefault="001E271B" w:rsidP="0048319A">
      <w:pPr>
        <w:pStyle w:val="NoSpacing"/>
        <w:ind w:left="450"/>
        <w:rPr>
          <w:color w:val="auto"/>
          <w:sz w:val="22"/>
          <w:szCs w:val="22"/>
        </w:rPr>
      </w:pPr>
      <w:r>
        <w:rPr>
          <w:color w:val="auto"/>
          <w:sz w:val="22"/>
          <w:szCs w:val="22"/>
        </w:rPr>
        <w:t>TEMPLATE Delegated Authority IRB Memorandum</w:t>
      </w:r>
    </w:p>
    <w:p w14:paraId="4D25D87B" w14:textId="57B4AC58" w:rsidR="00590C15" w:rsidRDefault="00590C15" w:rsidP="0048319A">
      <w:pPr>
        <w:pStyle w:val="NoSpacing"/>
        <w:ind w:left="450"/>
        <w:rPr>
          <w:color w:val="auto"/>
          <w:sz w:val="22"/>
          <w:szCs w:val="22"/>
        </w:rPr>
      </w:pPr>
      <w:r>
        <w:rPr>
          <w:color w:val="auto"/>
          <w:sz w:val="22"/>
          <w:szCs w:val="22"/>
        </w:rPr>
        <w:t>TEMPLATE IRB Member Evaluation</w:t>
      </w:r>
    </w:p>
    <w:p w14:paraId="3181A5A4" w14:textId="2154CC14" w:rsidR="00DF3C04" w:rsidRDefault="00DF3C04" w:rsidP="0048319A">
      <w:pPr>
        <w:pStyle w:val="NoSpacing"/>
        <w:ind w:left="450"/>
        <w:rPr>
          <w:color w:val="auto"/>
          <w:sz w:val="22"/>
          <w:szCs w:val="22"/>
        </w:rPr>
      </w:pPr>
      <w:r>
        <w:rPr>
          <w:color w:val="auto"/>
          <w:sz w:val="22"/>
          <w:szCs w:val="22"/>
        </w:rPr>
        <w:t>TUTORIAL Risk Assessment</w:t>
      </w:r>
    </w:p>
    <w:p w14:paraId="140BD410" w14:textId="35E129C8" w:rsidR="00DF3C04" w:rsidRDefault="00DF3C04" w:rsidP="0048319A">
      <w:pPr>
        <w:pStyle w:val="NoSpacing"/>
        <w:ind w:left="450"/>
        <w:rPr>
          <w:color w:val="auto"/>
          <w:sz w:val="22"/>
          <w:szCs w:val="22"/>
        </w:rPr>
      </w:pPr>
      <w:r>
        <w:rPr>
          <w:color w:val="auto"/>
          <w:sz w:val="22"/>
          <w:szCs w:val="22"/>
        </w:rPr>
        <w:t>TUTORIAL Criteria for Approval</w:t>
      </w:r>
    </w:p>
    <w:p w14:paraId="0819C51B" w14:textId="25A92D56" w:rsidR="00C23EBD" w:rsidRDefault="00C23EBD" w:rsidP="0048319A">
      <w:pPr>
        <w:pStyle w:val="NoSpacing"/>
        <w:ind w:left="450"/>
        <w:rPr>
          <w:color w:val="auto"/>
          <w:sz w:val="22"/>
          <w:szCs w:val="22"/>
        </w:rPr>
      </w:pPr>
      <w:hyperlink r:id="rId17" w:history="1">
        <w:r w:rsidRPr="00C23EBD">
          <w:rPr>
            <w:rStyle w:val="Hyperlink"/>
            <w:sz w:val="22"/>
            <w:szCs w:val="22"/>
          </w:rPr>
          <w:t>WEBPAGE Exempt Research Guidance – Limited IRB Review</w:t>
        </w:r>
      </w:hyperlink>
    </w:p>
    <w:p w14:paraId="2ADF0298" w14:textId="01B1F663" w:rsidR="00142909" w:rsidRDefault="00142909" w:rsidP="00142909">
      <w:pPr>
        <w:pStyle w:val="NoSpacing"/>
        <w:outlineLvl w:val="0"/>
        <w:rPr>
          <w:color w:val="auto"/>
          <w:sz w:val="22"/>
          <w:szCs w:val="22"/>
        </w:rPr>
      </w:pPr>
    </w:p>
    <w:p w14:paraId="4873579C" w14:textId="2F7A7817" w:rsidR="00142909" w:rsidRDefault="003E1F8C" w:rsidP="1301FCCD">
      <w:pPr>
        <w:pStyle w:val="NoSpacing"/>
        <w:ind w:left="360" w:hanging="360"/>
        <w:outlineLvl w:val="0"/>
        <w:rPr>
          <w:b/>
          <w:bCs/>
          <w:color w:val="auto"/>
          <w:sz w:val="22"/>
          <w:szCs w:val="22"/>
        </w:rPr>
      </w:pPr>
      <w:r>
        <w:rPr>
          <w:b/>
          <w:bCs/>
          <w:color w:val="auto"/>
          <w:sz w:val="22"/>
          <w:szCs w:val="22"/>
        </w:rPr>
        <w:t>6</w:t>
      </w:r>
      <w:r w:rsidR="00142909" w:rsidRPr="1301FCCD">
        <w:rPr>
          <w:b/>
          <w:bCs/>
          <w:color w:val="auto"/>
          <w:sz w:val="22"/>
          <w:szCs w:val="22"/>
        </w:rPr>
        <w:t xml:space="preserve"> </w:t>
      </w:r>
      <w:r w:rsidR="00142909" w:rsidRPr="00CD274A">
        <w:rPr>
          <w:b/>
          <w:color w:val="auto"/>
          <w:sz w:val="22"/>
          <w:szCs w:val="22"/>
        </w:rPr>
        <w:tab/>
      </w:r>
      <w:r w:rsidR="00142909" w:rsidRPr="1301FCCD">
        <w:rPr>
          <w:b/>
          <w:bCs/>
          <w:color w:val="auto"/>
          <w:sz w:val="22"/>
          <w:szCs w:val="22"/>
        </w:rPr>
        <w:t>REGULATORY REFERENCES</w:t>
      </w:r>
      <w:r w:rsidR="000406B3" w:rsidRPr="1301FCCD">
        <w:rPr>
          <w:b/>
          <w:bCs/>
          <w:color w:val="auto"/>
          <w:sz w:val="22"/>
          <w:szCs w:val="22"/>
        </w:rPr>
        <w:t xml:space="preserve"> </w:t>
      </w:r>
    </w:p>
    <w:p w14:paraId="0BF4E613" w14:textId="77777777" w:rsidR="00142909" w:rsidRDefault="00142909" w:rsidP="00142909">
      <w:pPr>
        <w:pStyle w:val="NoSpacing"/>
        <w:ind w:left="360" w:hanging="360"/>
        <w:outlineLvl w:val="0"/>
        <w:rPr>
          <w:color w:val="auto"/>
          <w:sz w:val="22"/>
          <w:szCs w:val="22"/>
        </w:rPr>
      </w:pPr>
    </w:p>
    <w:p w14:paraId="3243A416" w14:textId="36DDD705" w:rsidR="00780CE3" w:rsidRDefault="00780CE3" w:rsidP="00142909">
      <w:pPr>
        <w:pStyle w:val="NoSpacing"/>
        <w:ind w:left="360" w:hanging="360"/>
        <w:outlineLvl w:val="0"/>
        <w:rPr>
          <w:color w:val="auto"/>
          <w:sz w:val="22"/>
          <w:szCs w:val="22"/>
        </w:rPr>
      </w:pPr>
      <w:r>
        <w:rPr>
          <w:color w:val="auto"/>
          <w:sz w:val="22"/>
          <w:szCs w:val="22"/>
        </w:rPr>
        <w:tab/>
        <w:t>45 CFR 46.107 [pre-2018 and 201</w:t>
      </w:r>
      <w:r w:rsidR="008C69FC">
        <w:rPr>
          <w:color w:val="auto"/>
          <w:sz w:val="22"/>
          <w:szCs w:val="22"/>
        </w:rPr>
        <w:t>8</w:t>
      </w:r>
      <w:r>
        <w:rPr>
          <w:color w:val="auto"/>
          <w:sz w:val="22"/>
          <w:szCs w:val="22"/>
        </w:rPr>
        <w:t xml:space="preserve"> requirements]</w:t>
      </w:r>
    </w:p>
    <w:p w14:paraId="7EDC817D" w14:textId="4120C50B" w:rsidR="00780CE3" w:rsidRDefault="00780CE3" w:rsidP="00142909">
      <w:pPr>
        <w:pStyle w:val="NoSpacing"/>
        <w:ind w:left="360" w:hanging="360"/>
        <w:outlineLvl w:val="0"/>
        <w:rPr>
          <w:color w:val="auto"/>
          <w:sz w:val="22"/>
          <w:szCs w:val="22"/>
        </w:rPr>
      </w:pPr>
      <w:r>
        <w:rPr>
          <w:color w:val="auto"/>
          <w:sz w:val="22"/>
          <w:szCs w:val="22"/>
        </w:rPr>
        <w:tab/>
        <w:t>21 CFR 56.107</w:t>
      </w:r>
    </w:p>
    <w:p w14:paraId="4CD0BC7E" w14:textId="2A2D9897" w:rsidR="00142909" w:rsidRDefault="00780CE3" w:rsidP="00780CE3">
      <w:pPr>
        <w:pStyle w:val="NoSpacing"/>
        <w:ind w:left="360"/>
        <w:outlineLvl w:val="0"/>
        <w:rPr>
          <w:color w:val="auto"/>
          <w:sz w:val="22"/>
          <w:szCs w:val="22"/>
        </w:rPr>
      </w:pPr>
      <w:r>
        <w:rPr>
          <w:color w:val="auto"/>
          <w:sz w:val="22"/>
          <w:szCs w:val="22"/>
        </w:rPr>
        <w:t>OHRP Guidance, “IRB Registration Process FAQs”, FAQ #12</w:t>
      </w:r>
    </w:p>
    <w:p w14:paraId="6DE15D99" w14:textId="6EB810EE" w:rsidR="00780CE3" w:rsidRDefault="00780CE3" w:rsidP="00142909">
      <w:pPr>
        <w:pStyle w:val="NoSpacing"/>
        <w:ind w:left="360" w:hanging="360"/>
        <w:outlineLvl w:val="0"/>
        <w:rPr>
          <w:color w:val="auto"/>
          <w:sz w:val="22"/>
          <w:szCs w:val="22"/>
        </w:rPr>
      </w:pPr>
      <w:r>
        <w:rPr>
          <w:color w:val="auto"/>
          <w:sz w:val="22"/>
          <w:szCs w:val="22"/>
        </w:rPr>
        <w:tab/>
        <w:t>OHRP website, “Update/Renew the Registration of an Institutional Review Board (IRB) Previously Registered by an Institution or Organization (IORG); view date 5/1/2015</w:t>
      </w:r>
    </w:p>
    <w:p w14:paraId="266E7B0A" w14:textId="378E51D1" w:rsidR="00780CE3" w:rsidRDefault="00780CE3" w:rsidP="00142909">
      <w:pPr>
        <w:pStyle w:val="NoSpacing"/>
        <w:ind w:left="360" w:hanging="360"/>
        <w:outlineLvl w:val="0"/>
        <w:rPr>
          <w:color w:val="auto"/>
          <w:sz w:val="22"/>
          <w:szCs w:val="22"/>
        </w:rPr>
      </w:pPr>
      <w:r>
        <w:rPr>
          <w:color w:val="auto"/>
          <w:sz w:val="22"/>
          <w:szCs w:val="22"/>
        </w:rPr>
        <w:tab/>
        <w:t>FDA Information Sheet Guidance, “Institutional Review Boards Frequently Asked Questions”</w:t>
      </w:r>
    </w:p>
    <w:p w14:paraId="69E59B93" w14:textId="675EF73E" w:rsidR="00780CE3" w:rsidRDefault="00780CE3" w:rsidP="00142909">
      <w:pPr>
        <w:pStyle w:val="NoSpacing"/>
        <w:ind w:left="360" w:hanging="360"/>
        <w:outlineLvl w:val="0"/>
        <w:rPr>
          <w:color w:val="auto"/>
          <w:sz w:val="22"/>
          <w:szCs w:val="22"/>
        </w:rPr>
      </w:pPr>
      <w:r>
        <w:rPr>
          <w:color w:val="auto"/>
          <w:sz w:val="22"/>
          <w:szCs w:val="22"/>
        </w:rPr>
        <w:lastRenderedPageBreak/>
        <w:tab/>
        <w:t>SACHRP Letter to the Secretary; January 24, 2011, Attachment B: Comment and Recommendation Regarding IRB Membership and Definition of Scientist and Non-scientist under 45 CFR 46 and 21 CFR 56</w:t>
      </w:r>
    </w:p>
    <w:p w14:paraId="09C1F33E" w14:textId="5D6DDC84" w:rsidR="00402916" w:rsidRDefault="00780CE3" w:rsidP="00142909">
      <w:pPr>
        <w:pStyle w:val="NoSpacing"/>
        <w:ind w:left="360" w:hanging="360"/>
        <w:outlineLvl w:val="0"/>
        <w:rPr>
          <w:color w:val="auto"/>
          <w:sz w:val="22"/>
          <w:szCs w:val="22"/>
        </w:rPr>
      </w:pPr>
      <w:r>
        <w:rPr>
          <w:color w:val="auto"/>
          <w:sz w:val="22"/>
          <w:szCs w:val="22"/>
        </w:rPr>
        <w:tab/>
      </w:r>
    </w:p>
    <w:tbl>
      <w:tblPr>
        <w:tblStyle w:val="TableGrid"/>
        <w:tblW w:w="10170" w:type="dxa"/>
        <w:tblInd w:w="-5" w:type="dxa"/>
        <w:tblLook w:val="04A0" w:firstRow="1" w:lastRow="0" w:firstColumn="1" w:lastColumn="0" w:noHBand="0" w:noVBand="1"/>
        <w:tblCaption w:val="Version history table"/>
        <w:tblDescription w:val="contains version number, posted date, implementation date and revision summary"/>
      </w:tblPr>
      <w:tblGrid>
        <w:gridCol w:w="2622"/>
        <w:gridCol w:w="1367"/>
        <w:gridCol w:w="1696"/>
        <w:gridCol w:w="4485"/>
      </w:tblGrid>
      <w:tr w:rsidR="00B9263B" w:rsidRPr="00ED134C" w14:paraId="237E37BD" w14:textId="77777777" w:rsidTr="1301FCCD">
        <w:trPr>
          <w:trHeight w:val="233"/>
        </w:trPr>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447909E1" w14:textId="413268A5" w:rsidR="00B9263B" w:rsidRPr="00954C91" w:rsidRDefault="791D9845" w:rsidP="6C802FC0">
            <w:pPr>
              <w:pStyle w:val="NoSpacing"/>
              <w:jc w:val="center"/>
              <w:rPr>
                <w:b/>
                <w:bCs/>
                <w:color w:val="FFFFFF" w:themeColor="background1"/>
                <w:sz w:val="22"/>
                <w:szCs w:val="22"/>
              </w:rPr>
            </w:pPr>
            <w:r w:rsidRPr="00954C91">
              <w:rPr>
                <w:color w:val="FFFFFF" w:themeColor="background1"/>
                <w:sz w:val="22"/>
                <w:szCs w:val="22"/>
              </w:rPr>
              <w:t xml:space="preserve"> </w:t>
            </w:r>
            <w:r w:rsidR="011323B6" w:rsidRPr="00954C91">
              <w:rPr>
                <w:b/>
                <w:bCs/>
                <w:color w:val="FFFFFF" w:themeColor="background1"/>
                <w:sz w:val="22"/>
                <w:szCs w:val="22"/>
              </w:rPr>
              <w:t>Version Number</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tcPr>
          <w:p w14:paraId="727CE0B1" w14:textId="77777777" w:rsidR="00B9263B" w:rsidRPr="00954C91" w:rsidRDefault="011323B6" w:rsidP="6C802FC0">
            <w:pPr>
              <w:pStyle w:val="NoSpacing"/>
              <w:jc w:val="center"/>
              <w:rPr>
                <w:b/>
                <w:bCs/>
                <w:color w:val="FFFFFF" w:themeColor="background1"/>
                <w:sz w:val="22"/>
                <w:szCs w:val="22"/>
              </w:rPr>
            </w:pPr>
            <w:r w:rsidRPr="00954C91">
              <w:rPr>
                <w:b/>
                <w:bCs/>
                <w:color w:val="FFFFFF" w:themeColor="background1"/>
                <w:sz w:val="22"/>
                <w:szCs w:val="22"/>
              </w:rPr>
              <w:t>Posted Date</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BC4CBFB" w14:textId="77777777" w:rsidR="00B9263B" w:rsidRPr="00954C91" w:rsidRDefault="011323B6" w:rsidP="6C802FC0">
            <w:pPr>
              <w:pStyle w:val="NoSpacing"/>
              <w:jc w:val="center"/>
              <w:rPr>
                <w:b/>
                <w:bCs/>
                <w:color w:val="FFFFFF" w:themeColor="background1"/>
                <w:sz w:val="22"/>
                <w:szCs w:val="22"/>
              </w:rPr>
            </w:pPr>
            <w:r w:rsidRPr="00954C91">
              <w:rPr>
                <w:b/>
                <w:bCs/>
                <w:color w:val="FFFFFF" w:themeColor="background1"/>
                <w:sz w:val="22"/>
                <w:szCs w:val="22"/>
              </w:rPr>
              <w:t>Implementation Date</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07D22265" w14:textId="77777777" w:rsidR="00B9263B" w:rsidRPr="00954C91" w:rsidRDefault="011323B6" w:rsidP="6C802FC0">
            <w:pPr>
              <w:pStyle w:val="NoSpacing"/>
              <w:jc w:val="center"/>
              <w:rPr>
                <w:b/>
                <w:bCs/>
                <w:color w:val="FFFFFF" w:themeColor="background1"/>
                <w:sz w:val="22"/>
                <w:szCs w:val="22"/>
              </w:rPr>
            </w:pPr>
            <w:r w:rsidRPr="00954C91">
              <w:rPr>
                <w:b/>
                <w:bCs/>
                <w:color w:val="FFFFFF" w:themeColor="background1"/>
                <w:sz w:val="22"/>
                <w:szCs w:val="22"/>
              </w:rPr>
              <w:t>Summary of Changes</w:t>
            </w:r>
          </w:p>
        </w:tc>
      </w:tr>
      <w:tr w:rsidR="00C40CF2" w:rsidRPr="00D26748" w14:paraId="26AC05F3" w14:textId="77777777" w:rsidTr="1301FCC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9CE9AD" w14:textId="447C45CB" w:rsidR="00C40CF2" w:rsidRDefault="00C40CF2" w:rsidP="00481621">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2.9</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BD5FC5" w14:textId="07C12BFB" w:rsidR="00C40CF2" w:rsidRDefault="00C40CF2" w:rsidP="00481621">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05.01.2025</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10052B" w14:textId="707809B4" w:rsidR="00C40CF2" w:rsidRDefault="00C40CF2" w:rsidP="00481621">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05.01.2025</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A34573" w14:textId="5796609D" w:rsidR="00C40CF2" w:rsidRDefault="00C40CF2" w:rsidP="00481621">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 xml:space="preserve">Added statement that the opportunity to serve as an IRB member is open to all </w:t>
            </w:r>
          </w:p>
        </w:tc>
      </w:tr>
      <w:tr w:rsidR="00910647" w:rsidRPr="00D26748" w14:paraId="61A17092" w14:textId="77777777" w:rsidTr="1301FCC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571F96" w14:textId="0237F6F7" w:rsidR="00910647" w:rsidRDefault="00910647" w:rsidP="00481621">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2.8</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639A68" w14:textId="62356A48" w:rsidR="00910647" w:rsidRDefault="00910647" w:rsidP="00481621">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09.26.2024</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274440" w14:textId="2A5683DB" w:rsidR="00910647" w:rsidRDefault="00910647" w:rsidP="00481621">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09.26.2024</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721522" w14:textId="095815E9" w:rsidR="00910647" w:rsidRDefault="00910647" w:rsidP="00481621">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Add Informed Consent tutorial and PAUSE Framework to new member training requirements</w:t>
            </w:r>
          </w:p>
        </w:tc>
      </w:tr>
      <w:tr w:rsidR="00590C15" w:rsidRPr="00D26748" w14:paraId="3C7F7CE8" w14:textId="77777777" w:rsidTr="1301FCC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80BD73" w14:textId="740FDA7C" w:rsidR="00590C15" w:rsidRDefault="00590C15" w:rsidP="00481621">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2.7</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F0A417" w14:textId="63945608" w:rsidR="00590C15" w:rsidRDefault="00590C15" w:rsidP="00481621">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06.25.2024</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D3F2DA" w14:textId="5DBA541C" w:rsidR="00590C15" w:rsidRDefault="00590C15" w:rsidP="00481621">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06.25.2024</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186FA2" w14:textId="57F6BED6" w:rsidR="00590C15" w:rsidRDefault="00590C15" w:rsidP="00481621">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Add details about IRB member evaluations</w:t>
            </w:r>
          </w:p>
        </w:tc>
      </w:tr>
      <w:tr w:rsidR="00C43B65" w:rsidRPr="00D26748" w14:paraId="3E4D7236" w14:textId="77777777" w:rsidTr="1301FCC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A5DE4C" w14:textId="1163715C" w:rsidR="00C43B65" w:rsidRDefault="00C43B65" w:rsidP="00481621">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2.6</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4DE27A" w14:textId="796C2878" w:rsidR="00C43B65" w:rsidRDefault="00F53E8B" w:rsidP="00481621">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02.01.2024</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F62621" w14:textId="3310B267" w:rsidR="00C43B65" w:rsidRDefault="00F53E8B" w:rsidP="00481621">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02.01.2024</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21A896" w14:textId="6821C7C1" w:rsidR="00C43B65" w:rsidRDefault="00C43B65" w:rsidP="00481621">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Inclusion of IRB Chair definition and Vice Chair role</w:t>
            </w:r>
          </w:p>
        </w:tc>
      </w:tr>
      <w:tr w:rsidR="00750B8B" w:rsidRPr="00D26748" w14:paraId="33200C49" w14:textId="77777777" w:rsidTr="1301FCC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566D5C" w14:textId="3CD419AE" w:rsidR="00750B8B" w:rsidRDefault="00750B8B" w:rsidP="00481621">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2.5</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AE4660" w14:textId="058C6350" w:rsidR="00750B8B" w:rsidRDefault="00750B8B" w:rsidP="00481621">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07.27.2023</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CEB68D" w14:textId="09722912" w:rsidR="00750B8B" w:rsidRDefault="00750B8B" w:rsidP="00481621">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07.27.2023</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3E2BB7" w14:textId="57AA6849" w:rsidR="00750B8B" w:rsidRDefault="00750B8B" w:rsidP="00481621">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Revise reference to information about Limited IRB Review from retiring SOP to Exempt Guidance</w:t>
            </w:r>
          </w:p>
        </w:tc>
      </w:tr>
      <w:tr w:rsidR="00481621" w:rsidRPr="00D26748" w14:paraId="1C76395B" w14:textId="77777777" w:rsidTr="1301FCC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2F7FE9" w14:textId="0524BDD6" w:rsidR="00481621" w:rsidRDefault="00481621" w:rsidP="00481621">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2.4</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4AF07B" w14:textId="73944034" w:rsidR="00481621" w:rsidRDefault="00481621" w:rsidP="00481621">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04.27.2023</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F84234" w14:textId="10ACEC44" w:rsidR="00481621" w:rsidRDefault="00481621" w:rsidP="00481621">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2"/>
              </w:rPr>
              <w:t>04.27.2023</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107C1E" w14:textId="198AADCB" w:rsidR="00481621" w:rsidRDefault="00481621" w:rsidP="00481621">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Minor clarifications and word-smithing throughout; remove description of member compensation and refer to SOP IRB Member Compensation instead</w:t>
            </w:r>
          </w:p>
        </w:tc>
      </w:tr>
      <w:tr w:rsidR="007D3C87" w:rsidRPr="00D26748" w14:paraId="7AB8CAD0" w14:textId="77777777" w:rsidTr="1301FCC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7CA250" w14:textId="4D9D3093" w:rsidR="007D3C87" w:rsidRDefault="00AA7C04" w:rsidP="007D3C87">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Previous versions</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6BD1B9" w14:textId="225D4C26" w:rsidR="007D3C87" w:rsidRDefault="007D3C87" w:rsidP="007D3C87">
            <w:pPr>
              <w:pStyle w:val="NoSpacing"/>
              <w:jc w:val="center"/>
              <w:rPr>
                <w:rFonts w:ascii="Calibri" w:eastAsiaTheme="majorEastAsia" w:hAnsi="Calibri" w:cstheme="majorBidi"/>
                <w:color w:val="000000" w:themeColor="text1"/>
                <w:sz w:val="22"/>
                <w:szCs w:val="26"/>
              </w:rPr>
            </w:pP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596705" w14:textId="703F11FD" w:rsidR="007D3C87" w:rsidRPr="00135B00" w:rsidRDefault="007D3C87" w:rsidP="007D3C87">
            <w:pPr>
              <w:pStyle w:val="NoSpacing"/>
              <w:jc w:val="center"/>
              <w:rPr>
                <w:rFonts w:ascii="Calibri" w:eastAsiaTheme="majorEastAsia" w:hAnsi="Calibri" w:cstheme="majorBidi"/>
                <w:color w:val="000000" w:themeColor="text1"/>
                <w:sz w:val="22"/>
                <w:szCs w:val="26"/>
              </w:rPr>
            </w:pP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D2093A" w14:textId="0E3D3F19" w:rsidR="007D3C87" w:rsidRDefault="00AA7C04" w:rsidP="007D3C87">
            <w:pPr>
              <w:pStyle w:val="NoSpacing"/>
              <w:rPr>
                <w:rFonts w:ascii="Calibri" w:eastAsiaTheme="majorEastAsia" w:hAnsi="Calibri" w:cstheme="majorBidi"/>
                <w:color w:val="000000" w:themeColor="text1"/>
                <w:sz w:val="22"/>
                <w:szCs w:val="26"/>
              </w:rPr>
            </w:pPr>
            <w:r w:rsidRPr="73CF509B">
              <w:rPr>
                <w:rFonts w:ascii="Calibri" w:eastAsiaTheme="majorEastAsia" w:hAnsi="Calibri" w:cstheme="majorBidi"/>
                <w:color w:val="000000" w:themeColor="text1"/>
                <w:sz w:val="22"/>
                <w:szCs w:val="22"/>
              </w:rPr>
              <w:t xml:space="preserve">For older versions: HSD staff see the SharePoint Document Library; Others – contact </w:t>
            </w:r>
            <w:hyperlink r:id="rId18">
              <w:r w:rsidRPr="73CF509B">
                <w:rPr>
                  <w:rStyle w:val="Hyperlink"/>
                  <w:rFonts w:ascii="Calibri" w:eastAsiaTheme="majorEastAsia" w:hAnsi="Calibri" w:cstheme="majorBidi"/>
                  <w:sz w:val="22"/>
                  <w:szCs w:val="22"/>
                </w:rPr>
                <w:t>hsdinfo@uw.edu</w:t>
              </w:r>
            </w:hyperlink>
            <w:r w:rsidRPr="73CF509B">
              <w:rPr>
                <w:rFonts w:ascii="Calibri" w:eastAsiaTheme="majorEastAsia" w:hAnsi="Calibri" w:cstheme="majorBidi"/>
                <w:color w:val="000000" w:themeColor="text1"/>
                <w:sz w:val="22"/>
                <w:szCs w:val="22"/>
              </w:rPr>
              <w:t>.</w:t>
            </w:r>
          </w:p>
        </w:tc>
      </w:tr>
    </w:tbl>
    <w:p w14:paraId="12873D10" w14:textId="7F90FB85" w:rsidR="00C87942" w:rsidRPr="002755C3" w:rsidRDefault="00C87942" w:rsidP="003D74BB">
      <w:pPr>
        <w:tabs>
          <w:tab w:val="left" w:pos="1230"/>
        </w:tabs>
        <w:spacing w:before="160" w:after="0"/>
        <w:rPr>
          <w:sz w:val="18"/>
          <w:szCs w:val="18"/>
        </w:rPr>
      </w:pPr>
      <w:r w:rsidRPr="002755C3">
        <w:rPr>
          <w:b/>
          <w:bCs/>
          <w:sz w:val="18"/>
          <w:szCs w:val="18"/>
        </w:rPr>
        <w:t xml:space="preserve">Keywords: </w:t>
      </w:r>
      <w:r w:rsidRPr="002755C3">
        <w:rPr>
          <w:sz w:val="18"/>
          <w:szCs w:val="18"/>
        </w:rPr>
        <w:t xml:space="preserve">IRB </w:t>
      </w:r>
      <w:r w:rsidR="0064611D">
        <w:rPr>
          <w:sz w:val="18"/>
          <w:szCs w:val="18"/>
        </w:rPr>
        <w:t>m</w:t>
      </w:r>
      <w:r w:rsidRPr="002755C3">
        <w:rPr>
          <w:sz w:val="18"/>
          <w:szCs w:val="18"/>
        </w:rPr>
        <w:t>embers</w:t>
      </w:r>
    </w:p>
    <w:p w14:paraId="56D9530F" w14:textId="77777777" w:rsidR="00C87942" w:rsidRPr="00C87942" w:rsidRDefault="00C87942" w:rsidP="007D4CA4">
      <w:pPr>
        <w:tabs>
          <w:tab w:val="left" w:pos="1230"/>
        </w:tabs>
      </w:pPr>
    </w:p>
    <w:sectPr w:rsidR="00C87942" w:rsidRPr="00C87942" w:rsidSect="00A2079D">
      <w:footerReference w:type="default" r:id="rId1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E2C05" w14:textId="77777777" w:rsidR="00186B2B" w:rsidRDefault="00186B2B" w:rsidP="00BC532C">
      <w:pPr>
        <w:spacing w:after="0" w:line="240" w:lineRule="auto"/>
      </w:pPr>
      <w:r>
        <w:separator/>
      </w:r>
    </w:p>
  </w:endnote>
  <w:endnote w:type="continuationSeparator" w:id="0">
    <w:p w14:paraId="4AE60E52" w14:textId="77777777" w:rsidR="00186B2B" w:rsidRDefault="00186B2B" w:rsidP="00BC532C">
      <w:pPr>
        <w:spacing w:after="0" w:line="240" w:lineRule="auto"/>
      </w:pPr>
      <w:r>
        <w:continuationSeparator/>
      </w:r>
    </w:p>
  </w:endnote>
  <w:endnote w:type="continuationNotice" w:id="1">
    <w:p w14:paraId="48A61931" w14:textId="77777777" w:rsidR="00186B2B" w:rsidRDefault="00186B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Description w:val="Contains the date posted, the document title, the page number, and the document number."/>
    </w:tblPr>
    <w:tblGrid>
      <w:gridCol w:w="3356"/>
      <w:gridCol w:w="3357"/>
      <w:gridCol w:w="3357"/>
    </w:tblGrid>
    <w:tr w:rsidR="00925C4A" w14:paraId="10336876" w14:textId="77777777" w:rsidTr="000C25E0">
      <w:tc>
        <w:tcPr>
          <w:tcW w:w="3356" w:type="dxa"/>
          <w:vAlign w:val="center"/>
        </w:tcPr>
        <w:p w14:paraId="5D7BCC38" w14:textId="1C429757" w:rsidR="00925C4A" w:rsidRPr="000C25E0" w:rsidRDefault="00925C4A" w:rsidP="007D7BAF">
          <w:pPr>
            <w:pStyle w:val="Footer"/>
            <w:rPr>
              <w:sz w:val="18"/>
              <w:szCs w:val="18"/>
            </w:rPr>
          </w:pPr>
          <w:r>
            <w:rPr>
              <w:sz w:val="18"/>
              <w:szCs w:val="18"/>
            </w:rPr>
            <w:t xml:space="preserve">Date </w:t>
          </w:r>
          <w:r w:rsidR="007D7BAF">
            <w:rPr>
              <w:sz w:val="18"/>
              <w:szCs w:val="18"/>
            </w:rPr>
            <w:t xml:space="preserve">Posted </w:t>
          </w:r>
          <w:r w:rsidR="00C40CF2">
            <w:rPr>
              <w:sz w:val="18"/>
              <w:szCs w:val="18"/>
            </w:rPr>
            <w:t>05.01.2025</w:t>
          </w:r>
        </w:p>
      </w:tc>
      <w:tc>
        <w:tcPr>
          <w:tcW w:w="3357" w:type="dxa"/>
          <w:vAlign w:val="center"/>
        </w:tcPr>
        <w:p w14:paraId="715657B5" w14:textId="25693C6E" w:rsidR="00925C4A" w:rsidRPr="000C25E0" w:rsidRDefault="001C4825" w:rsidP="001F12A4">
          <w:pPr>
            <w:pStyle w:val="Footer"/>
            <w:jc w:val="center"/>
            <w:rPr>
              <w:sz w:val="18"/>
              <w:szCs w:val="18"/>
            </w:rPr>
          </w:pPr>
          <w:r>
            <w:rPr>
              <w:sz w:val="18"/>
              <w:szCs w:val="18"/>
            </w:rPr>
            <w:t>SOP IRB Members</w:t>
          </w:r>
        </w:p>
      </w:tc>
      <w:tc>
        <w:tcPr>
          <w:tcW w:w="3357" w:type="dxa"/>
          <w:vAlign w:val="center"/>
        </w:tcPr>
        <w:p w14:paraId="186FB304" w14:textId="7E1E6B62" w:rsidR="00925C4A" w:rsidRPr="000C25E0" w:rsidRDefault="00925C4A" w:rsidP="00BC532C">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sidR="006F04A7">
            <w:rPr>
              <w:bCs/>
              <w:noProof/>
              <w:sz w:val="18"/>
              <w:szCs w:val="18"/>
            </w:rPr>
            <w:t>3</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sidR="006F04A7">
            <w:rPr>
              <w:bCs/>
              <w:noProof/>
              <w:sz w:val="18"/>
              <w:szCs w:val="18"/>
            </w:rPr>
            <w:t>6</w:t>
          </w:r>
          <w:r w:rsidRPr="000C25E0">
            <w:rPr>
              <w:bCs/>
              <w:sz w:val="18"/>
              <w:szCs w:val="18"/>
            </w:rPr>
            <w:fldChar w:fldCharType="end"/>
          </w:r>
        </w:p>
      </w:tc>
    </w:tr>
    <w:tr w:rsidR="00925C4A" w14:paraId="5DE7191B" w14:textId="77777777" w:rsidTr="000C25E0">
      <w:tc>
        <w:tcPr>
          <w:tcW w:w="3356" w:type="dxa"/>
        </w:tcPr>
        <w:p w14:paraId="1F3B3FB3" w14:textId="5EAADCEA" w:rsidR="00925C4A" w:rsidRPr="000C25E0" w:rsidRDefault="00925C4A" w:rsidP="00C06212">
          <w:pPr>
            <w:pStyle w:val="Footer"/>
            <w:tabs>
              <w:tab w:val="clear" w:pos="4680"/>
              <w:tab w:val="clear" w:pos="9360"/>
              <w:tab w:val="center" w:pos="1570"/>
              <w:tab w:val="left" w:pos="1947"/>
            </w:tabs>
            <w:rPr>
              <w:sz w:val="18"/>
              <w:szCs w:val="18"/>
            </w:rPr>
          </w:pPr>
          <w:r>
            <w:rPr>
              <w:sz w:val="18"/>
              <w:szCs w:val="18"/>
            </w:rPr>
            <w:t xml:space="preserve">Version </w:t>
          </w:r>
          <w:r w:rsidR="001C4825">
            <w:rPr>
              <w:sz w:val="18"/>
              <w:szCs w:val="18"/>
            </w:rPr>
            <w:t>2.</w:t>
          </w:r>
          <w:r w:rsidR="00C40CF2">
            <w:rPr>
              <w:sz w:val="18"/>
              <w:szCs w:val="18"/>
            </w:rPr>
            <w:t>9</w:t>
          </w:r>
        </w:p>
      </w:tc>
      <w:tc>
        <w:tcPr>
          <w:tcW w:w="3357" w:type="dxa"/>
        </w:tcPr>
        <w:p w14:paraId="3F077EC8" w14:textId="77777777" w:rsidR="00925C4A" w:rsidRPr="000C25E0" w:rsidRDefault="00925C4A">
          <w:pPr>
            <w:pStyle w:val="Footer"/>
            <w:rPr>
              <w:sz w:val="18"/>
              <w:szCs w:val="18"/>
            </w:rPr>
          </w:pPr>
        </w:p>
      </w:tc>
      <w:tc>
        <w:tcPr>
          <w:tcW w:w="3357" w:type="dxa"/>
          <w:vAlign w:val="center"/>
        </w:tcPr>
        <w:p w14:paraId="1D97A6CF" w14:textId="4A1EEA1E" w:rsidR="00925C4A" w:rsidRPr="000C25E0" w:rsidRDefault="00925C4A" w:rsidP="00BC532C">
          <w:pPr>
            <w:pStyle w:val="Footer"/>
            <w:jc w:val="right"/>
            <w:rPr>
              <w:sz w:val="18"/>
              <w:szCs w:val="18"/>
            </w:rPr>
          </w:pPr>
        </w:p>
      </w:tc>
    </w:tr>
  </w:tbl>
  <w:p w14:paraId="05BB0CB6" w14:textId="77777777" w:rsidR="00925C4A" w:rsidRDefault="00925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90A1C" w14:textId="77777777" w:rsidR="00186B2B" w:rsidRDefault="00186B2B" w:rsidP="00BC532C">
      <w:pPr>
        <w:spacing w:after="0" w:line="240" w:lineRule="auto"/>
      </w:pPr>
      <w:r>
        <w:separator/>
      </w:r>
    </w:p>
  </w:footnote>
  <w:footnote w:type="continuationSeparator" w:id="0">
    <w:p w14:paraId="72360BD4" w14:textId="77777777" w:rsidR="00186B2B" w:rsidRDefault="00186B2B" w:rsidP="00BC532C">
      <w:pPr>
        <w:spacing w:after="0" w:line="240" w:lineRule="auto"/>
      </w:pPr>
      <w:r>
        <w:continuationSeparator/>
      </w:r>
    </w:p>
  </w:footnote>
  <w:footnote w:type="continuationNotice" w:id="1">
    <w:p w14:paraId="681B9EF7" w14:textId="77777777" w:rsidR="00186B2B" w:rsidRDefault="00186B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6B4B"/>
    <w:multiLevelType w:val="hybridMultilevel"/>
    <w:tmpl w:val="C1F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A6CB3"/>
    <w:multiLevelType w:val="hybridMultilevel"/>
    <w:tmpl w:val="D0526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F27CE"/>
    <w:multiLevelType w:val="hybridMultilevel"/>
    <w:tmpl w:val="61F8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2037"/>
    <w:multiLevelType w:val="hybridMultilevel"/>
    <w:tmpl w:val="0ACEBCCC"/>
    <w:name w:val="SOP List2"/>
    <w:lvl w:ilvl="0" w:tplc="9AA2C1F2">
      <w:start w:val="1"/>
      <w:numFmt w:val="decimal"/>
      <w:lvlText w:val="1.%1"/>
      <w:lvlJc w:val="left"/>
      <w:pPr>
        <w:ind w:left="1800" w:hanging="360"/>
      </w:pPr>
      <w:rPr>
        <w:rFonts w:ascii="Calibri" w:hAnsi="Calibri" w:hint="default"/>
        <w:b w:val="0"/>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AB67FC"/>
    <w:multiLevelType w:val="hybridMultilevel"/>
    <w:tmpl w:val="D91A5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7D201A"/>
    <w:multiLevelType w:val="hybridMultilevel"/>
    <w:tmpl w:val="6C80D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B312F"/>
    <w:multiLevelType w:val="hybridMultilevel"/>
    <w:tmpl w:val="426EC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F4032"/>
    <w:multiLevelType w:val="hybridMultilevel"/>
    <w:tmpl w:val="FFB8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70C33"/>
    <w:multiLevelType w:val="hybridMultilevel"/>
    <w:tmpl w:val="DBDC124A"/>
    <w:lvl w:ilvl="0" w:tplc="04090001">
      <w:start w:val="1"/>
      <w:numFmt w:val="bullet"/>
      <w:lvlText w:val=""/>
      <w:lvlJc w:val="left"/>
      <w:pPr>
        <w:ind w:left="1524" w:hanging="360"/>
      </w:pPr>
      <w:rPr>
        <w:rFonts w:ascii="Symbol" w:hAnsi="Symbol" w:hint="default"/>
      </w:rPr>
    </w:lvl>
    <w:lvl w:ilvl="1" w:tplc="04090005">
      <w:start w:val="1"/>
      <w:numFmt w:val="bullet"/>
      <w:lvlText w:val=""/>
      <w:lvlJc w:val="left"/>
      <w:pPr>
        <w:ind w:left="2244" w:hanging="360"/>
      </w:pPr>
      <w:rPr>
        <w:rFonts w:ascii="Wingdings" w:hAnsi="Wingdings"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9" w15:restartNumberingAfterBreak="0">
    <w:nsid w:val="188F69D5"/>
    <w:multiLevelType w:val="multilevel"/>
    <w:tmpl w:val="E9389894"/>
    <w:styleLink w:val="SOPHeadings"/>
    <w:lvl w:ilvl="0">
      <w:start w:val="1"/>
      <w:numFmt w:val="decimal"/>
      <w:lvlText w:val="%1"/>
      <w:lvlJc w:val="left"/>
      <w:pPr>
        <w:ind w:left="360" w:hanging="360"/>
      </w:pPr>
      <w:rPr>
        <w:rFonts w:ascii="Calibri" w:hAnsi="Calibri" w:hint="default"/>
        <w:b/>
        <w:i w:val="0"/>
        <w:caps/>
        <w:sz w:val="22"/>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0" w15:restartNumberingAfterBreak="0">
    <w:nsid w:val="19C37A7A"/>
    <w:multiLevelType w:val="hybridMultilevel"/>
    <w:tmpl w:val="E934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661E1"/>
    <w:multiLevelType w:val="hybridMultilevel"/>
    <w:tmpl w:val="9606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34435C"/>
    <w:multiLevelType w:val="hybridMultilevel"/>
    <w:tmpl w:val="F2B6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717B4A"/>
    <w:multiLevelType w:val="hybridMultilevel"/>
    <w:tmpl w:val="12F8F1E0"/>
    <w:lvl w:ilvl="0" w:tplc="06068BC2">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83594C"/>
    <w:multiLevelType w:val="hybridMultilevel"/>
    <w:tmpl w:val="2298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B2FDA"/>
    <w:multiLevelType w:val="hybridMultilevel"/>
    <w:tmpl w:val="134C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74751"/>
    <w:multiLevelType w:val="hybridMultilevel"/>
    <w:tmpl w:val="7CEE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C700C1"/>
    <w:multiLevelType w:val="hybridMultilevel"/>
    <w:tmpl w:val="2A28C0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3E45E00"/>
    <w:multiLevelType w:val="hybridMultilevel"/>
    <w:tmpl w:val="FA4A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4781B"/>
    <w:multiLevelType w:val="hybridMultilevel"/>
    <w:tmpl w:val="CDC6C868"/>
    <w:lvl w:ilvl="0" w:tplc="6868C72C">
      <w:start w:val="1"/>
      <w:numFmt w:val="decimal"/>
      <w:lvlText w:val="1.%1"/>
      <w:lvlJc w:val="left"/>
      <w:pPr>
        <w:ind w:left="1080" w:hanging="360"/>
      </w:pPr>
      <w:rPr>
        <w:rFonts w:ascii="Calibri" w:hAnsi="Calibri"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336160"/>
    <w:multiLevelType w:val="hybridMultilevel"/>
    <w:tmpl w:val="ECCC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F27B00"/>
    <w:multiLevelType w:val="multilevel"/>
    <w:tmpl w:val="396A1A7A"/>
    <w:name w:val="SOP List"/>
    <w:lvl w:ilvl="0">
      <w:start w:val="1"/>
      <w:numFmt w:val="decimal"/>
      <w:lvlText w:val="%1"/>
      <w:lvlJc w:val="left"/>
      <w:pPr>
        <w:ind w:left="720" w:hanging="360"/>
      </w:pPr>
      <w:rPr>
        <w:rFonts w:ascii="Calibri" w:hAnsi="Calibri" w:hint="default"/>
        <w:b/>
        <w:i w:val="0"/>
        <w:sz w:val="22"/>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8A142C5"/>
    <w:multiLevelType w:val="hybridMultilevel"/>
    <w:tmpl w:val="8998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6E694A"/>
    <w:multiLevelType w:val="hybridMultilevel"/>
    <w:tmpl w:val="29DE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0535C4"/>
    <w:multiLevelType w:val="hybridMultilevel"/>
    <w:tmpl w:val="DB0E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2A3166"/>
    <w:multiLevelType w:val="hybridMultilevel"/>
    <w:tmpl w:val="A4BA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A00667"/>
    <w:multiLevelType w:val="hybridMultilevel"/>
    <w:tmpl w:val="83AE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1749F"/>
    <w:multiLevelType w:val="hybridMultilevel"/>
    <w:tmpl w:val="90DCDD6E"/>
    <w:lvl w:ilvl="0" w:tplc="5C8844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FE5DD0"/>
    <w:multiLevelType w:val="hybridMultilevel"/>
    <w:tmpl w:val="8C84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AA42B6"/>
    <w:multiLevelType w:val="hybridMultilevel"/>
    <w:tmpl w:val="26D2B9FA"/>
    <w:lvl w:ilvl="0" w:tplc="04090001">
      <w:start w:val="1"/>
      <w:numFmt w:val="bullet"/>
      <w:lvlText w:val=""/>
      <w:lvlJc w:val="left"/>
      <w:pPr>
        <w:ind w:left="2796" w:hanging="360"/>
      </w:pPr>
      <w:rPr>
        <w:rFonts w:ascii="Symbol" w:hAnsi="Symbol" w:hint="default"/>
      </w:rPr>
    </w:lvl>
    <w:lvl w:ilvl="1" w:tplc="04090003" w:tentative="1">
      <w:start w:val="1"/>
      <w:numFmt w:val="bullet"/>
      <w:lvlText w:val="o"/>
      <w:lvlJc w:val="left"/>
      <w:pPr>
        <w:ind w:left="3516" w:hanging="360"/>
      </w:pPr>
      <w:rPr>
        <w:rFonts w:ascii="Courier New" w:hAnsi="Courier New" w:cs="Courier New" w:hint="default"/>
      </w:rPr>
    </w:lvl>
    <w:lvl w:ilvl="2" w:tplc="04090005" w:tentative="1">
      <w:start w:val="1"/>
      <w:numFmt w:val="bullet"/>
      <w:lvlText w:val=""/>
      <w:lvlJc w:val="left"/>
      <w:pPr>
        <w:ind w:left="4236" w:hanging="360"/>
      </w:pPr>
      <w:rPr>
        <w:rFonts w:ascii="Wingdings" w:hAnsi="Wingdings" w:hint="default"/>
      </w:rPr>
    </w:lvl>
    <w:lvl w:ilvl="3" w:tplc="04090001" w:tentative="1">
      <w:start w:val="1"/>
      <w:numFmt w:val="bullet"/>
      <w:lvlText w:val=""/>
      <w:lvlJc w:val="left"/>
      <w:pPr>
        <w:ind w:left="4956" w:hanging="360"/>
      </w:pPr>
      <w:rPr>
        <w:rFonts w:ascii="Symbol" w:hAnsi="Symbol" w:hint="default"/>
      </w:rPr>
    </w:lvl>
    <w:lvl w:ilvl="4" w:tplc="04090003" w:tentative="1">
      <w:start w:val="1"/>
      <w:numFmt w:val="bullet"/>
      <w:lvlText w:val="o"/>
      <w:lvlJc w:val="left"/>
      <w:pPr>
        <w:ind w:left="5676" w:hanging="360"/>
      </w:pPr>
      <w:rPr>
        <w:rFonts w:ascii="Courier New" w:hAnsi="Courier New" w:cs="Courier New" w:hint="default"/>
      </w:rPr>
    </w:lvl>
    <w:lvl w:ilvl="5" w:tplc="04090005" w:tentative="1">
      <w:start w:val="1"/>
      <w:numFmt w:val="bullet"/>
      <w:lvlText w:val=""/>
      <w:lvlJc w:val="left"/>
      <w:pPr>
        <w:ind w:left="6396" w:hanging="360"/>
      </w:pPr>
      <w:rPr>
        <w:rFonts w:ascii="Wingdings" w:hAnsi="Wingdings" w:hint="default"/>
      </w:rPr>
    </w:lvl>
    <w:lvl w:ilvl="6" w:tplc="04090001" w:tentative="1">
      <w:start w:val="1"/>
      <w:numFmt w:val="bullet"/>
      <w:lvlText w:val=""/>
      <w:lvlJc w:val="left"/>
      <w:pPr>
        <w:ind w:left="7116" w:hanging="360"/>
      </w:pPr>
      <w:rPr>
        <w:rFonts w:ascii="Symbol" w:hAnsi="Symbol" w:hint="default"/>
      </w:rPr>
    </w:lvl>
    <w:lvl w:ilvl="7" w:tplc="04090003" w:tentative="1">
      <w:start w:val="1"/>
      <w:numFmt w:val="bullet"/>
      <w:lvlText w:val="o"/>
      <w:lvlJc w:val="left"/>
      <w:pPr>
        <w:ind w:left="7836" w:hanging="360"/>
      </w:pPr>
      <w:rPr>
        <w:rFonts w:ascii="Courier New" w:hAnsi="Courier New" w:cs="Courier New" w:hint="default"/>
      </w:rPr>
    </w:lvl>
    <w:lvl w:ilvl="8" w:tplc="04090005" w:tentative="1">
      <w:start w:val="1"/>
      <w:numFmt w:val="bullet"/>
      <w:lvlText w:val=""/>
      <w:lvlJc w:val="left"/>
      <w:pPr>
        <w:ind w:left="8556" w:hanging="360"/>
      </w:pPr>
      <w:rPr>
        <w:rFonts w:ascii="Wingdings" w:hAnsi="Wingdings" w:hint="default"/>
      </w:rPr>
    </w:lvl>
  </w:abstractNum>
  <w:abstractNum w:abstractNumId="30" w15:restartNumberingAfterBreak="0">
    <w:nsid w:val="4E5E3974"/>
    <w:multiLevelType w:val="hybridMultilevel"/>
    <w:tmpl w:val="BFB6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776011"/>
    <w:multiLevelType w:val="hybridMultilevel"/>
    <w:tmpl w:val="3BA6DD86"/>
    <w:lvl w:ilvl="0" w:tplc="04090001">
      <w:start w:val="1"/>
      <w:numFmt w:val="bullet"/>
      <w:lvlText w:val=""/>
      <w:lvlJc w:val="left"/>
      <w:pPr>
        <w:ind w:left="1524" w:hanging="360"/>
      </w:pPr>
      <w:rPr>
        <w:rFonts w:ascii="Symbol" w:hAnsi="Symbol" w:hint="default"/>
      </w:rPr>
    </w:lvl>
    <w:lvl w:ilvl="1" w:tplc="04090003">
      <w:start w:val="1"/>
      <w:numFmt w:val="bullet"/>
      <w:lvlText w:val="o"/>
      <w:lvlJc w:val="left"/>
      <w:pPr>
        <w:ind w:left="2244" w:hanging="360"/>
      </w:pPr>
      <w:rPr>
        <w:rFonts w:ascii="Courier New" w:hAnsi="Courier New" w:cs="Courier New" w:hint="default"/>
      </w:rPr>
    </w:lvl>
    <w:lvl w:ilvl="2" w:tplc="04090005">
      <w:start w:val="1"/>
      <w:numFmt w:val="bullet"/>
      <w:lvlText w:val=""/>
      <w:lvlJc w:val="left"/>
      <w:pPr>
        <w:ind w:left="2964" w:hanging="360"/>
      </w:pPr>
      <w:rPr>
        <w:rFonts w:ascii="Wingdings" w:hAnsi="Wingdings" w:hint="default"/>
      </w:rPr>
    </w:lvl>
    <w:lvl w:ilvl="3" w:tplc="0409000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32" w15:restartNumberingAfterBreak="0">
    <w:nsid w:val="5B1F0964"/>
    <w:multiLevelType w:val="hybridMultilevel"/>
    <w:tmpl w:val="BDA8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4A35D4"/>
    <w:multiLevelType w:val="hybridMultilevel"/>
    <w:tmpl w:val="931C227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15:restartNumberingAfterBreak="0">
    <w:nsid w:val="5E081420"/>
    <w:multiLevelType w:val="hybridMultilevel"/>
    <w:tmpl w:val="AA1CA7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EE136E8"/>
    <w:multiLevelType w:val="hybridMultilevel"/>
    <w:tmpl w:val="2450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287D8D"/>
    <w:multiLevelType w:val="hybridMultilevel"/>
    <w:tmpl w:val="D2EC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8525D4"/>
    <w:multiLevelType w:val="hybridMultilevel"/>
    <w:tmpl w:val="EB8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F2104C"/>
    <w:multiLevelType w:val="hybridMultilevel"/>
    <w:tmpl w:val="D66ECFD0"/>
    <w:lvl w:ilvl="0" w:tplc="04090001">
      <w:start w:val="1"/>
      <w:numFmt w:val="bullet"/>
      <w:lvlText w:val=""/>
      <w:lvlJc w:val="left"/>
      <w:pPr>
        <w:ind w:left="1524" w:hanging="360"/>
      </w:pPr>
      <w:rPr>
        <w:rFonts w:ascii="Symbol" w:hAnsi="Symbol" w:hint="default"/>
      </w:rPr>
    </w:lvl>
    <w:lvl w:ilvl="1" w:tplc="04090001">
      <w:start w:val="1"/>
      <w:numFmt w:val="bullet"/>
      <w:lvlText w:val=""/>
      <w:lvlJc w:val="left"/>
      <w:pPr>
        <w:ind w:left="2244" w:hanging="360"/>
      </w:pPr>
      <w:rPr>
        <w:rFonts w:ascii="Symbol" w:hAnsi="Symbol" w:hint="default"/>
      </w:rPr>
    </w:lvl>
    <w:lvl w:ilvl="2" w:tplc="04090005">
      <w:start w:val="1"/>
      <w:numFmt w:val="bullet"/>
      <w:lvlText w:val=""/>
      <w:lvlJc w:val="left"/>
      <w:pPr>
        <w:ind w:left="2964" w:hanging="360"/>
      </w:pPr>
      <w:rPr>
        <w:rFonts w:ascii="Wingdings" w:hAnsi="Wingdings" w:hint="default"/>
      </w:rPr>
    </w:lvl>
    <w:lvl w:ilvl="3" w:tplc="0409000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39" w15:restartNumberingAfterBreak="0">
    <w:nsid w:val="6FD337CB"/>
    <w:multiLevelType w:val="hybridMultilevel"/>
    <w:tmpl w:val="67F4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3423EF"/>
    <w:multiLevelType w:val="hybridMultilevel"/>
    <w:tmpl w:val="68FE3830"/>
    <w:lvl w:ilvl="0" w:tplc="21BA4D04">
      <w:start w:val="1"/>
      <w:numFmt w:val="decimal"/>
      <w:lvlText w:val="1.%1"/>
      <w:lvlJc w:val="left"/>
      <w:pPr>
        <w:ind w:left="1440" w:hanging="360"/>
      </w:pPr>
      <w:rPr>
        <w:rFonts w:ascii="Calibri" w:hAnsi="Calibri"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C9070F9"/>
    <w:multiLevelType w:val="hybridMultilevel"/>
    <w:tmpl w:val="8274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D96749"/>
    <w:multiLevelType w:val="hybridMultilevel"/>
    <w:tmpl w:val="316E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29634191">
    <w:abstractNumId w:val="21"/>
  </w:num>
  <w:num w:numId="2" w16cid:durableId="1707674009">
    <w:abstractNumId w:val="19"/>
  </w:num>
  <w:num w:numId="3" w16cid:durableId="1610773821">
    <w:abstractNumId w:val="40"/>
  </w:num>
  <w:num w:numId="4" w16cid:durableId="1215196791">
    <w:abstractNumId w:val="21"/>
  </w:num>
  <w:num w:numId="5" w16cid:durableId="1642810835">
    <w:abstractNumId w:val="3"/>
  </w:num>
  <w:num w:numId="6" w16cid:durableId="1002658501">
    <w:abstractNumId w:val="9"/>
  </w:num>
  <w:num w:numId="7" w16cid:durableId="20504456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5193286">
    <w:abstractNumId w:val="9"/>
  </w:num>
  <w:num w:numId="9" w16cid:durableId="1728066811">
    <w:abstractNumId w:val="10"/>
  </w:num>
  <w:num w:numId="10" w16cid:durableId="1354765804">
    <w:abstractNumId w:val="4"/>
  </w:num>
  <w:num w:numId="11" w16cid:durableId="828641277">
    <w:abstractNumId w:val="42"/>
  </w:num>
  <w:num w:numId="12" w16cid:durableId="524055333">
    <w:abstractNumId w:val="15"/>
  </w:num>
  <w:num w:numId="13" w16cid:durableId="1116219508">
    <w:abstractNumId w:val="36"/>
  </w:num>
  <w:num w:numId="14" w16cid:durableId="1560239284">
    <w:abstractNumId w:val="11"/>
  </w:num>
  <w:num w:numId="15" w16cid:durableId="1028457744">
    <w:abstractNumId w:val="14"/>
  </w:num>
  <w:num w:numId="16" w16cid:durableId="1124546015">
    <w:abstractNumId w:val="12"/>
  </w:num>
  <w:num w:numId="17" w16cid:durableId="1399211511">
    <w:abstractNumId w:val="30"/>
  </w:num>
  <w:num w:numId="18" w16cid:durableId="2141260712">
    <w:abstractNumId w:val="2"/>
  </w:num>
  <w:num w:numId="19" w16cid:durableId="713849179">
    <w:abstractNumId w:val="1"/>
  </w:num>
  <w:num w:numId="20" w16cid:durableId="895244349">
    <w:abstractNumId w:val="22"/>
  </w:num>
  <w:num w:numId="21" w16cid:durableId="2052999818">
    <w:abstractNumId w:val="32"/>
  </w:num>
  <w:num w:numId="22" w16cid:durableId="1287197188">
    <w:abstractNumId w:val="20"/>
  </w:num>
  <w:num w:numId="23" w16cid:durableId="219706159">
    <w:abstractNumId w:val="5"/>
  </w:num>
  <w:num w:numId="24" w16cid:durableId="342050777">
    <w:abstractNumId w:val="26"/>
  </w:num>
  <w:num w:numId="25" w16cid:durableId="240264316">
    <w:abstractNumId w:val="24"/>
  </w:num>
  <w:num w:numId="26" w16cid:durableId="1302613767">
    <w:abstractNumId w:val="23"/>
  </w:num>
  <w:num w:numId="27" w16cid:durableId="792865362">
    <w:abstractNumId w:val="16"/>
  </w:num>
  <w:num w:numId="28" w16cid:durableId="1889413583">
    <w:abstractNumId w:val="37"/>
  </w:num>
  <w:num w:numId="29" w16cid:durableId="2128311558">
    <w:abstractNumId w:val="35"/>
  </w:num>
  <w:num w:numId="30" w16cid:durableId="1462261180">
    <w:abstractNumId w:val="25"/>
  </w:num>
  <w:num w:numId="31" w16cid:durableId="539165822">
    <w:abstractNumId w:val="18"/>
  </w:num>
  <w:num w:numId="32" w16cid:durableId="735713078">
    <w:abstractNumId w:val="39"/>
  </w:num>
  <w:num w:numId="33" w16cid:durableId="428627129">
    <w:abstractNumId w:val="0"/>
  </w:num>
  <w:num w:numId="34" w16cid:durableId="1285424034">
    <w:abstractNumId w:val="41"/>
  </w:num>
  <w:num w:numId="35" w16cid:durableId="84110085">
    <w:abstractNumId w:val="7"/>
  </w:num>
  <w:num w:numId="36" w16cid:durableId="925578641">
    <w:abstractNumId w:val="28"/>
  </w:num>
  <w:num w:numId="37" w16cid:durableId="1225723197">
    <w:abstractNumId w:val="13"/>
  </w:num>
  <w:num w:numId="38" w16cid:durableId="966858753">
    <w:abstractNumId w:val="27"/>
  </w:num>
  <w:num w:numId="39" w16cid:durableId="952635027">
    <w:abstractNumId w:val="8"/>
  </w:num>
  <w:num w:numId="40" w16cid:durableId="1471899828">
    <w:abstractNumId w:val="34"/>
  </w:num>
  <w:num w:numId="41" w16cid:durableId="1674720993">
    <w:abstractNumId w:val="31"/>
  </w:num>
  <w:num w:numId="42" w16cid:durableId="1539706971">
    <w:abstractNumId w:val="38"/>
  </w:num>
  <w:num w:numId="43" w16cid:durableId="1710764853">
    <w:abstractNumId w:val="17"/>
  </w:num>
  <w:num w:numId="44" w16cid:durableId="1606840440">
    <w:abstractNumId w:val="29"/>
  </w:num>
  <w:num w:numId="45" w16cid:durableId="2012491388">
    <w:abstractNumId w:val="33"/>
  </w:num>
  <w:num w:numId="46" w16cid:durableId="13353759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761"/>
    <w:rsid w:val="000058CC"/>
    <w:rsid w:val="0001525B"/>
    <w:rsid w:val="00016109"/>
    <w:rsid w:val="00023716"/>
    <w:rsid w:val="00023D8E"/>
    <w:rsid w:val="000258D8"/>
    <w:rsid w:val="00026E59"/>
    <w:rsid w:val="00032560"/>
    <w:rsid w:val="000406B3"/>
    <w:rsid w:val="00044CB4"/>
    <w:rsid w:val="00044F23"/>
    <w:rsid w:val="000651A1"/>
    <w:rsid w:val="000729DE"/>
    <w:rsid w:val="00074749"/>
    <w:rsid w:val="00086EEA"/>
    <w:rsid w:val="000A32D4"/>
    <w:rsid w:val="000A4D85"/>
    <w:rsid w:val="000A6546"/>
    <w:rsid w:val="000B7FBC"/>
    <w:rsid w:val="000C25E0"/>
    <w:rsid w:val="000C37E9"/>
    <w:rsid w:val="000F3417"/>
    <w:rsid w:val="00114799"/>
    <w:rsid w:val="00117B3D"/>
    <w:rsid w:val="00135B00"/>
    <w:rsid w:val="001379AF"/>
    <w:rsid w:val="0014155E"/>
    <w:rsid w:val="00142909"/>
    <w:rsid w:val="00145CB3"/>
    <w:rsid w:val="0014602B"/>
    <w:rsid w:val="00151784"/>
    <w:rsid w:val="00154A04"/>
    <w:rsid w:val="00164AFC"/>
    <w:rsid w:val="00165C97"/>
    <w:rsid w:val="001745E4"/>
    <w:rsid w:val="00183ABF"/>
    <w:rsid w:val="00186B2B"/>
    <w:rsid w:val="001876F3"/>
    <w:rsid w:val="0019517A"/>
    <w:rsid w:val="001A1FEF"/>
    <w:rsid w:val="001B1196"/>
    <w:rsid w:val="001C4825"/>
    <w:rsid w:val="001D16AA"/>
    <w:rsid w:val="001D1C9B"/>
    <w:rsid w:val="001E1945"/>
    <w:rsid w:val="001E271B"/>
    <w:rsid w:val="001E2FE1"/>
    <w:rsid w:val="001E441B"/>
    <w:rsid w:val="001F12A4"/>
    <w:rsid w:val="001F686E"/>
    <w:rsid w:val="00200AFC"/>
    <w:rsid w:val="00212D0A"/>
    <w:rsid w:val="002163C9"/>
    <w:rsid w:val="00217C39"/>
    <w:rsid w:val="002240A5"/>
    <w:rsid w:val="00230141"/>
    <w:rsid w:val="0023139A"/>
    <w:rsid w:val="0023372E"/>
    <w:rsid w:val="00236168"/>
    <w:rsid w:val="002468F3"/>
    <w:rsid w:val="00246EAF"/>
    <w:rsid w:val="00250512"/>
    <w:rsid w:val="00253C7C"/>
    <w:rsid w:val="00265A0B"/>
    <w:rsid w:val="002755C3"/>
    <w:rsid w:val="002767F8"/>
    <w:rsid w:val="00297079"/>
    <w:rsid w:val="002A4FF5"/>
    <w:rsid w:val="002B3CD5"/>
    <w:rsid w:val="002C6CA6"/>
    <w:rsid w:val="002E2000"/>
    <w:rsid w:val="002E6543"/>
    <w:rsid w:val="002E731D"/>
    <w:rsid w:val="002F7B77"/>
    <w:rsid w:val="00307A95"/>
    <w:rsid w:val="00322AF4"/>
    <w:rsid w:val="00325DEB"/>
    <w:rsid w:val="0033101E"/>
    <w:rsid w:val="0033557F"/>
    <w:rsid w:val="00340472"/>
    <w:rsid w:val="00343472"/>
    <w:rsid w:val="00353A2E"/>
    <w:rsid w:val="00354499"/>
    <w:rsid w:val="00361162"/>
    <w:rsid w:val="003638AC"/>
    <w:rsid w:val="00375221"/>
    <w:rsid w:val="00376A83"/>
    <w:rsid w:val="003803AC"/>
    <w:rsid w:val="003841FF"/>
    <w:rsid w:val="003860A7"/>
    <w:rsid w:val="003917ED"/>
    <w:rsid w:val="00396236"/>
    <w:rsid w:val="003975E5"/>
    <w:rsid w:val="003A0D61"/>
    <w:rsid w:val="003B1AB0"/>
    <w:rsid w:val="003D74BB"/>
    <w:rsid w:val="003E1F8C"/>
    <w:rsid w:val="003F5A61"/>
    <w:rsid w:val="00401515"/>
    <w:rsid w:val="00402916"/>
    <w:rsid w:val="004070A0"/>
    <w:rsid w:val="00412689"/>
    <w:rsid w:val="0041293D"/>
    <w:rsid w:val="00416B51"/>
    <w:rsid w:val="0042145E"/>
    <w:rsid w:val="00432F8C"/>
    <w:rsid w:val="004337A5"/>
    <w:rsid w:val="0044048D"/>
    <w:rsid w:val="00447531"/>
    <w:rsid w:val="004561A4"/>
    <w:rsid w:val="00456C17"/>
    <w:rsid w:val="00461414"/>
    <w:rsid w:val="00461D4E"/>
    <w:rsid w:val="004655C6"/>
    <w:rsid w:val="00470C95"/>
    <w:rsid w:val="00472C83"/>
    <w:rsid w:val="00481621"/>
    <w:rsid w:val="0048319A"/>
    <w:rsid w:val="00486123"/>
    <w:rsid w:val="00491984"/>
    <w:rsid w:val="00496E27"/>
    <w:rsid w:val="00497376"/>
    <w:rsid w:val="004A158C"/>
    <w:rsid w:val="004A3BB8"/>
    <w:rsid w:val="004A47EE"/>
    <w:rsid w:val="004B0CEE"/>
    <w:rsid w:val="004C1AA6"/>
    <w:rsid w:val="004C3C0E"/>
    <w:rsid w:val="004C6330"/>
    <w:rsid w:val="004D36B7"/>
    <w:rsid w:val="004E4AAA"/>
    <w:rsid w:val="004F0C2D"/>
    <w:rsid w:val="004F15E4"/>
    <w:rsid w:val="004F46F9"/>
    <w:rsid w:val="004F4BC2"/>
    <w:rsid w:val="004F5BF1"/>
    <w:rsid w:val="004F74F9"/>
    <w:rsid w:val="004F7744"/>
    <w:rsid w:val="00501E5B"/>
    <w:rsid w:val="005038D3"/>
    <w:rsid w:val="00510120"/>
    <w:rsid w:val="005172F4"/>
    <w:rsid w:val="00520216"/>
    <w:rsid w:val="00525734"/>
    <w:rsid w:val="00530E1D"/>
    <w:rsid w:val="00543DD2"/>
    <w:rsid w:val="005451D1"/>
    <w:rsid w:val="00560204"/>
    <w:rsid w:val="005848DC"/>
    <w:rsid w:val="00590473"/>
    <w:rsid w:val="00590C15"/>
    <w:rsid w:val="00592A19"/>
    <w:rsid w:val="00592E38"/>
    <w:rsid w:val="00596A0A"/>
    <w:rsid w:val="005A0629"/>
    <w:rsid w:val="005A1734"/>
    <w:rsid w:val="005B7CA4"/>
    <w:rsid w:val="005C3AE2"/>
    <w:rsid w:val="005C56FF"/>
    <w:rsid w:val="005C5821"/>
    <w:rsid w:val="005D0A0A"/>
    <w:rsid w:val="005D75B4"/>
    <w:rsid w:val="005E1D24"/>
    <w:rsid w:val="00600013"/>
    <w:rsid w:val="00600D18"/>
    <w:rsid w:val="00602D7B"/>
    <w:rsid w:val="0060393F"/>
    <w:rsid w:val="006067EC"/>
    <w:rsid w:val="006106B8"/>
    <w:rsid w:val="00610712"/>
    <w:rsid w:val="00623A7D"/>
    <w:rsid w:val="0063391E"/>
    <w:rsid w:val="00636A3B"/>
    <w:rsid w:val="0064192B"/>
    <w:rsid w:val="00643805"/>
    <w:rsid w:val="00645756"/>
    <w:rsid w:val="0064611D"/>
    <w:rsid w:val="00647DC9"/>
    <w:rsid w:val="00647F10"/>
    <w:rsid w:val="00653A4E"/>
    <w:rsid w:val="00657803"/>
    <w:rsid w:val="006651D0"/>
    <w:rsid w:val="006716B9"/>
    <w:rsid w:val="00675E5B"/>
    <w:rsid w:val="006803C1"/>
    <w:rsid w:val="00680828"/>
    <w:rsid w:val="006935B8"/>
    <w:rsid w:val="00693C1D"/>
    <w:rsid w:val="006949BC"/>
    <w:rsid w:val="006A302A"/>
    <w:rsid w:val="006A52FC"/>
    <w:rsid w:val="006A702C"/>
    <w:rsid w:val="006B22FA"/>
    <w:rsid w:val="006B513A"/>
    <w:rsid w:val="006B7B4B"/>
    <w:rsid w:val="006C1B12"/>
    <w:rsid w:val="006C3810"/>
    <w:rsid w:val="006C6193"/>
    <w:rsid w:val="006D2390"/>
    <w:rsid w:val="006E0CBE"/>
    <w:rsid w:val="006E46B6"/>
    <w:rsid w:val="006E5BF6"/>
    <w:rsid w:val="006F04A7"/>
    <w:rsid w:val="006F2404"/>
    <w:rsid w:val="006F3506"/>
    <w:rsid w:val="006F7F58"/>
    <w:rsid w:val="00701B4D"/>
    <w:rsid w:val="00706811"/>
    <w:rsid w:val="00714898"/>
    <w:rsid w:val="00717467"/>
    <w:rsid w:val="007211CD"/>
    <w:rsid w:val="00722BFD"/>
    <w:rsid w:val="00726B02"/>
    <w:rsid w:val="007309E1"/>
    <w:rsid w:val="00730E67"/>
    <w:rsid w:val="00731386"/>
    <w:rsid w:val="00735DC9"/>
    <w:rsid w:val="00736D20"/>
    <w:rsid w:val="007404CD"/>
    <w:rsid w:val="00740DDB"/>
    <w:rsid w:val="0074508A"/>
    <w:rsid w:val="00747636"/>
    <w:rsid w:val="00747D98"/>
    <w:rsid w:val="00750B8B"/>
    <w:rsid w:val="007537D5"/>
    <w:rsid w:val="00762248"/>
    <w:rsid w:val="00763CBF"/>
    <w:rsid w:val="007640AF"/>
    <w:rsid w:val="007702E1"/>
    <w:rsid w:val="007766AD"/>
    <w:rsid w:val="00780CE3"/>
    <w:rsid w:val="00782371"/>
    <w:rsid w:val="00783F73"/>
    <w:rsid w:val="00791780"/>
    <w:rsid w:val="00791F96"/>
    <w:rsid w:val="007922DE"/>
    <w:rsid w:val="007A331F"/>
    <w:rsid w:val="007A611F"/>
    <w:rsid w:val="007A73D0"/>
    <w:rsid w:val="007B2230"/>
    <w:rsid w:val="007D104B"/>
    <w:rsid w:val="007D3C87"/>
    <w:rsid w:val="007D4CA4"/>
    <w:rsid w:val="007D6D45"/>
    <w:rsid w:val="007D7BAF"/>
    <w:rsid w:val="007E1DEC"/>
    <w:rsid w:val="007F4D64"/>
    <w:rsid w:val="008123E9"/>
    <w:rsid w:val="00813D20"/>
    <w:rsid w:val="008239B7"/>
    <w:rsid w:val="0082624C"/>
    <w:rsid w:val="00835027"/>
    <w:rsid w:val="0084539C"/>
    <w:rsid w:val="00847BB4"/>
    <w:rsid w:val="00847F8B"/>
    <w:rsid w:val="00850EFD"/>
    <w:rsid w:val="00850FF3"/>
    <w:rsid w:val="00854E12"/>
    <w:rsid w:val="00856080"/>
    <w:rsid w:val="0086162C"/>
    <w:rsid w:val="00866E03"/>
    <w:rsid w:val="008713D3"/>
    <w:rsid w:val="00871F25"/>
    <w:rsid w:val="00875FC3"/>
    <w:rsid w:val="0088587D"/>
    <w:rsid w:val="008900BE"/>
    <w:rsid w:val="00891797"/>
    <w:rsid w:val="008A0798"/>
    <w:rsid w:val="008A3BED"/>
    <w:rsid w:val="008A5835"/>
    <w:rsid w:val="008B7C29"/>
    <w:rsid w:val="008C69FC"/>
    <w:rsid w:val="008D55EB"/>
    <w:rsid w:val="008D613C"/>
    <w:rsid w:val="008D6D57"/>
    <w:rsid w:val="008E1A19"/>
    <w:rsid w:val="008E7422"/>
    <w:rsid w:val="008F3011"/>
    <w:rsid w:val="008F6143"/>
    <w:rsid w:val="00904B70"/>
    <w:rsid w:val="00910647"/>
    <w:rsid w:val="0091292D"/>
    <w:rsid w:val="00913320"/>
    <w:rsid w:val="00925C4A"/>
    <w:rsid w:val="00925F6C"/>
    <w:rsid w:val="00933ACD"/>
    <w:rsid w:val="00934C95"/>
    <w:rsid w:val="009420FE"/>
    <w:rsid w:val="009441C3"/>
    <w:rsid w:val="009516CF"/>
    <w:rsid w:val="0095315E"/>
    <w:rsid w:val="0095356B"/>
    <w:rsid w:val="00954C91"/>
    <w:rsid w:val="00961264"/>
    <w:rsid w:val="009674B5"/>
    <w:rsid w:val="0097030E"/>
    <w:rsid w:val="009730AE"/>
    <w:rsid w:val="0097683A"/>
    <w:rsid w:val="00977495"/>
    <w:rsid w:val="0099016A"/>
    <w:rsid w:val="00996074"/>
    <w:rsid w:val="00996BAD"/>
    <w:rsid w:val="009A1065"/>
    <w:rsid w:val="009B187A"/>
    <w:rsid w:val="009B3608"/>
    <w:rsid w:val="009B7681"/>
    <w:rsid w:val="009C0FFA"/>
    <w:rsid w:val="009C4DD3"/>
    <w:rsid w:val="009D39EC"/>
    <w:rsid w:val="009E2FC1"/>
    <w:rsid w:val="009F0EF4"/>
    <w:rsid w:val="009F2510"/>
    <w:rsid w:val="009F3E55"/>
    <w:rsid w:val="009F53DE"/>
    <w:rsid w:val="00A03C60"/>
    <w:rsid w:val="00A161CB"/>
    <w:rsid w:val="00A20627"/>
    <w:rsid w:val="00A2079D"/>
    <w:rsid w:val="00A21CF4"/>
    <w:rsid w:val="00A22833"/>
    <w:rsid w:val="00A2516F"/>
    <w:rsid w:val="00A449D6"/>
    <w:rsid w:val="00A47BCB"/>
    <w:rsid w:val="00A62DA9"/>
    <w:rsid w:val="00A71554"/>
    <w:rsid w:val="00A71D4E"/>
    <w:rsid w:val="00A80B78"/>
    <w:rsid w:val="00A848AA"/>
    <w:rsid w:val="00A866F3"/>
    <w:rsid w:val="00A91A8B"/>
    <w:rsid w:val="00A929A9"/>
    <w:rsid w:val="00A93DF2"/>
    <w:rsid w:val="00AA097F"/>
    <w:rsid w:val="00AA2580"/>
    <w:rsid w:val="00AA2E1E"/>
    <w:rsid w:val="00AA41F2"/>
    <w:rsid w:val="00AA7C04"/>
    <w:rsid w:val="00AB4A3B"/>
    <w:rsid w:val="00AC1531"/>
    <w:rsid w:val="00AC50D0"/>
    <w:rsid w:val="00AD37FC"/>
    <w:rsid w:val="00AD5583"/>
    <w:rsid w:val="00AE05FD"/>
    <w:rsid w:val="00AE0CFD"/>
    <w:rsid w:val="00AE1CB5"/>
    <w:rsid w:val="00AE2DAD"/>
    <w:rsid w:val="00AE49A5"/>
    <w:rsid w:val="00AF4301"/>
    <w:rsid w:val="00AF6A30"/>
    <w:rsid w:val="00B00AFA"/>
    <w:rsid w:val="00B03859"/>
    <w:rsid w:val="00B03D48"/>
    <w:rsid w:val="00B11AE5"/>
    <w:rsid w:val="00B13FCD"/>
    <w:rsid w:val="00B229B8"/>
    <w:rsid w:val="00B32313"/>
    <w:rsid w:val="00B44AD7"/>
    <w:rsid w:val="00B47F7C"/>
    <w:rsid w:val="00B55261"/>
    <w:rsid w:val="00B55584"/>
    <w:rsid w:val="00B5609A"/>
    <w:rsid w:val="00B57255"/>
    <w:rsid w:val="00B61206"/>
    <w:rsid w:val="00B70209"/>
    <w:rsid w:val="00B72BEF"/>
    <w:rsid w:val="00B91761"/>
    <w:rsid w:val="00B9263B"/>
    <w:rsid w:val="00BA0090"/>
    <w:rsid w:val="00BB1089"/>
    <w:rsid w:val="00BB2DC6"/>
    <w:rsid w:val="00BB37A7"/>
    <w:rsid w:val="00BB43CF"/>
    <w:rsid w:val="00BC491C"/>
    <w:rsid w:val="00BC532C"/>
    <w:rsid w:val="00BD0613"/>
    <w:rsid w:val="00BD1D69"/>
    <w:rsid w:val="00BD57B3"/>
    <w:rsid w:val="00BE1C70"/>
    <w:rsid w:val="00BE1F64"/>
    <w:rsid w:val="00BE6082"/>
    <w:rsid w:val="00BE6837"/>
    <w:rsid w:val="00BF0F77"/>
    <w:rsid w:val="00BF70CD"/>
    <w:rsid w:val="00C03519"/>
    <w:rsid w:val="00C06212"/>
    <w:rsid w:val="00C07185"/>
    <w:rsid w:val="00C13468"/>
    <w:rsid w:val="00C15E81"/>
    <w:rsid w:val="00C15F10"/>
    <w:rsid w:val="00C210DD"/>
    <w:rsid w:val="00C2234D"/>
    <w:rsid w:val="00C22EF3"/>
    <w:rsid w:val="00C23EBD"/>
    <w:rsid w:val="00C279A6"/>
    <w:rsid w:val="00C30289"/>
    <w:rsid w:val="00C34040"/>
    <w:rsid w:val="00C37546"/>
    <w:rsid w:val="00C378D2"/>
    <w:rsid w:val="00C40A04"/>
    <w:rsid w:val="00C40CF2"/>
    <w:rsid w:val="00C42EFD"/>
    <w:rsid w:val="00C43B65"/>
    <w:rsid w:val="00C449B1"/>
    <w:rsid w:val="00C6746B"/>
    <w:rsid w:val="00C74168"/>
    <w:rsid w:val="00C8410E"/>
    <w:rsid w:val="00C87942"/>
    <w:rsid w:val="00C87A53"/>
    <w:rsid w:val="00CA0AE0"/>
    <w:rsid w:val="00CA2F57"/>
    <w:rsid w:val="00CA2F63"/>
    <w:rsid w:val="00CA6B6F"/>
    <w:rsid w:val="00CB2ACC"/>
    <w:rsid w:val="00CB7633"/>
    <w:rsid w:val="00CD0552"/>
    <w:rsid w:val="00CD274A"/>
    <w:rsid w:val="00CD2B40"/>
    <w:rsid w:val="00CD2FA9"/>
    <w:rsid w:val="00CD5079"/>
    <w:rsid w:val="00CD637A"/>
    <w:rsid w:val="00CE2FB5"/>
    <w:rsid w:val="00CE3179"/>
    <w:rsid w:val="00CF0BB9"/>
    <w:rsid w:val="00CF70C5"/>
    <w:rsid w:val="00CF7D7D"/>
    <w:rsid w:val="00D04D4A"/>
    <w:rsid w:val="00D05514"/>
    <w:rsid w:val="00D132DE"/>
    <w:rsid w:val="00D36969"/>
    <w:rsid w:val="00D41D45"/>
    <w:rsid w:val="00D72D0C"/>
    <w:rsid w:val="00D7393F"/>
    <w:rsid w:val="00D808D3"/>
    <w:rsid w:val="00D81383"/>
    <w:rsid w:val="00D869E9"/>
    <w:rsid w:val="00D916C0"/>
    <w:rsid w:val="00D94192"/>
    <w:rsid w:val="00DA40D9"/>
    <w:rsid w:val="00DB2326"/>
    <w:rsid w:val="00DB50D9"/>
    <w:rsid w:val="00DC2A84"/>
    <w:rsid w:val="00DE1DA1"/>
    <w:rsid w:val="00DF1B99"/>
    <w:rsid w:val="00DF3C04"/>
    <w:rsid w:val="00DF6138"/>
    <w:rsid w:val="00E04F2B"/>
    <w:rsid w:val="00E12C16"/>
    <w:rsid w:val="00E13CB6"/>
    <w:rsid w:val="00E15F47"/>
    <w:rsid w:val="00E319BD"/>
    <w:rsid w:val="00E34F05"/>
    <w:rsid w:val="00E44047"/>
    <w:rsid w:val="00E46811"/>
    <w:rsid w:val="00E5713F"/>
    <w:rsid w:val="00E57F90"/>
    <w:rsid w:val="00E619EA"/>
    <w:rsid w:val="00E6341E"/>
    <w:rsid w:val="00E64E05"/>
    <w:rsid w:val="00E705F5"/>
    <w:rsid w:val="00E81EDB"/>
    <w:rsid w:val="00E851CF"/>
    <w:rsid w:val="00E86256"/>
    <w:rsid w:val="00E8640E"/>
    <w:rsid w:val="00E93051"/>
    <w:rsid w:val="00E96153"/>
    <w:rsid w:val="00EA1F0F"/>
    <w:rsid w:val="00EA2439"/>
    <w:rsid w:val="00EB2C0B"/>
    <w:rsid w:val="00EB5C24"/>
    <w:rsid w:val="00EC151B"/>
    <w:rsid w:val="00EC3F46"/>
    <w:rsid w:val="00ED134C"/>
    <w:rsid w:val="00ED1363"/>
    <w:rsid w:val="00ED27C2"/>
    <w:rsid w:val="00EE03FB"/>
    <w:rsid w:val="00EE1798"/>
    <w:rsid w:val="00EE30E6"/>
    <w:rsid w:val="00EF2F6A"/>
    <w:rsid w:val="00EF507E"/>
    <w:rsid w:val="00EF6D40"/>
    <w:rsid w:val="00F12577"/>
    <w:rsid w:val="00F15F73"/>
    <w:rsid w:val="00F21F09"/>
    <w:rsid w:val="00F225D5"/>
    <w:rsid w:val="00F25167"/>
    <w:rsid w:val="00F3072D"/>
    <w:rsid w:val="00F4304B"/>
    <w:rsid w:val="00F43260"/>
    <w:rsid w:val="00F509F4"/>
    <w:rsid w:val="00F52DAD"/>
    <w:rsid w:val="00F53E8B"/>
    <w:rsid w:val="00F54A6B"/>
    <w:rsid w:val="00F562D9"/>
    <w:rsid w:val="00F60DF7"/>
    <w:rsid w:val="00F632E8"/>
    <w:rsid w:val="00F63634"/>
    <w:rsid w:val="00F7271E"/>
    <w:rsid w:val="00F76C69"/>
    <w:rsid w:val="00F8076F"/>
    <w:rsid w:val="00F846DA"/>
    <w:rsid w:val="00F86229"/>
    <w:rsid w:val="00F87816"/>
    <w:rsid w:val="00F90EBF"/>
    <w:rsid w:val="00F97B35"/>
    <w:rsid w:val="00FB48FC"/>
    <w:rsid w:val="00FC372E"/>
    <w:rsid w:val="00FC5F97"/>
    <w:rsid w:val="00FE5C08"/>
    <w:rsid w:val="00FE5E10"/>
    <w:rsid w:val="00FF1BE8"/>
    <w:rsid w:val="011323B6"/>
    <w:rsid w:val="03834D79"/>
    <w:rsid w:val="04620ECD"/>
    <w:rsid w:val="055240B4"/>
    <w:rsid w:val="06B7D6EB"/>
    <w:rsid w:val="09169B08"/>
    <w:rsid w:val="0ACAC690"/>
    <w:rsid w:val="0B881E5E"/>
    <w:rsid w:val="116454C4"/>
    <w:rsid w:val="118723B5"/>
    <w:rsid w:val="1301FCCD"/>
    <w:rsid w:val="17C10C6E"/>
    <w:rsid w:val="1A6F849C"/>
    <w:rsid w:val="1B6F4261"/>
    <w:rsid w:val="20ADA7F4"/>
    <w:rsid w:val="23320549"/>
    <w:rsid w:val="23532EF4"/>
    <w:rsid w:val="2974CEB5"/>
    <w:rsid w:val="29775ED7"/>
    <w:rsid w:val="2A3925F1"/>
    <w:rsid w:val="2D63B218"/>
    <w:rsid w:val="2DB05732"/>
    <w:rsid w:val="32C77D14"/>
    <w:rsid w:val="3307B719"/>
    <w:rsid w:val="34B5781F"/>
    <w:rsid w:val="3544A5A6"/>
    <w:rsid w:val="3777AFC2"/>
    <w:rsid w:val="406D25F4"/>
    <w:rsid w:val="4218C27C"/>
    <w:rsid w:val="42673C31"/>
    <w:rsid w:val="43A4D5CA"/>
    <w:rsid w:val="495D83A3"/>
    <w:rsid w:val="4D8B6FF4"/>
    <w:rsid w:val="4F80B92F"/>
    <w:rsid w:val="5144B9FC"/>
    <w:rsid w:val="57F01BEB"/>
    <w:rsid w:val="58BCC529"/>
    <w:rsid w:val="597CF51A"/>
    <w:rsid w:val="5EE92BD5"/>
    <w:rsid w:val="600E1B68"/>
    <w:rsid w:val="603BB871"/>
    <w:rsid w:val="648D8D46"/>
    <w:rsid w:val="654A5B9C"/>
    <w:rsid w:val="68D7EA40"/>
    <w:rsid w:val="6A15D792"/>
    <w:rsid w:val="6C802FC0"/>
    <w:rsid w:val="726B72CA"/>
    <w:rsid w:val="7523FF9D"/>
    <w:rsid w:val="788F87CF"/>
    <w:rsid w:val="791D9845"/>
    <w:rsid w:val="7DBB4617"/>
    <w:rsid w:val="7E30DBF5"/>
    <w:rsid w:val="7F75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F7715"/>
  <w15:docId w15:val="{6C483EE1-4B3F-4113-8E9E-8587702A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5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32C"/>
  </w:style>
  <w:style w:type="paragraph" w:styleId="Footer">
    <w:name w:val="footer"/>
    <w:basedOn w:val="Normal"/>
    <w:link w:val="FooterChar"/>
    <w:uiPriority w:val="99"/>
    <w:unhideWhenUsed/>
    <w:qFormat/>
    <w:rsid w:val="00BC5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32C"/>
  </w:style>
  <w:style w:type="paragraph" w:styleId="NoSpacing">
    <w:name w:val="No Spacing"/>
    <w:uiPriority w:val="1"/>
    <w:qFormat/>
    <w:rsid w:val="00BC532C"/>
    <w:pPr>
      <w:spacing w:after="0" w:line="240" w:lineRule="auto"/>
    </w:pPr>
    <w:rPr>
      <w:color w:val="44546A" w:themeColor="text2"/>
      <w:sz w:val="20"/>
      <w:szCs w:val="20"/>
    </w:rPr>
  </w:style>
  <w:style w:type="table" w:styleId="TableGrid">
    <w:name w:val="Table Grid"/>
    <w:basedOn w:val="TableNormal"/>
    <w:uiPriority w:val="59"/>
    <w:rsid w:val="00BC5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25E0"/>
    <w:rPr>
      <w:rFonts w:asciiTheme="majorHAnsi" w:eastAsiaTheme="majorEastAsia" w:hAnsiTheme="majorHAnsi" w:cstheme="majorBidi"/>
      <w:color w:val="2E74B5" w:themeColor="accent1" w:themeShade="BF"/>
      <w:sz w:val="32"/>
      <w:szCs w:val="32"/>
    </w:rPr>
  </w:style>
  <w:style w:type="numbering" w:customStyle="1" w:styleId="SOPHeadings">
    <w:name w:val="SOP Headings"/>
    <w:uiPriority w:val="99"/>
    <w:rsid w:val="00647F10"/>
    <w:pPr>
      <w:numPr>
        <w:numId w:val="6"/>
      </w:numPr>
    </w:pPr>
  </w:style>
  <w:style w:type="paragraph" w:styleId="BalloonText">
    <w:name w:val="Balloon Text"/>
    <w:basedOn w:val="Normal"/>
    <w:link w:val="BalloonTextChar"/>
    <w:uiPriority w:val="99"/>
    <w:semiHidden/>
    <w:unhideWhenUsed/>
    <w:rsid w:val="002E6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543"/>
    <w:rPr>
      <w:rFonts w:ascii="Tahoma" w:hAnsi="Tahoma" w:cs="Tahoma"/>
      <w:sz w:val="16"/>
      <w:szCs w:val="16"/>
    </w:rPr>
  </w:style>
  <w:style w:type="character" w:styleId="CommentReference">
    <w:name w:val="annotation reference"/>
    <w:basedOn w:val="DefaultParagraphFont"/>
    <w:uiPriority w:val="99"/>
    <w:semiHidden/>
    <w:unhideWhenUsed/>
    <w:rsid w:val="00A03C60"/>
    <w:rPr>
      <w:sz w:val="16"/>
      <w:szCs w:val="16"/>
    </w:rPr>
  </w:style>
  <w:style w:type="paragraph" w:styleId="CommentText">
    <w:name w:val="annotation text"/>
    <w:basedOn w:val="Normal"/>
    <w:link w:val="CommentTextChar"/>
    <w:uiPriority w:val="99"/>
    <w:unhideWhenUsed/>
    <w:rsid w:val="00A03C60"/>
    <w:pPr>
      <w:spacing w:line="240" w:lineRule="auto"/>
    </w:pPr>
    <w:rPr>
      <w:sz w:val="20"/>
      <w:szCs w:val="20"/>
    </w:rPr>
  </w:style>
  <w:style w:type="character" w:customStyle="1" w:styleId="CommentTextChar">
    <w:name w:val="Comment Text Char"/>
    <w:basedOn w:val="DefaultParagraphFont"/>
    <w:link w:val="CommentText"/>
    <w:uiPriority w:val="99"/>
    <w:rsid w:val="00A03C60"/>
    <w:rPr>
      <w:sz w:val="20"/>
      <w:szCs w:val="20"/>
    </w:rPr>
  </w:style>
  <w:style w:type="paragraph" w:styleId="CommentSubject">
    <w:name w:val="annotation subject"/>
    <w:basedOn w:val="CommentText"/>
    <w:next w:val="CommentText"/>
    <w:link w:val="CommentSubjectChar"/>
    <w:uiPriority w:val="99"/>
    <w:semiHidden/>
    <w:unhideWhenUsed/>
    <w:rsid w:val="00A03C60"/>
    <w:rPr>
      <w:b/>
      <w:bCs/>
    </w:rPr>
  </w:style>
  <w:style w:type="character" w:customStyle="1" w:styleId="CommentSubjectChar">
    <w:name w:val="Comment Subject Char"/>
    <w:basedOn w:val="CommentTextChar"/>
    <w:link w:val="CommentSubject"/>
    <w:uiPriority w:val="99"/>
    <w:semiHidden/>
    <w:rsid w:val="00A03C60"/>
    <w:rPr>
      <w:b/>
      <w:bCs/>
      <w:sz w:val="20"/>
      <w:szCs w:val="20"/>
    </w:rPr>
  </w:style>
  <w:style w:type="table" w:customStyle="1" w:styleId="TableGrid1">
    <w:name w:val="Table Grid1"/>
    <w:basedOn w:val="TableNormal"/>
    <w:next w:val="TableGrid"/>
    <w:uiPriority w:val="59"/>
    <w:rsid w:val="00BF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F77"/>
    <w:pPr>
      <w:ind w:left="720"/>
      <w:contextualSpacing/>
    </w:pPr>
  </w:style>
  <w:style w:type="character" w:styleId="Hyperlink">
    <w:name w:val="Hyperlink"/>
    <w:basedOn w:val="DefaultParagraphFont"/>
    <w:uiPriority w:val="99"/>
    <w:unhideWhenUsed/>
    <w:rsid w:val="006935B8"/>
    <w:rPr>
      <w:color w:val="0563C1" w:themeColor="hyperlink"/>
      <w:u w:val="single"/>
    </w:rPr>
  </w:style>
  <w:style w:type="paragraph" w:styleId="Revision">
    <w:name w:val="Revision"/>
    <w:hidden/>
    <w:uiPriority w:val="99"/>
    <w:semiHidden/>
    <w:rsid w:val="00F21F09"/>
    <w:pPr>
      <w:spacing w:after="0" w:line="240" w:lineRule="auto"/>
    </w:pPr>
  </w:style>
  <w:style w:type="character" w:customStyle="1" w:styleId="UnresolvedMention1">
    <w:name w:val="Unresolved Mention1"/>
    <w:basedOn w:val="DefaultParagraphFont"/>
    <w:uiPriority w:val="99"/>
    <w:semiHidden/>
    <w:unhideWhenUsed/>
    <w:rsid w:val="00996BAD"/>
    <w:rPr>
      <w:color w:val="605E5C"/>
      <w:shd w:val="clear" w:color="auto" w:fill="E1DFDD"/>
    </w:rPr>
  </w:style>
  <w:style w:type="character" w:styleId="FollowedHyperlink">
    <w:name w:val="FollowedHyperlink"/>
    <w:basedOn w:val="DefaultParagraphFont"/>
    <w:uiPriority w:val="99"/>
    <w:semiHidden/>
    <w:unhideWhenUsed/>
    <w:rsid w:val="00996BAD"/>
    <w:rPr>
      <w:color w:val="954F72" w:themeColor="followedHyperlink"/>
      <w:u w:val="single"/>
    </w:rPr>
  </w:style>
  <w:style w:type="character" w:styleId="UnresolvedMention">
    <w:name w:val="Unresolved Mention"/>
    <w:basedOn w:val="DefaultParagraphFont"/>
    <w:uiPriority w:val="99"/>
    <w:semiHidden/>
    <w:unhideWhenUsed/>
    <w:rsid w:val="00747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66234">
      <w:bodyDiv w:val="1"/>
      <w:marLeft w:val="0"/>
      <w:marRight w:val="0"/>
      <w:marTop w:val="0"/>
      <w:marBottom w:val="0"/>
      <w:divBdr>
        <w:top w:val="none" w:sz="0" w:space="0" w:color="auto"/>
        <w:left w:val="none" w:sz="0" w:space="0" w:color="auto"/>
        <w:bottom w:val="none" w:sz="0" w:space="0" w:color="auto"/>
        <w:right w:val="none" w:sz="0" w:space="0" w:color="auto"/>
      </w:divBdr>
    </w:div>
    <w:div w:id="702173733">
      <w:bodyDiv w:val="1"/>
      <w:marLeft w:val="0"/>
      <w:marRight w:val="0"/>
      <w:marTop w:val="0"/>
      <w:marBottom w:val="0"/>
      <w:divBdr>
        <w:top w:val="none" w:sz="0" w:space="0" w:color="auto"/>
        <w:left w:val="none" w:sz="0" w:space="0" w:color="auto"/>
        <w:bottom w:val="none" w:sz="0" w:space="0" w:color="auto"/>
        <w:right w:val="none" w:sz="0" w:space="0" w:color="auto"/>
      </w:divBdr>
    </w:div>
    <w:div w:id="1846163571">
      <w:bodyDiv w:val="1"/>
      <w:marLeft w:val="0"/>
      <w:marRight w:val="0"/>
      <w:marTop w:val="0"/>
      <w:marBottom w:val="0"/>
      <w:divBdr>
        <w:top w:val="none" w:sz="0" w:space="0" w:color="auto"/>
        <w:left w:val="none" w:sz="0" w:space="0" w:color="auto"/>
        <w:bottom w:val="none" w:sz="0" w:space="0" w:color="auto"/>
        <w:right w:val="none" w:sz="0" w:space="0" w:color="auto"/>
      </w:divBdr>
    </w:div>
    <w:div w:id="187650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shington.edu/research/policies/sop-convened-irb-meetings/" TargetMode="External"/><Relationship Id="rId18" Type="http://schemas.openxmlformats.org/officeDocument/2006/relationships/hyperlink" Target="mailto:hsdinfo@uw.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ashington.edu/research/policies/sop-irb-member-standards-and-responsibilities/" TargetMode="External"/><Relationship Id="rId17" Type="http://schemas.openxmlformats.org/officeDocument/2006/relationships/hyperlink" Target="https://www.washington.edu/research/hsd/guidance/exempt/lirb" TargetMode="External"/><Relationship Id="rId2" Type="http://schemas.openxmlformats.org/officeDocument/2006/relationships/customXml" Target="../customXml/item2.xml"/><Relationship Id="rId16" Type="http://schemas.openxmlformats.org/officeDocument/2006/relationships/hyperlink" Target="https://www.washington.edu/research/policies/sop-irb-member-standards-and-responsibilit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ashington.edu/research/policies/sop-reviewer-conflict-of-interes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policies/sop-irb-consultant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28" ma:contentTypeDescription="Create a new document." ma:contentTypeScope="" ma:versionID="3d2e84b08e2ae4837e3d74caea9349c0">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9137193332232cb1c6303fb3f38c9260"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testcolumn"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ma:format="DateOnly" ma:internalName="Date_x0020_Implemented" ma:readOnly="false">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estcolumn" ma:index="10" nillable="true" ma:displayName="Cross-referenced content" ma:format="Dropdown" ma:list="7c9d0ed2-8163-4b50-bae4-466292e5dd21" ma:internalName="testcolumn" ma:showField="Title">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Metadata" ma:index="19" nillable="true" ma:displayName="MediaServiceMetadata" ma:hidden="true" ma:internalName="MediaServiceMetadata"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Minor clarifications and word-smithing throughout; remove description of member compensation and refer to SOP IRB Member Compensation instead</Change_x0020_Notes>
    <testcolumn xmlns="7c9d0ed2-8163-4b50-bae4-466292e5dd21" xsi:nil="true"/>
    <Posted_x0020_Date xmlns="7c9d0ed2-8163-4b50-bae4-466292e5dd21">2022-05-02T07:00:00+00:00</Posted_x0020_Date>
    <Taxonomy0 xmlns="7c9d0ed2-8163-4b50-bae4-466292e5dd21">
      <Value>SOP (Standard Operating Procedure)</Value>
    </Taxonomy0>
    <Version_x0020_Number xmlns="7c9d0ed2-8163-4b50-bae4-466292e5dd21">2.4</Version_x0020_Number>
    <Internal_x003f__x0020__x0028_HSD_x0020_F_x0020_Drive_x0029_ xmlns="7c9d0ed2-8163-4b50-bae4-466292e5dd21">false</Internal_x003f__x0020__x0028_HSD_x0020_F_x0020_Drive_x0029_>
    <Web_x0020_Page_x0020_URL xmlns="7c9d0ed2-8163-4b50-bae4-466292e5dd21">
      <Url>https://www.washington.edu/research/policies/sop-irb-members/</Url>
      <Description>https://www.washington.edu/research/policies/sop-irb-members/</Description>
    </Web_x0020_Page_x0020_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1D4FF-C054-4439-8AE4-E320D9D29ED1}">
  <ds:schemaRefs>
    <ds:schemaRef ds:uri="http://schemas.microsoft.com/sharepoint/v3/contenttype/forms"/>
  </ds:schemaRefs>
</ds:datastoreItem>
</file>

<file path=customXml/itemProps2.xml><?xml version="1.0" encoding="utf-8"?>
<ds:datastoreItem xmlns:ds="http://schemas.openxmlformats.org/officeDocument/2006/customXml" ds:itemID="{A7611D74-881F-4F24-9DA9-64A139148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27D2F4-EED9-4FC1-B6C2-4F7A88C40369}">
  <ds:schemaRefs>
    <ds:schemaRef ds:uri="http://schemas.microsoft.com/office/2006/metadata/properties"/>
    <ds:schemaRef ds:uri="http://schemas.microsoft.com/office/infopath/2007/PartnerControls"/>
    <ds:schemaRef ds:uri="7c9d0ed2-8163-4b50-bae4-466292e5dd21"/>
  </ds:schemaRefs>
</ds:datastoreItem>
</file>

<file path=customXml/itemProps4.xml><?xml version="1.0" encoding="utf-8"?>
<ds:datastoreItem xmlns:ds="http://schemas.openxmlformats.org/officeDocument/2006/customXml" ds:itemID="{6BAEA622-4017-4305-A0AA-C14755F3317B}">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7</Pages>
  <Words>3113</Words>
  <Characters>17750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SOP_IRB_Members_v2.4_2023.04.27</vt:lpstr>
    </vt:vector>
  </TitlesOfParts>
  <Company>University of Washington</Company>
  <LinksUpToDate>false</LinksUpToDate>
  <CharactersWithSpaces>20822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SOP_IRB_Members_v2.4_2023.04.27</dc:title>
  <dc:creator>Sherry Edwards</dc:creator>
  <cp:keywords>;#IRB members;#</cp:keywords>
  <cp:lastModifiedBy>Megan Tedell-Hlady</cp:lastModifiedBy>
  <cp:revision>3</cp:revision>
  <dcterms:created xsi:type="dcterms:W3CDTF">2025-04-30T16:16:00Z</dcterms:created>
  <dcterms:modified xsi:type="dcterms:W3CDTF">2025-04-30T16:19:00Z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