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EA29" w14:textId="77777777" w:rsidR="00253E58" w:rsidRDefault="00B22C28" w:rsidP="00B22C28">
      <w:pPr>
        <w:pStyle w:val="Heading1"/>
      </w:pPr>
      <w:r>
        <w:t>PURPOSE</w:t>
      </w:r>
    </w:p>
    <w:p w14:paraId="53C1EA2A" w14:textId="77777777" w:rsidR="00F94441" w:rsidRPr="00CC64CD" w:rsidRDefault="00D35E1A" w:rsidP="00F56395">
      <w:pPr>
        <w:pStyle w:val="Heading2"/>
      </w:pPr>
      <w:r>
        <w:t>This docu</w:t>
      </w:r>
      <w:r w:rsidR="00151CBD">
        <w:t xml:space="preserve">ment describes the </w:t>
      </w:r>
      <w:r w:rsidR="008A2CD5">
        <w:t xml:space="preserve">policies and </w:t>
      </w:r>
      <w:r w:rsidR="00151CBD">
        <w:t xml:space="preserve">procedures </w:t>
      </w:r>
      <w:r w:rsidR="009423FC">
        <w:t xml:space="preserve">about medical </w:t>
      </w:r>
      <w:r w:rsidR="007F74F0">
        <w:t>device</w:t>
      </w:r>
      <w:r w:rsidR="007F74F0" w:rsidRPr="00CC64CD">
        <w:t>s that have been classified by the Food and Drug Administration (FDA) as humanitarian devices</w:t>
      </w:r>
      <w:r w:rsidR="006916F4" w:rsidRPr="00CC64CD">
        <w:t xml:space="preserve"> (HUDs)</w:t>
      </w:r>
      <w:r w:rsidR="007F74F0" w:rsidRPr="00CC64CD">
        <w:t xml:space="preserve">. </w:t>
      </w:r>
    </w:p>
    <w:p w14:paraId="53C1EA2B" w14:textId="77777777" w:rsidR="00F56395" w:rsidRPr="00CC64CD" w:rsidRDefault="00F56395" w:rsidP="00F94441">
      <w:pPr>
        <w:pStyle w:val="Heading1"/>
      </w:pPr>
      <w:r w:rsidRPr="00CC64CD">
        <w:t>POLICIES</w:t>
      </w:r>
    </w:p>
    <w:p w14:paraId="53C1EA2C" w14:textId="0B466359" w:rsidR="002629E4" w:rsidRDefault="002629E4" w:rsidP="001F5D4B">
      <w:pPr>
        <w:pStyle w:val="Heading2"/>
      </w:pPr>
      <w:r w:rsidRPr="00CC64CD">
        <w:t xml:space="preserve">The UW applies the regulations of the Food and Drug Administration (FDA) when </w:t>
      </w:r>
      <w:r w:rsidR="004E0B38">
        <w:t>clinicians use</w:t>
      </w:r>
      <w:r w:rsidRPr="00CC64CD">
        <w:t xml:space="preserve"> a </w:t>
      </w:r>
      <w:r w:rsidR="00F95100">
        <w:t xml:space="preserve">Humanitarian Use Device (HUD). </w:t>
      </w:r>
      <w:r w:rsidRPr="00CC64CD">
        <w:t>This includes the requirement to</w:t>
      </w:r>
      <w:r>
        <w:t xml:space="preserve"> obtain prospective IRB approval and ongoing review</w:t>
      </w:r>
      <w:r w:rsidR="00FF427F">
        <w:t xml:space="preserve"> (except in emergency situations)</w:t>
      </w:r>
      <w:r>
        <w:t>, even though the clinical use of a HUD is not considered to be research.</w:t>
      </w:r>
    </w:p>
    <w:p w14:paraId="53C1EA2D" w14:textId="5E3ECE2F" w:rsidR="001F5D4B" w:rsidRDefault="002629E4" w:rsidP="002629E4">
      <w:pPr>
        <w:pStyle w:val="Heading2"/>
      </w:pPr>
      <w:r>
        <w:t>The UW IRB</w:t>
      </w:r>
      <w:r w:rsidR="0019167E">
        <w:t xml:space="preserve"> </w:t>
      </w:r>
      <w:r w:rsidR="00682D8D">
        <w:t>requires</w:t>
      </w:r>
      <w:r w:rsidR="0019167E">
        <w:t xml:space="preserve"> that</w:t>
      </w:r>
      <w:r>
        <w:t xml:space="preserve"> </w:t>
      </w:r>
      <w:r w:rsidR="001F5D4B">
        <w:t xml:space="preserve">documented </w:t>
      </w:r>
      <w:r>
        <w:t>consent</w:t>
      </w:r>
      <w:r w:rsidR="00CC64CD">
        <w:t xml:space="preserve"> </w:t>
      </w:r>
      <w:r w:rsidR="001F5D4B">
        <w:t>be obtained from patients for the use of a HUD</w:t>
      </w:r>
      <w:r w:rsidR="00682D8D">
        <w:t xml:space="preserve"> whenever possible</w:t>
      </w:r>
      <w:r w:rsidR="0019167E">
        <w:t>.</w:t>
      </w:r>
    </w:p>
    <w:p w14:paraId="265DFC8A" w14:textId="23498C90" w:rsidR="00FF427F" w:rsidRDefault="00FF427F" w:rsidP="002629E4">
      <w:pPr>
        <w:pStyle w:val="Heading2"/>
      </w:pPr>
      <w:r>
        <w:t xml:space="preserve">The UW IRB does not make any distinction between the “on-label” versus the “off-label” use of a HUD. Such distinction is not required by FDA policies and regulations related to HUDs. </w:t>
      </w:r>
    </w:p>
    <w:p w14:paraId="53C1EA2E" w14:textId="65F288AC" w:rsidR="006916F4" w:rsidRPr="00CC64CD" w:rsidRDefault="006916F4" w:rsidP="002629E4">
      <w:pPr>
        <w:pStyle w:val="Heading2"/>
      </w:pPr>
      <w:r w:rsidRPr="00CC64CD">
        <w:t xml:space="preserve">UW policies </w:t>
      </w:r>
      <w:r w:rsidR="00FF427F">
        <w:t xml:space="preserve">about the </w:t>
      </w:r>
      <w:r w:rsidRPr="00CC64CD">
        <w:t xml:space="preserve">procedures </w:t>
      </w:r>
      <w:r w:rsidR="00FF427F">
        <w:t xml:space="preserve">required for the </w:t>
      </w:r>
      <w:r w:rsidRPr="00CC64CD">
        <w:t>uses of HUDs are summarized here:</w:t>
      </w:r>
    </w:p>
    <w:p w14:paraId="73138DA5" w14:textId="77777777" w:rsidR="00FF427F" w:rsidRDefault="006916F4" w:rsidP="00A9614C">
      <w:pPr>
        <w:pStyle w:val="Heading3"/>
      </w:pPr>
      <w:r w:rsidRPr="00CC64CD">
        <w:t>Clinical emergency use</w:t>
      </w:r>
      <w:r w:rsidR="00FF427F">
        <w:t xml:space="preserve"> (on-label or off-label)</w:t>
      </w:r>
    </w:p>
    <w:p w14:paraId="53C1EA2F" w14:textId="56AE4BD1" w:rsidR="00A9614C" w:rsidRDefault="00FF427F" w:rsidP="00FF427F">
      <w:pPr>
        <w:pStyle w:val="Heading4"/>
      </w:pPr>
      <w:r>
        <w:t>If the HUD has already been approved by the UW IRB (</w:t>
      </w:r>
      <w:hyperlink r:id="rId11" w:history="1">
        <w:r w:rsidRPr="00F7055F">
          <w:rPr>
            <w:rStyle w:val="Hyperlink"/>
          </w:rPr>
          <w:t>see this list</w:t>
        </w:r>
      </w:hyperlink>
      <w:r>
        <w:t>): No interaction with HSD or the IRB is required.</w:t>
      </w:r>
    </w:p>
    <w:p w14:paraId="7393A042" w14:textId="242816BA" w:rsidR="00FF427F" w:rsidRPr="00CC64CD" w:rsidRDefault="00FF427F" w:rsidP="00FF427F">
      <w:pPr>
        <w:pStyle w:val="Heading4"/>
      </w:pPr>
      <w:r>
        <w:t>If the HUD has no</w:t>
      </w:r>
      <w:r w:rsidR="00F7055F">
        <w:t xml:space="preserve">t been approved by the UW IRB: </w:t>
      </w:r>
      <w:r>
        <w:t>Follow the instructions</w:t>
      </w:r>
      <w:r w:rsidR="000C1F4F">
        <w:t xml:space="preserve"> in </w:t>
      </w:r>
      <w:r w:rsidR="000C1F4F">
        <w:rPr>
          <w:b/>
          <w:bCs/>
        </w:rPr>
        <w:t>INSTRUCTIONS and NOTIFICATION Emergency Use, Device</w:t>
      </w:r>
      <w:r>
        <w:t>.</w:t>
      </w:r>
    </w:p>
    <w:p w14:paraId="53C1EA30" w14:textId="6D0FF5D3" w:rsidR="00A9614C" w:rsidRDefault="00A42F35" w:rsidP="00A9614C">
      <w:pPr>
        <w:pStyle w:val="Heading3"/>
      </w:pPr>
      <w:r>
        <w:t>Clinical non-emergency use</w:t>
      </w:r>
      <w:r w:rsidR="00FF427F">
        <w:t xml:space="preserve"> (on-label or off-label)</w:t>
      </w:r>
    </w:p>
    <w:p w14:paraId="18568E06" w14:textId="2C651639" w:rsidR="00FF427F" w:rsidRDefault="00FF427F" w:rsidP="00FF427F">
      <w:pPr>
        <w:pStyle w:val="Heading4"/>
      </w:pPr>
      <w:r>
        <w:t>If the HUD has already been approved by the UW IRB (</w:t>
      </w:r>
      <w:hyperlink r:id="rId12" w:history="1">
        <w:r w:rsidR="00F7055F" w:rsidRPr="00F7055F">
          <w:rPr>
            <w:rStyle w:val="Hyperlink"/>
          </w:rPr>
          <w:t>see this list</w:t>
        </w:r>
      </w:hyperlink>
      <w:r>
        <w:t xml:space="preserve">): No interaction with HSD or the IRB is required. </w:t>
      </w:r>
    </w:p>
    <w:p w14:paraId="74899611" w14:textId="6A5BB873" w:rsidR="00FF427F" w:rsidRDefault="00FF427F" w:rsidP="00FF427F">
      <w:pPr>
        <w:pStyle w:val="Heading5"/>
        <w:numPr>
          <w:ilvl w:val="0"/>
          <w:numId w:val="9"/>
        </w:numPr>
      </w:pPr>
      <w:r>
        <w:t xml:space="preserve">If repeated off-label uses are expected and they were not described in the application reviewed by the UW IRB:  It is best practice to modify the existing application for general off-label use. This does not require approval from the FDA. </w:t>
      </w:r>
    </w:p>
    <w:p w14:paraId="4AAE2C1B" w14:textId="39C9247D" w:rsidR="00FF427F" w:rsidRDefault="00FF427F" w:rsidP="00FF427F">
      <w:pPr>
        <w:pStyle w:val="Heading4"/>
      </w:pPr>
      <w:r>
        <w:t>If the HUD has not been approved by the UW IRB: Submit an IRB application in the Zipline system.</w:t>
      </w:r>
    </w:p>
    <w:p w14:paraId="53C1EA32" w14:textId="79BFAD50" w:rsidR="00A9614C" w:rsidRDefault="00FF427F" w:rsidP="00A9614C">
      <w:pPr>
        <w:pStyle w:val="Heading3"/>
      </w:pPr>
      <w:r>
        <w:t>Research use (e.g., collecting safety and effectiveness data)</w:t>
      </w:r>
    </w:p>
    <w:p w14:paraId="4968BE10" w14:textId="57801D3B" w:rsidR="00FF427F" w:rsidRDefault="00AF2502" w:rsidP="00FF427F">
      <w:pPr>
        <w:pStyle w:val="Heading4"/>
      </w:pPr>
      <w:r>
        <w:t xml:space="preserve">IRB approval must be obtained in advance, even if the HUD is already approved by the IRB for clinical use at the UW. </w:t>
      </w:r>
    </w:p>
    <w:p w14:paraId="68EE431D" w14:textId="3296EC76" w:rsidR="00AF2502" w:rsidRDefault="00AF2502" w:rsidP="00FF427F">
      <w:pPr>
        <w:pStyle w:val="Heading4"/>
      </w:pPr>
      <w:r>
        <w:t xml:space="preserve">If the research involves using the HUD for its HDE-approved indication (i.e., on-label):  It is not necessary to obtain an IDE from the FDA. </w:t>
      </w:r>
    </w:p>
    <w:p w14:paraId="2E275164" w14:textId="4236BE3C" w:rsidR="00AF2502" w:rsidRPr="00CC64CD" w:rsidRDefault="00AF2502" w:rsidP="00FF427F">
      <w:pPr>
        <w:pStyle w:val="Heading4"/>
      </w:pPr>
      <w:r>
        <w:lastRenderedPageBreak/>
        <w:t>If the research invol</w:t>
      </w:r>
      <w:r w:rsidR="00F7055F">
        <w:t xml:space="preserve">ves using the HUD “off label”: </w:t>
      </w:r>
      <w:r>
        <w:t xml:space="preserve">An IDE must be obtained from the FDA. </w:t>
      </w:r>
    </w:p>
    <w:p w14:paraId="23DAD291" w14:textId="359F1E64" w:rsidR="00290B9C" w:rsidRPr="00F56395" w:rsidRDefault="0016123E" w:rsidP="00290B9C">
      <w:pPr>
        <w:pStyle w:val="Heading2"/>
      </w:pPr>
      <w:r>
        <w:t>Continuing review of the use of HUDs may be conducted by the expedited review process, i</w:t>
      </w:r>
      <w:r w:rsidR="00290B9C">
        <w:t>f deemed appropriate by the IRB and the HUD is being used solely for clinical purposes.</w:t>
      </w:r>
    </w:p>
    <w:p w14:paraId="53C1EA36" w14:textId="77777777" w:rsidR="00F94441" w:rsidRPr="00F56395" w:rsidRDefault="00F94441" w:rsidP="00F94441">
      <w:pPr>
        <w:pStyle w:val="Heading1"/>
      </w:pPr>
      <w:r w:rsidRPr="00F56395">
        <w:t>DE</w:t>
      </w:r>
      <w:r w:rsidR="00F56395" w:rsidRPr="00F56395">
        <w:t>FINITIONS</w:t>
      </w:r>
    </w:p>
    <w:p w14:paraId="53C1EA37" w14:textId="59B933E8" w:rsidR="00677958" w:rsidRPr="00CC64CD" w:rsidRDefault="009423FC" w:rsidP="00677958">
      <w:pPr>
        <w:pStyle w:val="Heading2"/>
      </w:pPr>
      <w:r>
        <w:rPr>
          <w:u w:val="single"/>
        </w:rPr>
        <w:t>H</w:t>
      </w:r>
      <w:r w:rsidR="00F94441">
        <w:rPr>
          <w:u w:val="single"/>
        </w:rPr>
        <w:t>umanitarian use device (HUD)</w:t>
      </w:r>
      <w:r w:rsidR="00F94441" w:rsidRPr="00F94441">
        <w:t>.</w:t>
      </w:r>
      <w:r w:rsidR="00682D8D">
        <w:t xml:space="preserve"> </w:t>
      </w:r>
      <w:r w:rsidR="00A42F35">
        <w:t>A</w:t>
      </w:r>
      <w:r w:rsidR="00F94441">
        <w:t xml:space="preserve"> HUD is a device that is intended to benefit patients in the treatm</w:t>
      </w:r>
      <w:r w:rsidR="00A42F35">
        <w:t>ent or diagnosis of a disease or</w:t>
      </w:r>
      <w:r w:rsidR="00F94441">
        <w:t xml:space="preserve"> condition that affects or is manifested in fewer than </w:t>
      </w:r>
      <w:r w:rsidR="006D12AB">
        <w:t>8</w:t>
      </w:r>
      <w:r w:rsidR="00F94441">
        <w:t xml:space="preserve">,000 individuals </w:t>
      </w:r>
      <w:r w:rsidR="00682D8D">
        <w:t xml:space="preserve">in the United States per year. </w:t>
      </w:r>
      <w:r w:rsidR="00C3384B">
        <w:t>HUDs can be us</w:t>
      </w:r>
      <w:r w:rsidR="00C3384B" w:rsidRPr="00CC64CD">
        <w:t xml:space="preserve">ed (i.e., marketed) without having been shown to meet the standard effectiveness criteria applied to other devices. </w:t>
      </w:r>
      <w:r w:rsidR="00677958" w:rsidRPr="00CC64CD">
        <w:t xml:space="preserve">Clinical use of a HUD is not considered to be research, but the FDA </w:t>
      </w:r>
      <w:r w:rsidR="00A9614C" w:rsidRPr="00CC64CD">
        <w:t xml:space="preserve">nonetheless </w:t>
      </w:r>
      <w:r w:rsidR="00677958" w:rsidRPr="00CC64CD">
        <w:t xml:space="preserve">requires IRB review prior to use. </w:t>
      </w:r>
    </w:p>
    <w:p w14:paraId="53C1EA38" w14:textId="45700E11" w:rsidR="00C3384B" w:rsidRDefault="009423FC" w:rsidP="00F94441">
      <w:pPr>
        <w:pStyle w:val="Heading2"/>
      </w:pPr>
      <w:r w:rsidRPr="00CC64CD">
        <w:rPr>
          <w:u w:val="single"/>
        </w:rPr>
        <w:t>H</w:t>
      </w:r>
      <w:r w:rsidR="00F94441" w:rsidRPr="00CC64CD">
        <w:rPr>
          <w:u w:val="single"/>
        </w:rPr>
        <w:t>umanitarian device exemption (HDE)</w:t>
      </w:r>
      <w:r w:rsidR="00682D8D">
        <w:t xml:space="preserve">. </w:t>
      </w:r>
      <w:r w:rsidR="00A42F35">
        <w:t>The term “HDE”</w:t>
      </w:r>
      <w:r w:rsidR="00F94441" w:rsidRPr="00CC64CD">
        <w:t xml:space="preserve"> refers both to a type of application submitted to the FDA and also to the FDA’s</w:t>
      </w:r>
      <w:r w:rsidR="00C3384B" w:rsidRPr="00CC64CD">
        <w:t xml:space="preserve"> </w:t>
      </w:r>
      <w:r w:rsidR="00682D8D">
        <w:t xml:space="preserve">approval of the application. </w:t>
      </w:r>
      <w:r w:rsidR="00A42F35">
        <w:t>A</w:t>
      </w:r>
      <w:r w:rsidR="00C3384B" w:rsidRPr="00CC64CD">
        <w:t xml:space="preserve"> HDE application </w:t>
      </w:r>
      <w:r w:rsidR="00A9614C" w:rsidRPr="00CC64CD">
        <w:t xml:space="preserve">to the FDA </w:t>
      </w:r>
      <w:r w:rsidR="00C3384B" w:rsidRPr="00CC64CD">
        <w:t xml:space="preserve">is not required to </w:t>
      </w:r>
      <w:r w:rsidR="008327B8" w:rsidRPr="00CC64CD">
        <w:t>provide</w:t>
      </w:r>
      <w:r w:rsidR="00C3384B" w:rsidRPr="00CC64CD">
        <w:t xml:space="preserve"> research </w:t>
      </w:r>
      <w:r w:rsidR="008327B8" w:rsidRPr="00CC64CD">
        <w:t>data</w:t>
      </w:r>
      <w:r w:rsidR="00C3384B" w:rsidRPr="00CC64CD">
        <w:t xml:space="preserve"> demonstrating</w:t>
      </w:r>
      <w:r w:rsidR="005F6A4D">
        <w:t xml:space="preserve"> that the device is effective. </w:t>
      </w:r>
      <w:r w:rsidR="00C3384B" w:rsidRPr="00CC64CD">
        <w:t>However, it must contain sufficient information for the FDA to determine that the probabl</w:t>
      </w:r>
      <w:r w:rsidR="00D24529" w:rsidRPr="00CC64CD">
        <w:t>e</w:t>
      </w:r>
      <w:r w:rsidR="008327B8" w:rsidRPr="00CC64CD">
        <w:t xml:space="preserve"> health </w:t>
      </w:r>
      <w:r w:rsidR="00C3384B" w:rsidRPr="00CC64CD">
        <w:t>benefit outweighs t</w:t>
      </w:r>
      <w:r w:rsidR="00D24529" w:rsidRPr="00CC64CD">
        <w:t>he risk of injury or illness,</w:t>
      </w:r>
      <w:r w:rsidR="00A9614C" w:rsidRPr="00CC64CD">
        <w:t xml:space="preserve"> that</w:t>
      </w:r>
      <w:r w:rsidR="008327B8" w:rsidRPr="00CC64CD">
        <w:t xml:space="preserve"> </w:t>
      </w:r>
      <w:r w:rsidRPr="00CC64CD">
        <w:t xml:space="preserve">the device </w:t>
      </w:r>
      <w:r w:rsidR="008327B8" w:rsidRPr="00CC64CD">
        <w:t>wil</w:t>
      </w:r>
      <w:r w:rsidR="008327B8">
        <w:t xml:space="preserve">l not expose patients to unreasonable or significant risk, and that there is no comparable device available to treat or diagnose the disease or condition. </w:t>
      </w:r>
      <w:r w:rsidR="00D24529">
        <w:t>An approve</w:t>
      </w:r>
      <w:r w:rsidR="00A42F35">
        <w:t>d HDE authorizes marketing of a</w:t>
      </w:r>
      <w:r w:rsidR="00D24529">
        <w:t xml:space="preserve"> HUD. </w:t>
      </w:r>
    </w:p>
    <w:p w14:paraId="53C1EA39" w14:textId="751C381C" w:rsidR="00083801" w:rsidRPr="00CC64CD" w:rsidRDefault="00D24529" w:rsidP="00CC64CD">
      <w:pPr>
        <w:pStyle w:val="Heading2"/>
      </w:pPr>
      <w:r>
        <w:rPr>
          <w:u w:val="single"/>
        </w:rPr>
        <w:t>HDE holder</w:t>
      </w:r>
      <w:r w:rsidRPr="00D24529">
        <w:t>.</w:t>
      </w:r>
      <w:r>
        <w:t xml:space="preserve"> </w:t>
      </w:r>
      <w:r w:rsidR="000F2BB1">
        <w:t>The person who obtains the approval of a Humanitarian Device Exemption (HDE) from</w:t>
      </w:r>
      <w:r w:rsidR="009423FC">
        <w:t xml:space="preserve"> </w:t>
      </w:r>
      <w:r w:rsidR="000F2BB1">
        <w:t xml:space="preserve">the FDA. </w:t>
      </w:r>
      <w:r>
        <w:t xml:space="preserve">Once the HDE is approved, the HDE holder is responsible for ensuring that the HUD is used only under </w:t>
      </w:r>
      <w:r w:rsidR="009423FC">
        <w:t xml:space="preserve">the </w:t>
      </w:r>
      <w:r>
        <w:t xml:space="preserve">review and oversight of an IRB. </w:t>
      </w:r>
    </w:p>
    <w:p w14:paraId="53C1EA3A" w14:textId="77777777" w:rsidR="00D35E1A" w:rsidRDefault="00B22C28" w:rsidP="0060136E">
      <w:pPr>
        <w:pStyle w:val="Heading1"/>
      </w:pPr>
      <w:r w:rsidRPr="001F5D4B">
        <w:t>RESPONSIBILITIES</w:t>
      </w:r>
    </w:p>
    <w:p w14:paraId="53C1EA3B" w14:textId="77777777" w:rsidR="001F5D4B" w:rsidRPr="001F5D4B" w:rsidRDefault="001F5D4B" w:rsidP="001F5D4B">
      <w:pPr>
        <w:pStyle w:val="Heading2"/>
      </w:pPr>
      <w:r>
        <w:t xml:space="preserve">The responsibilities of the physician and the IRB are outlined below. </w:t>
      </w:r>
    </w:p>
    <w:p w14:paraId="53C1EA3C" w14:textId="77777777" w:rsidR="006C0719" w:rsidRPr="00CC64CD" w:rsidRDefault="00AB1846" w:rsidP="00AB1846">
      <w:pPr>
        <w:pStyle w:val="Heading1"/>
      </w:pPr>
      <w:r>
        <w:t>PROCEDURES</w:t>
      </w:r>
      <w:r w:rsidR="00096F87">
        <w:t>: Clinical Use of a</w:t>
      </w:r>
      <w:r w:rsidR="00A9614C" w:rsidRPr="00CC64CD">
        <w:t xml:space="preserve"> HUD</w:t>
      </w:r>
    </w:p>
    <w:p w14:paraId="53C1EA3D" w14:textId="77777777" w:rsidR="006C0719" w:rsidRDefault="006C0719" w:rsidP="00ED7422">
      <w:pPr>
        <w:pStyle w:val="Heading2"/>
      </w:pPr>
      <w:r w:rsidRPr="0020408E">
        <w:rPr>
          <w:u w:val="single"/>
        </w:rPr>
        <w:t xml:space="preserve">Initial </w:t>
      </w:r>
      <w:r w:rsidR="00AB1846" w:rsidRPr="0020408E">
        <w:rPr>
          <w:u w:val="single"/>
        </w:rPr>
        <w:t xml:space="preserve">IRB </w:t>
      </w:r>
      <w:r w:rsidRPr="0020408E">
        <w:rPr>
          <w:u w:val="single"/>
        </w:rPr>
        <w:t>review</w:t>
      </w:r>
      <w:r w:rsidR="00433D1A">
        <w:t xml:space="preserve"> </w:t>
      </w:r>
      <w:r w:rsidR="00037231">
        <w:t>(21 CFR 814.124)</w:t>
      </w:r>
    </w:p>
    <w:p w14:paraId="53C1EA3E" w14:textId="6768E798" w:rsidR="000001BC" w:rsidRPr="00CC64CD" w:rsidRDefault="0020408E" w:rsidP="000001BC">
      <w:pPr>
        <w:pStyle w:val="Heading3"/>
      </w:pPr>
      <w:r w:rsidRPr="0020408E">
        <w:rPr>
          <w:u w:val="single"/>
        </w:rPr>
        <w:t>Applicable regula</w:t>
      </w:r>
      <w:r w:rsidRPr="00CC64CD">
        <w:rPr>
          <w:u w:val="single"/>
        </w:rPr>
        <w:t>tions</w:t>
      </w:r>
      <w:r w:rsidR="00682D8D">
        <w:t xml:space="preserve">. </w:t>
      </w:r>
      <w:r w:rsidR="000B0047" w:rsidRPr="00CC64CD">
        <w:t>FDA regulations require standard IRB review</w:t>
      </w:r>
      <w:r w:rsidR="00840764" w:rsidRPr="00CC64CD">
        <w:t>, even though clinical use is not considered a research activity.</w:t>
      </w:r>
      <w:r w:rsidR="000B0047" w:rsidRPr="00CC64CD">
        <w:t xml:space="preserve"> </w:t>
      </w:r>
      <w:r w:rsidR="000001BC" w:rsidRPr="00CC64CD">
        <w:t>The IRB must be constituted and act in accord with the FDA regulations governing IRB</w:t>
      </w:r>
      <w:r w:rsidR="0019167E" w:rsidRPr="00CC64CD">
        <w:t>s</w:t>
      </w:r>
      <w:r w:rsidRPr="00CC64CD">
        <w:t>, even though this is clinical care and not research</w:t>
      </w:r>
      <w:r w:rsidR="000001BC" w:rsidRPr="00CC64CD">
        <w:t xml:space="preserve"> (21 CFR 56; see </w:t>
      </w:r>
      <w:r w:rsidR="000001BC" w:rsidRPr="003115A0">
        <w:rPr>
          <w:b/>
        </w:rPr>
        <w:t>SOP IRB Review</w:t>
      </w:r>
      <w:r w:rsidR="000001BC" w:rsidRPr="00CC64CD">
        <w:rPr>
          <w:b/>
        </w:rPr>
        <w:t xml:space="preserve"> </w:t>
      </w:r>
      <w:r w:rsidR="000001BC" w:rsidRPr="00CC64CD">
        <w:t xml:space="preserve">and </w:t>
      </w:r>
      <w:r w:rsidR="003115A0">
        <w:rPr>
          <w:b/>
        </w:rPr>
        <w:t>WORKSHEET</w:t>
      </w:r>
      <w:r w:rsidR="003115A0" w:rsidRPr="003115A0">
        <w:rPr>
          <w:b/>
        </w:rPr>
        <w:t xml:space="preserve"> </w:t>
      </w:r>
      <w:r w:rsidR="000001BC" w:rsidRPr="003115A0">
        <w:rPr>
          <w:b/>
        </w:rPr>
        <w:t xml:space="preserve">IRB </w:t>
      </w:r>
      <w:r w:rsidR="00833400">
        <w:rPr>
          <w:b/>
        </w:rPr>
        <w:t>Review Outcomes</w:t>
      </w:r>
      <w:r w:rsidR="000001BC" w:rsidRPr="00CC64CD">
        <w:t>).</w:t>
      </w:r>
    </w:p>
    <w:p w14:paraId="53C1EA3F" w14:textId="77777777" w:rsidR="00380E8E" w:rsidRPr="00CC64CD" w:rsidRDefault="00380E8E" w:rsidP="00380E8E">
      <w:pPr>
        <w:pStyle w:val="Heading4"/>
      </w:pPr>
      <w:r w:rsidRPr="00CC64CD">
        <w:t>Note that if safety and effectiveness data are being collected, the use is considered research rather than clinical care.</w:t>
      </w:r>
    </w:p>
    <w:p w14:paraId="53C1EA40" w14:textId="2D686FCC" w:rsidR="000001BC" w:rsidRPr="00CC64CD" w:rsidRDefault="0020408E" w:rsidP="000001BC">
      <w:pPr>
        <w:pStyle w:val="Heading3"/>
      </w:pPr>
      <w:r w:rsidRPr="00CC64CD">
        <w:rPr>
          <w:u w:val="single"/>
        </w:rPr>
        <w:lastRenderedPageBreak/>
        <w:t>Full convened review</w:t>
      </w:r>
      <w:r w:rsidR="00682D8D">
        <w:t>.</w:t>
      </w:r>
      <w:r w:rsidRPr="00CC64CD">
        <w:t xml:space="preserve"> </w:t>
      </w:r>
      <w:r w:rsidR="000001BC" w:rsidRPr="00CC64CD">
        <w:t>The FDA requires the initial review and approval to be condu</w:t>
      </w:r>
      <w:r w:rsidR="00F95100">
        <w:t>cted by the full convened IRB.</w:t>
      </w:r>
    </w:p>
    <w:p w14:paraId="53C1EA41" w14:textId="1A95A09B" w:rsidR="0020408E" w:rsidRDefault="0020408E" w:rsidP="000001BC">
      <w:pPr>
        <w:pStyle w:val="Heading3"/>
      </w:pPr>
      <w:r>
        <w:rPr>
          <w:u w:val="single"/>
        </w:rPr>
        <w:t>What is reviewed</w:t>
      </w:r>
      <w:r w:rsidRPr="0020408E">
        <w:t>.</w:t>
      </w:r>
      <w:r w:rsidR="00C325E2">
        <w:t xml:space="preserve"> </w:t>
      </w:r>
      <w:r>
        <w:t xml:space="preserve">It is UW IRB policy to require the physician to provide the following </w:t>
      </w:r>
      <w:r w:rsidR="00480306">
        <w:t>m</w:t>
      </w:r>
      <w:r w:rsidR="00682D8D">
        <w:t>aterials for the IRB to review.</w:t>
      </w:r>
      <w:r w:rsidR="00480306">
        <w:t xml:space="preserve"> Other items commonly included with an IRB application are not required (e.g., HIPAA authorization form).</w:t>
      </w:r>
    </w:p>
    <w:p w14:paraId="53C1EA42" w14:textId="04485AF4" w:rsidR="0020408E" w:rsidRDefault="0020408E" w:rsidP="0020408E">
      <w:pPr>
        <w:pStyle w:val="Heading4"/>
      </w:pPr>
      <w:proofErr w:type="gramStart"/>
      <w:r>
        <w:t>A standard IRB application form,</w:t>
      </w:r>
      <w:proofErr w:type="gramEnd"/>
      <w:r>
        <w:t xml:space="preserve"> completed as applicable for the clinical care situations</w:t>
      </w:r>
      <w:r w:rsidR="00F95100">
        <w:t xml:space="preserve">. </w:t>
      </w:r>
      <w:r w:rsidR="00757BCF">
        <w:t xml:space="preserve">This should include a description of how the physician proposes to use the device, including a description of any screening procedures, the HUD procedure, and any patient follow-up visits, tests, or procedures, as well as which physicians may use the device. </w:t>
      </w:r>
    </w:p>
    <w:p w14:paraId="53C1EA43" w14:textId="77777777" w:rsidR="0020408E" w:rsidRPr="00CC64CD" w:rsidRDefault="0020408E" w:rsidP="00480306">
      <w:pPr>
        <w:pStyle w:val="Heading4"/>
      </w:pPr>
      <w:r>
        <w:t xml:space="preserve">The </w:t>
      </w:r>
      <w:r w:rsidR="00DD66B6">
        <w:t>D</w:t>
      </w:r>
      <w:r>
        <w:t>evice Supplement to the applicati</w:t>
      </w:r>
      <w:r w:rsidRPr="00CC64CD">
        <w:t>on</w:t>
      </w:r>
      <w:r w:rsidR="0042135E">
        <w:t>.</w:t>
      </w:r>
    </w:p>
    <w:p w14:paraId="53C1EA44" w14:textId="77777777" w:rsidR="0020408E" w:rsidRPr="00CC64CD" w:rsidRDefault="0020408E" w:rsidP="0020408E">
      <w:pPr>
        <w:pStyle w:val="Heading4"/>
      </w:pPr>
      <w:r w:rsidRPr="00CC64CD">
        <w:t>The consent form that will be used with the patients</w:t>
      </w:r>
      <w:r w:rsidR="0042135E">
        <w:t>.</w:t>
      </w:r>
    </w:p>
    <w:p w14:paraId="53C1EA45" w14:textId="77777777" w:rsidR="0020408E" w:rsidRPr="00CC64CD" w:rsidRDefault="00757BCF" w:rsidP="0020408E">
      <w:pPr>
        <w:pStyle w:val="Heading4"/>
      </w:pPr>
      <w:r w:rsidRPr="00CC64CD">
        <w:t xml:space="preserve">Copy of the HDE approval </w:t>
      </w:r>
      <w:r w:rsidR="00DD66B6" w:rsidRPr="00CC64CD">
        <w:t>document</w:t>
      </w:r>
      <w:r w:rsidRPr="00CC64CD">
        <w:t xml:space="preserve"> from the FDA</w:t>
      </w:r>
      <w:r w:rsidR="0042135E">
        <w:t>.</w:t>
      </w:r>
    </w:p>
    <w:p w14:paraId="53C1EA46" w14:textId="77777777" w:rsidR="00757BCF" w:rsidRPr="00CC64CD" w:rsidRDefault="00757BCF" w:rsidP="0020408E">
      <w:pPr>
        <w:pStyle w:val="Heading4"/>
      </w:pPr>
      <w:r w:rsidRPr="00CC64CD">
        <w:t>The product labeling information</w:t>
      </w:r>
      <w:r w:rsidR="0042135E">
        <w:t>.</w:t>
      </w:r>
      <w:r w:rsidRPr="00CC64CD">
        <w:t xml:space="preserve"> </w:t>
      </w:r>
    </w:p>
    <w:p w14:paraId="53C1EA47" w14:textId="77777777" w:rsidR="00757BCF" w:rsidRPr="00CC64CD" w:rsidRDefault="00757BCF" w:rsidP="00757BCF">
      <w:pPr>
        <w:pStyle w:val="Heading4"/>
      </w:pPr>
      <w:r w:rsidRPr="00CC64CD">
        <w:t>The Patient Information Sheet/Packet, if there is one</w:t>
      </w:r>
      <w:r w:rsidR="0042135E">
        <w:t>.</w:t>
      </w:r>
    </w:p>
    <w:p w14:paraId="53C1EA48" w14:textId="77777777" w:rsidR="00757BCF" w:rsidRPr="00CC64CD" w:rsidRDefault="009C398C" w:rsidP="0020408E">
      <w:pPr>
        <w:pStyle w:val="Heading4"/>
      </w:pPr>
      <w:r w:rsidRPr="00CC64CD">
        <w:t>Photo or drawing of the device, and any description information</w:t>
      </w:r>
      <w:r w:rsidR="0042135E">
        <w:t>.</w:t>
      </w:r>
    </w:p>
    <w:p w14:paraId="53C1EA49" w14:textId="1B4F11D3" w:rsidR="007E3BC7" w:rsidRPr="00CC64CD" w:rsidRDefault="0020408E" w:rsidP="00A77E73">
      <w:pPr>
        <w:pStyle w:val="Heading3"/>
      </w:pPr>
      <w:r w:rsidRPr="00CC64CD">
        <w:rPr>
          <w:u w:val="single"/>
        </w:rPr>
        <w:t>Criteria for approval</w:t>
      </w:r>
      <w:r w:rsidR="00682D8D">
        <w:t xml:space="preserve">. </w:t>
      </w:r>
      <w:r w:rsidR="000001BC" w:rsidRPr="00CC64CD">
        <w:t xml:space="preserve">The FDA recommends (reference </w:t>
      </w:r>
      <w:r w:rsidR="00DD66B6" w:rsidRPr="00CC64CD">
        <w:t>9</w:t>
      </w:r>
      <w:r w:rsidR="0019167E" w:rsidRPr="00CC64CD">
        <w:t>.5</w:t>
      </w:r>
      <w:r w:rsidR="000001BC" w:rsidRPr="00CC64CD">
        <w:t>) that an IRB apply the review criteria</w:t>
      </w:r>
      <w:r w:rsidR="00DD66B6" w:rsidRPr="00CC64CD">
        <w:t xml:space="preserve"> described </w:t>
      </w:r>
      <w:r w:rsidR="000001BC" w:rsidRPr="00CC64CD">
        <w:t xml:space="preserve">at 21 CFR 56.111 and elsewhere in </w:t>
      </w:r>
      <w:r w:rsidR="00DD66B6" w:rsidRPr="00CC64CD">
        <w:t xml:space="preserve">FDA regulations </w:t>
      </w:r>
      <w:r w:rsidR="00682D8D">
        <w:t xml:space="preserve">Part 56 “as much as possible”. </w:t>
      </w:r>
      <w:r w:rsidR="000001BC" w:rsidRPr="00CC64CD">
        <w:t>The UW IRB’s interpretation of this recommendation is indicated below</w:t>
      </w:r>
      <w:r w:rsidR="0019167E" w:rsidRPr="00CC64CD">
        <w:t xml:space="preserve"> </w:t>
      </w:r>
      <w:r w:rsidR="00A77E73" w:rsidRPr="00CC64CD">
        <w:t xml:space="preserve">in </w:t>
      </w:r>
      <w:r w:rsidR="0042135E">
        <w:t>S</w:t>
      </w:r>
      <w:r w:rsidR="00DD66B6" w:rsidRPr="00CC64CD">
        <w:t xml:space="preserve">ection 10 </w:t>
      </w:r>
      <w:r w:rsidR="0019167E" w:rsidRPr="00CC64CD">
        <w:t xml:space="preserve">by re-printing the criteria and striking through the specific sections that the UW does not apply. </w:t>
      </w:r>
      <w:r w:rsidR="006323D7" w:rsidRPr="00CC64CD">
        <w:t xml:space="preserve">In addition, the UW IRB must be satisfied that the use of the HUD is for clinical care </w:t>
      </w:r>
      <w:proofErr w:type="gramStart"/>
      <w:r w:rsidR="006323D7" w:rsidRPr="00CC64CD">
        <w:t>only, and</w:t>
      </w:r>
      <w:proofErr w:type="gramEnd"/>
      <w:r w:rsidR="006323D7" w:rsidRPr="00CC64CD">
        <w:t xml:space="preserve"> is not being used for research purposes. </w:t>
      </w:r>
    </w:p>
    <w:p w14:paraId="53C1EA4A" w14:textId="31FDEA3B" w:rsidR="00E938DF" w:rsidRDefault="0020408E" w:rsidP="0020408E">
      <w:pPr>
        <w:pStyle w:val="Heading3"/>
      </w:pPr>
      <w:r w:rsidRPr="00CC64CD">
        <w:rPr>
          <w:u w:val="single"/>
        </w:rPr>
        <w:t>What is approved</w:t>
      </w:r>
      <w:r w:rsidR="00682D8D">
        <w:t xml:space="preserve">. </w:t>
      </w:r>
      <w:r w:rsidR="006C0719" w:rsidRPr="00CC64CD">
        <w:t>The IRB is not required to review and approve</w:t>
      </w:r>
      <w:r w:rsidR="00840764" w:rsidRPr="00CC64CD">
        <w:t xml:space="preserve"> each</w:t>
      </w:r>
      <w:r w:rsidR="006C0719" w:rsidRPr="00CC64CD">
        <w:t xml:space="preserve"> individu</w:t>
      </w:r>
      <w:r w:rsidR="006C0719">
        <w:t>al use of a HUD, but rather the IRB may approve use of the device as it sees fit</w:t>
      </w:r>
      <w:r>
        <w:t xml:space="preserve"> as long as the approval period is no longer than one year long</w:t>
      </w:r>
      <w:r w:rsidR="00682D8D">
        <w:t xml:space="preserve">. </w:t>
      </w:r>
      <w:r w:rsidR="00757BCF">
        <w:t>For example, the FDA states that the IRB may specify limitations on the use of the device based on:</w:t>
      </w:r>
    </w:p>
    <w:p w14:paraId="53C1EA4B" w14:textId="77777777" w:rsidR="00757BCF" w:rsidRDefault="00757BCF" w:rsidP="00757BCF">
      <w:pPr>
        <w:pStyle w:val="Heading4"/>
      </w:pPr>
      <w:r>
        <w:t>Measures of disease progression</w:t>
      </w:r>
      <w:r w:rsidR="0042135E">
        <w:t>.</w:t>
      </w:r>
    </w:p>
    <w:p w14:paraId="53C1EA4C" w14:textId="77777777" w:rsidR="00757BCF" w:rsidRDefault="00757BCF" w:rsidP="00757BCF">
      <w:pPr>
        <w:pStyle w:val="Heading4"/>
      </w:pPr>
      <w:r>
        <w:t>Prior use and failure of any alternative treatments</w:t>
      </w:r>
      <w:r w:rsidR="0042135E">
        <w:t>.</w:t>
      </w:r>
    </w:p>
    <w:p w14:paraId="53C1EA4D" w14:textId="77777777" w:rsidR="00757BCF" w:rsidRDefault="00757BCF" w:rsidP="00757BCF">
      <w:pPr>
        <w:pStyle w:val="Heading4"/>
      </w:pPr>
      <w:r>
        <w:t>Reporting to the IRB, the IRB Chair, or other appropriate IRB member</w:t>
      </w:r>
      <w:r w:rsidR="0042135E">
        <w:t>.</w:t>
      </w:r>
    </w:p>
    <w:p w14:paraId="53C1EA4E" w14:textId="77777777" w:rsidR="00757BCF" w:rsidRDefault="00757BCF" w:rsidP="00757BCF">
      <w:pPr>
        <w:pStyle w:val="Heading4"/>
      </w:pPr>
      <w:r>
        <w:t>The outcome of follow-up precautions and evaluations</w:t>
      </w:r>
      <w:r w:rsidR="0042135E">
        <w:t>.</w:t>
      </w:r>
    </w:p>
    <w:p w14:paraId="53C1EA4F" w14:textId="77777777" w:rsidR="00757BCF" w:rsidRPr="0020408E" w:rsidRDefault="00757BCF" w:rsidP="00757BCF">
      <w:pPr>
        <w:pStyle w:val="Heading4"/>
      </w:pPr>
      <w:r>
        <w:t>Any other criteria it determines are appropriate.</w:t>
      </w:r>
    </w:p>
    <w:p w14:paraId="53C1EA50" w14:textId="10031F6D" w:rsidR="007F12F4" w:rsidRPr="007F12F4" w:rsidRDefault="007F12F4" w:rsidP="00CA68A8">
      <w:pPr>
        <w:pStyle w:val="Heading3"/>
      </w:pPr>
      <w:r w:rsidRPr="007F12F4">
        <w:rPr>
          <w:u w:val="single"/>
        </w:rPr>
        <w:t>Financial charges to the patient</w:t>
      </w:r>
      <w:r w:rsidR="00682D8D">
        <w:t xml:space="preserve">. </w:t>
      </w:r>
      <w:r>
        <w:t>The FDA allows the patient to be charged for the H</w:t>
      </w:r>
      <w:r w:rsidR="00F95100">
        <w:t xml:space="preserve">UD within certain constraints. </w:t>
      </w:r>
      <w:r>
        <w:t xml:space="preserve">The FDA monitors the HDE holder on this </w:t>
      </w:r>
      <w:r w:rsidR="00F95100">
        <w:t xml:space="preserve">issue. </w:t>
      </w:r>
      <w:r>
        <w:t xml:space="preserve">The IRB neither reviews any charges nor requests justification for them. </w:t>
      </w:r>
    </w:p>
    <w:p w14:paraId="53C1EA51" w14:textId="41824CA4" w:rsidR="00BD7152" w:rsidRDefault="0020408E" w:rsidP="00CA68A8">
      <w:pPr>
        <w:pStyle w:val="Heading3"/>
      </w:pPr>
      <w:r w:rsidRPr="0020408E">
        <w:rPr>
          <w:u w:val="single"/>
        </w:rPr>
        <w:t>IRB approval period</w:t>
      </w:r>
      <w:r w:rsidR="00682D8D">
        <w:t>.</w:t>
      </w:r>
      <w:r>
        <w:t xml:space="preserve"> </w:t>
      </w:r>
      <w:r w:rsidR="006C0719">
        <w:t>Identification of the IRB approval period follows the same considerations a</w:t>
      </w:r>
      <w:r w:rsidR="006C0719" w:rsidRPr="006323D7">
        <w:t>nd requirements as a</w:t>
      </w:r>
      <w:r w:rsidRPr="006323D7">
        <w:t>n</w:t>
      </w:r>
      <w:r w:rsidR="006C0719" w:rsidRPr="006323D7">
        <w:t xml:space="preserve"> IRB review</w:t>
      </w:r>
      <w:r w:rsidRPr="006323D7">
        <w:t xml:space="preserve"> of research</w:t>
      </w:r>
      <w:r w:rsidR="006C0719" w:rsidRPr="006323D7">
        <w:t xml:space="preserve">. </w:t>
      </w:r>
      <w:r w:rsidR="00CA68A8" w:rsidRPr="006323D7">
        <w:t>That is, the period may not exce</w:t>
      </w:r>
      <w:r w:rsidR="00F95100">
        <w:t>ed one year.</w:t>
      </w:r>
    </w:p>
    <w:p w14:paraId="3EC311CF" w14:textId="5C8F110F" w:rsidR="00196A51" w:rsidRPr="008777AC" w:rsidRDefault="00196A51" w:rsidP="00833400">
      <w:pPr>
        <w:tabs>
          <w:tab w:val="left" w:pos="907"/>
        </w:tabs>
      </w:pPr>
      <w:r>
        <w:tab/>
      </w:r>
    </w:p>
    <w:p w14:paraId="53C1EA52" w14:textId="77777777" w:rsidR="003723DE" w:rsidRPr="00CC64CD" w:rsidRDefault="00BD7152" w:rsidP="007F12F4">
      <w:pPr>
        <w:pStyle w:val="Heading4"/>
      </w:pPr>
      <w:r w:rsidRPr="006323D7">
        <w:lastRenderedPageBreak/>
        <w:t>If the risk of the device warrants it, t</w:t>
      </w:r>
      <w:r w:rsidR="00CA68A8" w:rsidRPr="006323D7">
        <w:t>he IRB may approve shorter approval periods, or it may approve th</w:t>
      </w:r>
      <w:r w:rsidR="00CA68A8" w:rsidRPr="00CC64CD">
        <w:t>e HUD for a specific number of patients and require a summary report before approving the use in additional patients (as long as the review occurs within one year of the initial approval).</w:t>
      </w:r>
    </w:p>
    <w:p w14:paraId="53C1EA53" w14:textId="41D8D490" w:rsidR="00380E8E" w:rsidRPr="00CC64CD" w:rsidRDefault="00380E8E" w:rsidP="00380E8E">
      <w:pPr>
        <w:pStyle w:val="Heading3"/>
      </w:pPr>
      <w:r w:rsidRPr="00CC64CD">
        <w:rPr>
          <w:u w:val="single"/>
        </w:rPr>
        <w:t>Number of patients</w:t>
      </w:r>
      <w:r w:rsidR="00682D8D">
        <w:t xml:space="preserve">. </w:t>
      </w:r>
      <w:r w:rsidRPr="00CC64CD">
        <w:t>It is the responsibility of the HDE holder, not the IRB, to monitor how many HUD devices are dis</w:t>
      </w:r>
      <w:r w:rsidR="00682D8D">
        <w:t xml:space="preserve">tributed each year in the U.S. </w:t>
      </w:r>
      <w:r w:rsidRPr="00CC64CD">
        <w:t>“Over-enrollment” of the number of HUDs used clinically at the UW is not defined by the UW as noncompliance.</w:t>
      </w:r>
    </w:p>
    <w:p w14:paraId="53C1EA54" w14:textId="77777777" w:rsidR="00414FF1" w:rsidRPr="00CC64CD" w:rsidRDefault="00313E29" w:rsidP="00313E29">
      <w:pPr>
        <w:pStyle w:val="Heading2"/>
        <w:rPr>
          <w:u w:val="single"/>
        </w:rPr>
      </w:pPr>
      <w:r w:rsidRPr="00CC64CD">
        <w:rPr>
          <w:u w:val="single"/>
        </w:rPr>
        <w:t>Consent requirement</w:t>
      </w:r>
    </w:p>
    <w:p w14:paraId="53C1EA55" w14:textId="005CB235" w:rsidR="00D42344" w:rsidRDefault="00414FF1" w:rsidP="00D42344">
      <w:pPr>
        <w:pStyle w:val="Heading3"/>
      </w:pPr>
      <w:r w:rsidRPr="00313E29">
        <w:rPr>
          <w:u w:val="single"/>
        </w:rPr>
        <w:t>Applicable regulations</w:t>
      </w:r>
      <w:r w:rsidR="00682D8D">
        <w:t xml:space="preserve">. </w:t>
      </w:r>
      <w:r w:rsidR="00D42344" w:rsidRPr="00313E29">
        <w:t xml:space="preserve">The FDA and its HDE regulations do not </w:t>
      </w:r>
      <w:r w:rsidR="00D42344" w:rsidRPr="00313E29">
        <w:rPr>
          <w:u w:val="single"/>
        </w:rPr>
        <w:t>require</w:t>
      </w:r>
      <w:r w:rsidR="00D42344" w:rsidRPr="00313E29">
        <w:t xml:space="preserve"> informed consent as defin</w:t>
      </w:r>
      <w:r w:rsidR="00D42344">
        <w:t xml:space="preserve">ed by the FDA’s research </w:t>
      </w:r>
      <w:r w:rsidR="00117208">
        <w:t>regulations (</w:t>
      </w:r>
      <w:r>
        <w:t xml:space="preserve">i.e., 21 CFR 50; </w:t>
      </w:r>
      <w:r w:rsidR="00117208" w:rsidRPr="00843CE9">
        <w:t xml:space="preserve">see reference </w:t>
      </w:r>
      <w:r w:rsidR="00843CE9" w:rsidRPr="00843CE9">
        <w:t>7.5</w:t>
      </w:r>
      <w:r w:rsidR="00682D8D">
        <w:t>)</w:t>
      </w:r>
      <w:r w:rsidR="00F95100">
        <w:t xml:space="preserve">. </w:t>
      </w:r>
      <w:r w:rsidR="00D42344" w:rsidRPr="00843CE9">
        <w:t>Be</w:t>
      </w:r>
      <w:r w:rsidR="00D42344">
        <w:t xml:space="preserve">cause the HDE means that the device is approved for marketing, the use of the HUD does not constitute research and therefore does not require a research consent from study subjects. </w:t>
      </w:r>
    </w:p>
    <w:p w14:paraId="53C1EA56" w14:textId="1C2330EC" w:rsidR="00313E29" w:rsidRDefault="00313E29" w:rsidP="00313E29">
      <w:pPr>
        <w:pStyle w:val="Heading3"/>
      </w:pPr>
      <w:r w:rsidRPr="00313E29">
        <w:rPr>
          <w:u w:val="single"/>
        </w:rPr>
        <w:t>UW policy</w:t>
      </w:r>
      <w:r w:rsidR="00682D8D">
        <w:t>.</w:t>
      </w:r>
      <w:r>
        <w:t xml:space="preserve"> </w:t>
      </w:r>
      <w:r w:rsidR="00C23DD8">
        <w:t>However, i</w:t>
      </w:r>
      <w:r>
        <w:t>t is UW policy to require documented consent from patients prior to the use of a HUD</w:t>
      </w:r>
      <w:r w:rsidR="006B3419">
        <w:t>, whenever possible</w:t>
      </w:r>
      <w:r w:rsidR="00F95100">
        <w:t>.</w:t>
      </w:r>
    </w:p>
    <w:p w14:paraId="53C1EA57" w14:textId="77777777" w:rsidR="00313E29" w:rsidRDefault="00313E29" w:rsidP="00E379D2">
      <w:pPr>
        <w:pStyle w:val="Heading4"/>
      </w:pPr>
      <w:r>
        <w:t>The physician should obtain the HUD consent using the following materials provided to the patient:</w:t>
      </w:r>
    </w:p>
    <w:p w14:paraId="53C1EA58" w14:textId="2C698820" w:rsidR="00D42344" w:rsidRDefault="00313E29" w:rsidP="00313E29">
      <w:pPr>
        <w:pStyle w:val="Heading5"/>
      </w:pPr>
      <w:r>
        <w:t>Any Patient Information Pack</w:t>
      </w:r>
      <w:r w:rsidR="00F95100">
        <w:t xml:space="preserve">et prepared by the HDE holder. </w:t>
      </w:r>
      <w:r>
        <w:t>(Most HDE holders develop patient information packets that generally contain a discussion of the potential risks and benefits of the HUD and any procedures associated with its use</w:t>
      </w:r>
      <w:r w:rsidR="00F95100">
        <w:t>)</w:t>
      </w:r>
      <w:r w:rsidR="00E91238">
        <w:t>.</w:t>
      </w:r>
    </w:p>
    <w:p w14:paraId="53C1EA59" w14:textId="77777777" w:rsidR="00E379D2" w:rsidRDefault="00E379D2" w:rsidP="00313E29">
      <w:pPr>
        <w:pStyle w:val="Heading5"/>
      </w:pPr>
      <w:r>
        <w:t>A consent form, with the following information:</w:t>
      </w:r>
    </w:p>
    <w:p w14:paraId="53C1EA5A" w14:textId="77777777" w:rsidR="00E379D2" w:rsidRDefault="00E379D2" w:rsidP="00E379D2">
      <w:pPr>
        <w:pStyle w:val="Heading6"/>
      </w:pPr>
      <w:r>
        <w:t>An explanation that the HUD is designed to diagnose or treat the disease or condition described in the HDE labeling</w:t>
      </w:r>
      <w:r w:rsidR="00E91238">
        <w:t>.</w:t>
      </w:r>
    </w:p>
    <w:p w14:paraId="53C1EA5B" w14:textId="77777777" w:rsidR="00E379D2" w:rsidRDefault="00E379D2" w:rsidP="00E379D2">
      <w:pPr>
        <w:pStyle w:val="Heading6"/>
      </w:pPr>
      <w:r>
        <w:t>No comparable device is available to treat the disease or condition</w:t>
      </w:r>
      <w:r w:rsidR="00E91238">
        <w:t>.</w:t>
      </w:r>
    </w:p>
    <w:p w14:paraId="53C1EA5C" w14:textId="77777777" w:rsidR="00E379D2" w:rsidRDefault="00E379D2" w:rsidP="00E379D2">
      <w:pPr>
        <w:pStyle w:val="Heading6"/>
      </w:pPr>
      <w:r>
        <w:t>A description of the use of the HUD</w:t>
      </w:r>
      <w:r w:rsidR="00E91238">
        <w:t>.</w:t>
      </w:r>
    </w:p>
    <w:p w14:paraId="53C1EA5D" w14:textId="77777777" w:rsidR="00E379D2" w:rsidRDefault="00E379D2" w:rsidP="00E379D2">
      <w:pPr>
        <w:pStyle w:val="Heading6"/>
      </w:pPr>
      <w:r>
        <w:t>All know</w:t>
      </w:r>
      <w:r w:rsidR="00E91238">
        <w:t>n</w:t>
      </w:r>
      <w:r>
        <w:t xml:space="preserve"> risks or discomforts</w:t>
      </w:r>
      <w:r w:rsidR="00E91238">
        <w:t>.</w:t>
      </w:r>
    </w:p>
    <w:p w14:paraId="53C1EA5E" w14:textId="77777777" w:rsidR="00E379D2" w:rsidRDefault="00E379D2" w:rsidP="00E379D2">
      <w:pPr>
        <w:pStyle w:val="Heading6"/>
      </w:pPr>
      <w:r>
        <w:t>An explanation of the postulated mechanism of action of the HUD in relation to the disease or condition</w:t>
      </w:r>
      <w:r w:rsidR="00E91238">
        <w:t>.</w:t>
      </w:r>
    </w:p>
    <w:p w14:paraId="53C1EA5F" w14:textId="77777777" w:rsidR="00E379D2" w:rsidRDefault="00E379D2" w:rsidP="00E379D2">
      <w:pPr>
        <w:pStyle w:val="Heading6"/>
      </w:pPr>
      <w:r>
        <w:t>A sentence indicating that although the device is authorized by Federal law, the effectiveness of the device for this use has not been demonstrated</w:t>
      </w:r>
      <w:r w:rsidR="00E91238">
        <w:t>.</w:t>
      </w:r>
    </w:p>
    <w:p w14:paraId="53C1EA60" w14:textId="7A6516C2" w:rsidR="006B3419" w:rsidRDefault="006B3419" w:rsidP="006B3419">
      <w:pPr>
        <w:pStyle w:val="Heading4"/>
      </w:pPr>
      <w:r>
        <w:t xml:space="preserve">The required elements for a research consent are not required for a HUD </w:t>
      </w:r>
      <w:r w:rsidR="00F95100">
        <w:t>consent.</w:t>
      </w:r>
    </w:p>
    <w:p w14:paraId="53C1EA61" w14:textId="77777777" w:rsidR="00E379D2" w:rsidRDefault="00E379D2" w:rsidP="006B3419">
      <w:pPr>
        <w:pStyle w:val="Heading4"/>
      </w:pPr>
      <w:r>
        <w:t>The criteria the IRB uses to assess the consent form and process are:</w:t>
      </w:r>
    </w:p>
    <w:p w14:paraId="53C1EA62" w14:textId="77777777" w:rsidR="00E379D2" w:rsidRDefault="00E379D2" w:rsidP="00E379D2">
      <w:pPr>
        <w:pStyle w:val="Heading5"/>
      </w:pPr>
      <w:r>
        <w:lastRenderedPageBreak/>
        <w:t>Sufficient information is provided</w:t>
      </w:r>
      <w:r w:rsidR="00E91238">
        <w:t>.</w:t>
      </w:r>
    </w:p>
    <w:p w14:paraId="53C1EA63" w14:textId="77777777" w:rsidR="00E379D2" w:rsidRDefault="00E379D2" w:rsidP="00E379D2">
      <w:pPr>
        <w:pStyle w:val="Heading5"/>
      </w:pPr>
      <w:r>
        <w:t>Patients or their representatives will be given sufficient opportunity to consider whether or not to receive/use the HUD</w:t>
      </w:r>
      <w:r w:rsidR="00E91238">
        <w:t>.</w:t>
      </w:r>
    </w:p>
    <w:p w14:paraId="53C1EA64" w14:textId="77777777" w:rsidR="00E379D2" w:rsidRDefault="00E379D2" w:rsidP="00E379D2">
      <w:pPr>
        <w:pStyle w:val="Heading5"/>
      </w:pPr>
      <w:r>
        <w:t xml:space="preserve">Information regarding the HUD will be communicated in language understandable to the patient. </w:t>
      </w:r>
    </w:p>
    <w:p w14:paraId="53C1EA65" w14:textId="5E80C052" w:rsidR="00D42344" w:rsidRDefault="009C398C" w:rsidP="00ED7422">
      <w:pPr>
        <w:pStyle w:val="Heading2"/>
      </w:pPr>
      <w:r w:rsidRPr="009C398C">
        <w:rPr>
          <w:u w:val="single"/>
        </w:rPr>
        <w:t>Device risk determination</w:t>
      </w:r>
      <w:r w:rsidR="00682D8D">
        <w:t xml:space="preserve">. </w:t>
      </w:r>
      <w:r>
        <w:t>Because the use of a HUD is not research, the IRB is not required to determine whether the device is “significant risk” or “non-signif</w:t>
      </w:r>
      <w:r w:rsidR="00F95100">
        <w:t>icant risk”.</w:t>
      </w:r>
    </w:p>
    <w:p w14:paraId="53C1EA66" w14:textId="7481EC19" w:rsidR="00843CE9" w:rsidRPr="00CC64CD" w:rsidRDefault="009C398C" w:rsidP="00ED7422">
      <w:pPr>
        <w:pStyle w:val="Heading2"/>
      </w:pPr>
      <w:r w:rsidRPr="00843CE9">
        <w:rPr>
          <w:u w:val="single"/>
        </w:rPr>
        <w:t>HIPAA authorization</w:t>
      </w:r>
      <w:r w:rsidR="00682D8D">
        <w:t>.</w:t>
      </w:r>
      <w:r>
        <w:t xml:space="preserve"> Because the use of a HUD is not research, the UW IRB </w:t>
      </w:r>
      <w:r w:rsidRPr="00843CE9">
        <w:rPr>
          <w:b/>
        </w:rPr>
        <w:t>research</w:t>
      </w:r>
      <w:r>
        <w:t xml:space="preserve"> HIPAA Authorization form is not </w:t>
      </w:r>
      <w:r w:rsidRPr="00CC64CD">
        <w:t>r</w:t>
      </w:r>
      <w:r w:rsidR="00682D8D">
        <w:t>equired and should not be used.</w:t>
      </w:r>
      <w:r w:rsidRPr="00CC64CD">
        <w:t xml:space="preserve"> </w:t>
      </w:r>
      <w:r w:rsidR="00843CE9" w:rsidRPr="00CC64CD">
        <w:t xml:space="preserve">The UW IRB expects that appropriate HIPAA notifications and </w:t>
      </w:r>
      <w:r w:rsidR="00840764" w:rsidRPr="00CC64CD">
        <w:t xml:space="preserve">clinical </w:t>
      </w:r>
      <w:r w:rsidR="00843CE9" w:rsidRPr="00CC64CD">
        <w:t xml:space="preserve">authorizations will have already been obtained through the standard UW Medicine process used with all patients. </w:t>
      </w:r>
    </w:p>
    <w:p w14:paraId="53C1EA68" w14:textId="72C7276D" w:rsidR="007F12F4" w:rsidRDefault="007F12F4" w:rsidP="00ED7422">
      <w:pPr>
        <w:pStyle w:val="Heading2"/>
      </w:pPr>
      <w:r w:rsidRPr="00CC64CD">
        <w:rPr>
          <w:u w:val="single"/>
        </w:rPr>
        <w:t>Radiation Safety</w:t>
      </w:r>
      <w:r w:rsidR="00682D8D">
        <w:t>.</w:t>
      </w:r>
      <w:r w:rsidRPr="00CC64CD">
        <w:t xml:space="preserve"> Because the </w:t>
      </w:r>
      <w:r w:rsidR="00840764" w:rsidRPr="00CC64CD">
        <w:t xml:space="preserve">clinical </w:t>
      </w:r>
      <w:r w:rsidRPr="00CC64CD">
        <w:t xml:space="preserve">use of a HUD is not research, any use of procedures involving radiation exposure that is necessary in connection with the HUD does not require review and approval of the UW Radiation Safety Committee. </w:t>
      </w:r>
    </w:p>
    <w:p w14:paraId="5D4066E0" w14:textId="0C5EE01C" w:rsidR="00682D8D" w:rsidRPr="00CC64CD" w:rsidRDefault="00682D8D" w:rsidP="00ED7422">
      <w:pPr>
        <w:pStyle w:val="Heading2"/>
      </w:pPr>
      <w:r>
        <w:rPr>
          <w:u w:val="single"/>
        </w:rPr>
        <w:t>UW Medicine requirement</w:t>
      </w:r>
      <w:r w:rsidRPr="00682D8D">
        <w:t>.</w:t>
      </w:r>
      <w:r>
        <w:t xml:space="preserve"> HUDs cannot be used until UW Medicine has notified its Medicare Contractor of the intended use. This is necessary in order to obtain reimbursement for the use (and sometimes for the entire inpatient admission that was required in order to use the HUD). It is </w:t>
      </w:r>
      <w:r w:rsidR="00F95100">
        <w:t>t</w:t>
      </w:r>
      <w:r>
        <w:t>he physician’s responsibility to contact the UW Medicine Compliance or billing office for this purpose.</w:t>
      </w:r>
    </w:p>
    <w:p w14:paraId="53C1EA69" w14:textId="77777777" w:rsidR="00380E8E" w:rsidRPr="00CC64CD" w:rsidRDefault="00380E8E" w:rsidP="00ED7422">
      <w:pPr>
        <w:pStyle w:val="Heading2"/>
      </w:pPr>
      <w:r w:rsidRPr="00CC64CD">
        <w:rPr>
          <w:u w:val="single"/>
        </w:rPr>
        <w:t>Vulnerable population determinations</w:t>
      </w:r>
      <w:r w:rsidRPr="00CC64CD">
        <w:t xml:space="preserve">. Because the clinical use of a HUD is not research, the IRB is not required to make any regulatory determinations concerning the use of vulnerable populations. </w:t>
      </w:r>
    </w:p>
    <w:p w14:paraId="53C1EA6A" w14:textId="6F3CCA48" w:rsidR="00380E8E" w:rsidRPr="00CC64CD" w:rsidRDefault="00380E8E" w:rsidP="00ED7422">
      <w:pPr>
        <w:pStyle w:val="Heading2"/>
      </w:pPr>
      <w:r w:rsidRPr="00CC64CD">
        <w:rPr>
          <w:u w:val="single"/>
        </w:rPr>
        <w:t>Compensation for injury language</w:t>
      </w:r>
      <w:r w:rsidR="00682D8D">
        <w:t xml:space="preserve">. </w:t>
      </w:r>
      <w:r w:rsidRPr="00CC64CD">
        <w:t xml:space="preserve">The clinical use of a HUD is not covered by the UW compensation for injury program. </w:t>
      </w:r>
    </w:p>
    <w:p w14:paraId="53C1EA6B" w14:textId="40FF4865" w:rsidR="006C0719" w:rsidRDefault="006323D7" w:rsidP="006C0719">
      <w:pPr>
        <w:pStyle w:val="Heading2"/>
      </w:pPr>
      <w:r w:rsidRPr="006323D7">
        <w:rPr>
          <w:u w:val="single"/>
        </w:rPr>
        <w:t>Continuing review</w:t>
      </w:r>
      <w:r w:rsidR="00682D8D">
        <w:t xml:space="preserve">. </w:t>
      </w:r>
      <w:r w:rsidR="006C0719">
        <w:t>Continuing review must follow the procedures and requirements described by the FDA in its clinical investigation regulations (21 CFR 56), even though the use of a H</w:t>
      </w:r>
      <w:r w:rsidR="00682D8D">
        <w:t xml:space="preserve">UD is not considered research. </w:t>
      </w:r>
      <w:r w:rsidR="006C0719">
        <w:t xml:space="preserve">See </w:t>
      </w:r>
      <w:r w:rsidR="003115A0">
        <w:rPr>
          <w:b/>
        </w:rPr>
        <w:t>WORKSHEET Expedited Review</w:t>
      </w:r>
      <w:r w:rsidR="006C0719">
        <w:t xml:space="preserve">. </w:t>
      </w:r>
    </w:p>
    <w:p w14:paraId="53C1EA6C" w14:textId="1C89109A" w:rsidR="006C0719" w:rsidRDefault="00C47741" w:rsidP="00ED7422">
      <w:pPr>
        <w:pStyle w:val="Heading3"/>
      </w:pPr>
      <w:r>
        <w:t>It is UW policy that the IRB should decide as part of its initial review whether subsequent c</w:t>
      </w:r>
      <w:r w:rsidR="00BD7152">
        <w:t xml:space="preserve">ontinuing review may be conducted by the expedited review process (see </w:t>
      </w:r>
      <w:r w:rsidR="003115A0">
        <w:rPr>
          <w:b/>
        </w:rPr>
        <w:t>WORKSHEET</w:t>
      </w:r>
      <w:r w:rsidR="003115A0" w:rsidRPr="003115A0">
        <w:rPr>
          <w:b/>
        </w:rPr>
        <w:t xml:space="preserve"> </w:t>
      </w:r>
      <w:r w:rsidR="00BD7152" w:rsidRPr="003115A0">
        <w:rPr>
          <w:b/>
        </w:rPr>
        <w:t>Expedited Review</w:t>
      </w:r>
      <w:r w:rsidR="00BD7152">
        <w:t>), keeping in mind the requirement for at least one revie</w:t>
      </w:r>
      <w:r w:rsidR="00AC5594">
        <w:t>wer with appropriate expertise.</w:t>
      </w:r>
    </w:p>
    <w:p w14:paraId="53C1EA6D" w14:textId="3F2E4B63" w:rsidR="00022450" w:rsidRDefault="00022450" w:rsidP="00022450">
      <w:pPr>
        <w:pStyle w:val="Heading4"/>
      </w:pPr>
      <w:r>
        <w:t>The FDA believes that expedited review is appropria</w:t>
      </w:r>
      <w:r w:rsidRPr="00CC64CD">
        <w:t xml:space="preserve">te </w:t>
      </w:r>
      <w:r w:rsidR="00290B9C">
        <w:t xml:space="preserve">(but not required) </w:t>
      </w:r>
      <w:r w:rsidRPr="00CC64CD">
        <w:t xml:space="preserve">since the initial review would have been performed by the full IRB and the </w:t>
      </w:r>
      <w:r w:rsidR="00380E8E" w:rsidRPr="00CC64CD">
        <w:t xml:space="preserve">clinical </w:t>
      </w:r>
      <w:r w:rsidRPr="00CC64CD">
        <w:t>use of the HUD</w:t>
      </w:r>
      <w:r w:rsidR="00AC5594">
        <w:t xml:space="preserve"> does not constitute research.</w:t>
      </w:r>
    </w:p>
    <w:p w14:paraId="345DAF5B" w14:textId="109E592E" w:rsidR="00290B9C" w:rsidRPr="00CC64CD" w:rsidRDefault="00290B9C" w:rsidP="00022450">
      <w:pPr>
        <w:pStyle w:val="Heading4"/>
      </w:pPr>
      <w:r>
        <w:t xml:space="preserve">The IRB may decide that subsequent continuing reviews of an HUD may occur by the expedited review process only if the HUD is being used solely for clinical purposes. </w:t>
      </w:r>
    </w:p>
    <w:p w14:paraId="53C1EA6E" w14:textId="04B471E3" w:rsidR="00E85D0C" w:rsidRDefault="00E85D0C" w:rsidP="00E85D0C">
      <w:pPr>
        <w:pStyle w:val="Heading2"/>
      </w:pPr>
      <w:r w:rsidRPr="0035581D">
        <w:rPr>
          <w:u w:val="single"/>
        </w:rPr>
        <w:lastRenderedPageBreak/>
        <w:t>Modification</w:t>
      </w:r>
      <w:r w:rsidR="00D42344" w:rsidRPr="0035581D">
        <w:rPr>
          <w:u w:val="single"/>
        </w:rPr>
        <w:t>s</w:t>
      </w:r>
      <w:r>
        <w:t>.</w:t>
      </w:r>
      <w:r w:rsidR="00682D8D">
        <w:t xml:space="preserve"> </w:t>
      </w:r>
      <w:r w:rsidR="001C1CC3">
        <w:t xml:space="preserve">FDA regulations do not require that changes in the </w:t>
      </w:r>
      <w:r w:rsidR="001C1CC3" w:rsidRPr="001C1CC3">
        <w:rPr>
          <w:b/>
        </w:rPr>
        <w:t>clinical</w:t>
      </w:r>
      <w:r w:rsidR="001C1CC3">
        <w:t xml:space="preserve"> use of an IRB-appro</w:t>
      </w:r>
      <w:r w:rsidR="00F7055F">
        <w:t>ved HUD (procedures, population</w:t>
      </w:r>
      <w:r w:rsidR="001C1CC3">
        <w:t>, purpose, consent form) be approved in advance by the IRB.</w:t>
      </w:r>
    </w:p>
    <w:p w14:paraId="53C1EA6F" w14:textId="2504F42B" w:rsidR="003C581D" w:rsidRPr="006C0719" w:rsidRDefault="001C1CC3" w:rsidP="0035581D">
      <w:pPr>
        <w:pStyle w:val="Heading3"/>
      </w:pPr>
      <w:r>
        <w:t>However, it is best practice to modify the IRB application for broadening the clinical purpose for which an approved HUD is used at UW Medicine, if physicians expect that they will repeatedly use an approved HUD beyond the purpose(s) described in the initial IRB application</w:t>
      </w:r>
      <w:r w:rsidR="000F0E48">
        <w:t>. This does not require FDA</w:t>
      </w:r>
      <w:r>
        <w:t xml:space="preserve"> approval</w:t>
      </w:r>
      <w:r w:rsidR="000F0E48">
        <w:t xml:space="preserve">. </w:t>
      </w:r>
    </w:p>
    <w:p w14:paraId="53C1EA70" w14:textId="77777777" w:rsidR="0035581D" w:rsidRDefault="002E5491" w:rsidP="002E5491">
      <w:pPr>
        <w:pStyle w:val="Heading2"/>
      </w:pPr>
      <w:r w:rsidRPr="0035581D">
        <w:rPr>
          <w:u w:val="single"/>
        </w:rPr>
        <w:t>Reporting</w:t>
      </w:r>
      <w:r w:rsidR="000903EB">
        <w:rPr>
          <w:u w:val="single"/>
        </w:rPr>
        <w:t xml:space="preserve"> of adverse events</w:t>
      </w:r>
    </w:p>
    <w:p w14:paraId="53C1EA71" w14:textId="77777777" w:rsidR="00143D01" w:rsidRDefault="000903EB" w:rsidP="0035581D">
      <w:pPr>
        <w:pStyle w:val="Heading3"/>
      </w:pPr>
      <w:r>
        <w:t xml:space="preserve">FDA regulations require the </w:t>
      </w:r>
      <w:r w:rsidR="00143D01">
        <w:t xml:space="preserve">HUD user (i.e., the physician) </w:t>
      </w:r>
      <w:r w:rsidR="00143D01" w:rsidRPr="00143D01">
        <w:rPr>
          <w:u w:val="single"/>
        </w:rPr>
        <w:t>and</w:t>
      </w:r>
      <w:r w:rsidR="00143D01">
        <w:t xml:space="preserve"> the </w:t>
      </w:r>
      <w:r>
        <w:t xml:space="preserve">HDE holder </w:t>
      </w:r>
      <w:r w:rsidR="00143D01">
        <w:t xml:space="preserve">to provide adverse event reports to the FDA and to the IRB.  </w:t>
      </w:r>
    </w:p>
    <w:p w14:paraId="53C1EA72" w14:textId="77777777" w:rsidR="000903EB" w:rsidRDefault="00143D01" w:rsidP="0035581D">
      <w:pPr>
        <w:pStyle w:val="Heading3"/>
      </w:pPr>
      <w:r>
        <w:t xml:space="preserve">This is typically accomplished via the Medical Device Reporting (MDR) system. </w:t>
      </w:r>
    </w:p>
    <w:p w14:paraId="53C1EA73" w14:textId="52D84153" w:rsidR="002E5491" w:rsidRDefault="00143D01" w:rsidP="00143D01">
      <w:pPr>
        <w:pStyle w:val="Heading3"/>
      </w:pPr>
      <w:r w:rsidRPr="00143D01">
        <w:rPr>
          <w:u w:val="single"/>
        </w:rPr>
        <w:t>HDE holder</w:t>
      </w:r>
      <w:r w:rsidR="00682D8D">
        <w:t>.</w:t>
      </w:r>
      <w:r>
        <w:t xml:space="preserve"> In addition, manufacturers must submit reports to FDA and the IRB whenever a HUD may have caused or contributed to a death or serious </w:t>
      </w:r>
      <w:proofErr w:type="gramStart"/>
      <w:r>
        <w:t>injury, or</w:t>
      </w:r>
      <w:proofErr w:type="gramEnd"/>
      <w:r>
        <w:t xml:space="preserve"> has malfunctioned and would be likely to cause or contribute to a death or serious injury if the malfunction were to recur (21 CFR 814(126(a)). </w:t>
      </w:r>
    </w:p>
    <w:p w14:paraId="53C1EA74" w14:textId="6A30CB37" w:rsidR="00143D01" w:rsidRDefault="00143D01" w:rsidP="002E5491">
      <w:pPr>
        <w:pStyle w:val="Heading3"/>
      </w:pPr>
      <w:r w:rsidRPr="00143D01">
        <w:rPr>
          <w:u w:val="single"/>
        </w:rPr>
        <w:t>Physician</w:t>
      </w:r>
      <w:r w:rsidR="00682D8D">
        <w:t>.</w:t>
      </w:r>
      <w:r>
        <w:t xml:space="preserve"> In addition to MDR reports, the physician must provide reports to the IRB whenever a HUD may have caused or contributed to a serious injury.</w:t>
      </w:r>
    </w:p>
    <w:p w14:paraId="53C1EA75" w14:textId="77777777" w:rsidR="002E5491" w:rsidRDefault="00143D01" w:rsidP="00143D01">
      <w:pPr>
        <w:pStyle w:val="Heading4"/>
      </w:pPr>
      <w:r>
        <w:t>Serious injury means an injury or illness that (1) is life-threatening, (2) results in pe</w:t>
      </w:r>
      <w:r w:rsidR="00630833">
        <w:t>rmanent impairment of a body fu</w:t>
      </w:r>
      <w:r>
        <w:t xml:space="preserve">nction or permanent damage to a body structure, or (3) necessitates medical or surgical intervention to preclude permanent impairment of a body function or permanent damage to a body structure. </w:t>
      </w:r>
    </w:p>
    <w:p w14:paraId="53C1EA76" w14:textId="71312825" w:rsidR="0035581D" w:rsidRPr="00CC64CD" w:rsidRDefault="002E5491" w:rsidP="00143D01">
      <w:pPr>
        <w:pStyle w:val="Heading2"/>
      </w:pPr>
      <w:r w:rsidRPr="00143D01">
        <w:rPr>
          <w:u w:val="single"/>
        </w:rPr>
        <w:t>Reporting</w:t>
      </w:r>
      <w:r w:rsidR="0035581D" w:rsidRPr="00143D01">
        <w:rPr>
          <w:u w:val="single"/>
        </w:rPr>
        <w:t xml:space="preserve"> by the IRB</w:t>
      </w:r>
      <w:r w:rsidR="00682D8D">
        <w:t xml:space="preserve">. </w:t>
      </w:r>
      <w:r w:rsidR="00143D01">
        <w:t xml:space="preserve">It is UW IRB policy to copy the HDE holder on any communication in which the UW </w:t>
      </w:r>
      <w:r w:rsidR="00143D01" w:rsidRPr="00CC64CD">
        <w:t xml:space="preserve">physician is informed that IRB approval has been suspended or terminated. </w:t>
      </w:r>
    </w:p>
    <w:p w14:paraId="53C1EA80" w14:textId="432AD28B" w:rsidR="00A9614C" w:rsidRPr="00CC64CD" w:rsidRDefault="00682D8D" w:rsidP="00A9614C">
      <w:pPr>
        <w:pStyle w:val="Heading1"/>
      </w:pPr>
      <w:r>
        <w:t xml:space="preserve">PROCEDURES: </w:t>
      </w:r>
      <w:r w:rsidR="00A9614C" w:rsidRPr="00CC64CD">
        <w:t>Research involving a HUD</w:t>
      </w:r>
    </w:p>
    <w:p w14:paraId="53C1EA81" w14:textId="0B16C1D9" w:rsidR="00DF21AD" w:rsidRPr="00CC64CD" w:rsidRDefault="000B0047" w:rsidP="00CC64CD">
      <w:pPr>
        <w:pStyle w:val="Heading2"/>
      </w:pPr>
      <w:r w:rsidRPr="00CC64CD">
        <w:rPr>
          <w:b/>
        </w:rPr>
        <w:t>Research</w:t>
      </w:r>
      <w:r w:rsidRPr="00CC64CD">
        <w:t xml:space="preserve"> involving a HUD device (for example, research designed to gather safety and effectiveness data about the HUD) must be reviewed and approved by an IRB following standard pr</w:t>
      </w:r>
      <w:r w:rsidR="00682D8D">
        <w:t xml:space="preserve">ocedures and FDA regulations. </w:t>
      </w:r>
    </w:p>
    <w:p w14:paraId="53C1EA82" w14:textId="77777777" w:rsidR="00433D1A" w:rsidRPr="006C0719" w:rsidRDefault="004E0B38" w:rsidP="00433D1A">
      <w:pPr>
        <w:pStyle w:val="Heading3"/>
      </w:pPr>
      <w:r>
        <w:t>I</w:t>
      </w:r>
      <w:r w:rsidR="00433D1A">
        <w:t>RB approv</w:t>
      </w:r>
      <w:r>
        <w:t xml:space="preserve">al of the </w:t>
      </w:r>
      <w:r w:rsidR="00433D1A">
        <w:t xml:space="preserve">use of a HUD at a facility to treat or diagnose patients </w:t>
      </w:r>
      <w:r>
        <w:t>is</w:t>
      </w:r>
      <w:r w:rsidR="00433D1A">
        <w:t xml:space="preserve"> </w:t>
      </w:r>
      <w:r w:rsidR="00433D1A" w:rsidRPr="00433D1A">
        <w:rPr>
          <w:b/>
        </w:rPr>
        <w:t>not</w:t>
      </w:r>
      <w:r w:rsidR="00433D1A">
        <w:t xml:space="preserve"> </w:t>
      </w:r>
      <w:r>
        <w:t>the same as IRB approval of t</w:t>
      </w:r>
      <w:r w:rsidR="00433D1A">
        <w:t xml:space="preserve">he investigational use of the HUD (i.e., in research) for the collection of safety and effectiveness data. </w:t>
      </w:r>
    </w:p>
    <w:p w14:paraId="53C1EA83" w14:textId="77777777" w:rsidR="00DF21AD" w:rsidRDefault="00E151C1" w:rsidP="0070543E">
      <w:pPr>
        <w:pStyle w:val="Heading2"/>
      </w:pPr>
      <w:r w:rsidRPr="0070543E">
        <w:rPr>
          <w:u w:val="single"/>
        </w:rPr>
        <w:t xml:space="preserve">If the research involves a HUD use </w:t>
      </w:r>
      <w:r w:rsidR="00DF21AD" w:rsidRPr="0070543E">
        <w:rPr>
          <w:u w:val="single"/>
        </w:rPr>
        <w:t>within the FDA-approved labeling</w:t>
      </w:r>
      <w:r w:rsidRPr="0070543E">
        <w:rPr>
          <w:u w:val="single"/>
        </w:rPr>
        <w:t xml:space="preserve"> for the HUD</w:t>
      </w:r>
      <w:r w:rsidR="0062758F" w:rsidRPr="0062758F">
        <w:t>.</w:t>
      </w:r>
    </w:p>
    <w:p w14:paraId="53C1EA84" w14:textId="77777777" w:rsidR="00631BF0" w:rsidRDefault="0062758F" w:rsidP="0070543E">
      <w:pPr>
        <w:pStyle w:val="Heading3"/>
      </w:pPr>
      <w:r>
        <w:t xml:space="preserve">Example: </w:t>
      </w:r>
      <w:r w:rsidR="00631BF0">
        <w:t>a researcher wishes to collect safety and effectiveness data on the FDA-approved use of the HUD.</w:t>
      </w:r>
    </w:p>
    <w:p w14:paraId="53C1EA85" w14:textId="2DDEB857" w:rsidR="00DF21AD" w:rsidRDefault="00433D1A" w:rsidP="0070543E">
      <w:pPr>
        <w:pStyle w:val="Heading3"/>
      </w:pPr>
      <w:r>
        <w:t xml:space="preserve">An </w:t>
      </w:r>
      <w:r w:rsidR="00DF21AD">
        <w:t>Investigational Device Exemption (IDE) application to the FDA is</w:t>
      </w:r>
      <w:r w:rsidR="00631BF0">
        <w:t xml:space="preserve"> </w:t>
      </w:r>
      <w:r w:rsidR="00631BF0" w:rsidRPr="00631BF0">
        <w:rPr>
          <w:b/>
        </w:rPr>
        <w:t>not</w:t>
      </w:r>
      <w:r w:rsidR="00DF21AD">
        <w:t xml:space="preserve"> </w:t>
      </w:r>
      <w:r w:rsidR="00631BF0" w:rsidRPr="00631BF0">
        <w:t>required</w:t>
      </w:r>
      <w:r>
        <w:t>.</w:t>
      </w:r>
    </w:p>
    <w:p w14:paraId="53C1EA86" w14:textId="77777777" w:rsidR="00ED7422" w:rsidRDefault="00DF21AD" w:rsidP="0070543E">
      <w:pPr>
        <w:pStyle w:val="Heading3"/>
      </w:pPr>
      <w:r>
        <w:t>Standard prospective IRB review and approval must be obtained.</w:t>
      </w:r>
    </w:p>
    <w:p w14:paraId="53C1EA87" w14:textId="77777777" w:rsidR="00433D1A" w:rsidRDefault="00DF21AD" w:rsidP="0070543E">
      <w:pPr>
        <w:pStyle w:val="Heading3"/>
      </w:pPr>
      <w:r>
        <w:lastRenderedPageBreak/>
        <w:t>Standard research consen</w:t>
      </w:r>
      <w:r w:rsidR="00326891">
        <w:t>t must be obtained from the subjects.</w:t>
      </w:r>
    </w:p>
    <w:p w14:paraId="53C1EA88" w14:textId="77777777" w:rsidR="0070543E" w:rsidRPr="00CC64CD" w:rsidRDefault="0070543E" w:rsidP="0070543E">
      <w:pPr>
        <w:pStyle w:val="Heading3"/>
      </w:pPr>
      <w:r w:rsidRPr="00CC64CD">
        <w:t>Standard pediatric safeguards, as required by the FDA for any research involving children, must be applied.</w:t>
      </w:r>
    </w:p>
    <w:p w14:paraId="53C1EA89" w14:textId="359FDC19" w:rsidR="00DF21AD" w:rsidRPr="00CC64CD" w:rsidRDefault="00DF21AD" w:rsidP="0070543E">
      <w:pPr>
        <w:pStyle w:val="Heading2"/>
      </w:pPr>
      <w:r w:rsidRPr="00CC64CD">
        <w:rPr>
          <w:u w:val="single"/>
        </w:rPr>
        <w:t>If the research concerns a new use for the HUD</w:t>
      </w:r>
      <w:r w:rsidR="001C1CC3">
        <w:t xml:space="preserve"> (i.e., </w:t>
      </w:r>
      <w:r w:rsidRPr="00CC64CD">
        <w:t xml:space="preserve">a use </w:t>
      </w:r>
      <w:r w:rsidR="001C1CC3">
        <w:t xml:space="preserve">not </w:t>
      </w:r>
      <w:r w:rsidRPr="00CC64CD">
        <w:t>described on the labeling</w:t>
      </w:r>
      <w:r w:rsidR="00E151C1" w:rsidRPr="00CC64CD">
        <w:t>)</w:t>
      </w:r>
      <w:r w:rsidR="0062758F">
        <w:t>.</w:t>
      </w:r>
    </w:p>
    <w:p w14:paraId="53C1EA8A" w14:textId="77777777" w:rsidR="00631BF0" w:rsidRPr="00CC64CD" w:rsidRDefault="0062758F" w:rsidP="0070543E">
      <w:pPr>
        <w:pStyle w:val="Heading3"/>
      </w:pPr>
      <w:r>
        <w:t xml:space="preserve">Example: </w:t>
      </w:r>
      <w:r w:rsidR="00631BF0" w:rsidRPr="00CC64CD">
        <w:t>a researcher wishes to use the HUD for a purpose or population not approved under the HDE, and to collect safety and effectiveness data on that new use.</w:t>
      </w:r>
    </w:p>
    <w:p w14:paraId="53C1EA8B" w14:textId="77777777" w:rsidR="00DF21AD" w:rsidRPr="00CC64CD" w:rsidRDefault="00DF21AD" w:rsidP="0070543E">
      <w:pPr>
        <w:pStyle w:val="Heading3"/>
      </w:pPr>
      <w:r w:rsidRPr="00CC64CD">
        <w:t xml:space="preserve">An IDE </w:t>
      </w:r>
      <w:r w:rsidR="00E151C1" w:rsidRPr="00CC64CD">
        <w:t xml:space="preserve">(not HDE) </w:t>
      </w:r>
      <w:r w:rsidRPr="00CC64CD">
        <w:t>approval must be obtained from the FDA.</w:t>
      </w:r>
    </w:p>
    <w:p w14:paraId="53C1EA8C" w14:textId="77777777" w:rsidR="00DF21AD" w:rsidRPr="00CC64CD" w:rsidRDefault="00DF21AD" w:rsidP="0070543E">
      <w:pPr>
        <w:pStyle w:val="Heading3"/>
      </w:pPr>
      <w:r w:rsidRPr="00CC64CD">
        <w:t>Standard prospective IRB review</w:t>
      </w:r>
      <w:r w:rsidR="00E151C1" w:rsidRPr="00CC64CD">
        <w:t xml:space="preserve"> and approval must be obtained, like any research study, applying all relevant FDA regulations (such as the device risk determination). </w:t>
      </w:r>
    </w:p>
    <w:p w14:paraId="53C1EA8D" w14:textId="3FAC14C9" w:rsidR="00861BF3" w:rsidRPr="00CC64CD" w:rsidRDefault="00DF21AD" w:rsidP="0070543E">
      <w:pPr>
        <w:pStyle w:val="Heading3"/>
      </w:pPr>
      <w:r w:rsidRPr="00CC64CD">
        <w:t>Standard research consent must be obtained from the subjects.</w:t>
      </w:r>
    </w:p>
    <w:p w14:paraId="53C1EA8E" w14:textId="77777777" w:rsidR="0070543E" w:rsidRPr="00CC64CD" w:rsidRDefault="0070543E" w:rsidP="0070543E">
      <w:pPr>
        <w:pStyle w:val="Heading3"/>
      </w:pPr>
      <w:r w:rsidRPr="00CC64CD">
        <w:t>Standard pediatric safeguards, as required by the FDA for any research involving children, must be applied.</w:t>
      </w:r>
    </w:p>
    <w:p w14:paraId="53C1EA8F" w14:textId="77777777" w:rsidR="00B22C28" w:rsidRPr="00CC64CD" w:rsidRDefault="00B22C28" w:rsidP="00B22C28">
      <w:pPr>
        <w:pStyle w:val="Heading1"/>
      </w:pPr>
      <w:r w:rsidRPr="00CC64CD">
        <w:t>MATERIALS</w:t>
      </w:r>
    </w:p>
    <w:p w14:paraId="126146A2" w14:textId="77777777" w:rsidR="00F559B9" w:rsidRPr="00F559B9" w:rsidRDefault="00C13AF6" w:rsidP="00F559B9">
      <w:pPr>
        <w:pStyle w:val="Heading2"/>
        <w:rPr>
          <w:u w:val="single"/>
        </w:rPr>
      </w:pPr>
      <w:hyperlink r:id="rId13" w:history="1">
        <w:r w:rsidR="00F559B9" w:rsidRPr="00E86147">
          <w:rPr>
            <w:rStyle w:val="Hyperlink"/>
          </w:rPr>
          <w:t>GUIDANCE Humanitarian Use Devices (HUDs)</w:t>
        </w:r>
      </w:hyperlink>
    </w:p>
    <w:p w14:paraId="3E102974" w14:textId="4001CC09" w:rsidR="00B3224E" w:rsidRPr="00FD112C" w:rsidRDefault="00C13AF6" w:rsidP="00881FCB">
      <w:pPr>
        <w:pStyle w:val="Heading2"/>
        <w:rPr>
          <w:u w:val="single"/>
        </w:rPr>
      </w:pPr>
      <w:hyperlink r:id="rId14" w:history="1">
        <w:r w:rsidR="00B3224E" w:rsidRPr="00B3224E">
          <w:rPr>
            <w:rStyle w:val="Hyperlink"/>
          </w:rPr>
          <w:t>INSTRUCTIONS and NOTIFICATION Emergency Use, Device</w:t>
        </w:r>
      </w:hyperlink>
    </w:p>
    <w:p w14:paraId="53C1EA90" w14:textId="6831156F" w:rsidR="00E151C1" w:rsidRPr="00B3224E" w:rsidRDefault="00C13AF6" w:rsidP="00881FCB">
      <w:pPr>
        <w:pStyle w:val="Heading2"/>
      </w:pPr>
      <w:hyperlink r:id="rId15" w:history="1">
        <w:r w:rsidR="00E151C1" w:rsidRPr="00B3224E">
          <w:rPr>
            <w:rStyle w:val="Hyperlink"/>
          </w:rPr>
          <w:t>SOP IRB Review</w:t>
        </w:r>
      </w:hyperlink>
    </w:p>
    <w:p w14:paraId="7D1D4D72" w14:textId="779BBB08" w:rsidR="00B3224E" w:rsidRPr="0062758F" w:rsidRDefault="00C13AF6" w:rsidP="00B3224E">
      <w:pPr>
        <w:pStyle w:val="Heading2"/>
        <w:rPr>
          <w:u w:val="single"/>
        </w:rPr>
      </w:pPr>
      <w:hyperlink r:id="rId16" w:history="1">
        <w:r w:rsidR="00B3224E" w:rsidRPr="00B3224E">
          <w:rPr>
            <w:rStyle w:val="Hyperlink"/>
          </w:rPr>
          <w:t>WORKSHEET Expedited Review</w:t>
        </w:r>
      </w:hyperlink>
    </w:p>
    <w:p w14:paraId="53C1EA91" w14:textId="514EA97A" w:rsidR="00ED7422" w:rsidRPr="003115A0" w:rsidRDefault="00C13AF6" w:rsidP="00E379D2">
      <w:pPr>
        <w:pStyle w:val="Heading2"/>
      </w:pPr>
      <w:hyperlink r:id="rId17" w:history="1">
        <w:r w:rsidR="003115A0" w:rsidRPr="00833400">
          <w:rPr>
            <w:rStyle w:val="Hyperlink"/>
          </w:rPr>
          <w:t xml:space="preserve">WORKSHEET </w:t>
        </w:r>
        <w:r w:rsidR="00E151C1" w:rsidRPr="00833400">
          <w:rPr>
            <w:rStyle w:val="Hyperlink"/>
          </w:rPr>
          <w:t xml:space="preserve">IRB </w:t>
        </w:r>
        <w:r w:rsidR="00833400" w:rsidRPr="00833400">
          <w:rPr>
            <w:rStyle w:val="Hyperlink"/>
          </w:rPr>
          <w:t>Review Outcomes</w:t>
        </w:r>
      </w:hyperlink>
    </w:p>
    <w:p w14:paraId="53C1EA97" w14:textId="77777777" w:rsidR="00B22C28" w:rsidRDefault="00B22C28" w:rsidP="00B22C28">
      <w:pPr>
        <w:pStyle w:val="Heading1"/>
      </w:pPr>
      <w:r>
        <w:t>REFERENCES</w:t>
      </w:r>
    </w:p>
    <w:p w14:paraId="53C1EA98" w14:textId="77777777" w:rsidR="00630833" w:rsidRDefault="00630833" w:rsidP="00151CBD">
      <w:pPr>
        <w:pStyle w:val="Heading2"/>
      </w:pPr>
      <w:r>
        <w:t>21 CFR 814 Subpart H (Humanitarian Device Exemption)</w:t>
      </w:r>
    </w:p>
    <w:p w14:paraId="53C1EA99" w14:textId="77777777" w:rsidR="00EE6FE4" w:rsidRPr="008121B1" w:rsidRDefault="00151CBD" w:rsidP="00151CBD">
      <w:pPr>
        <w:pStyle w:val="Heading2"/>
      </w:pPr>
      <w:r w:rsidRPr="008121B1">
        <w:t>21</w:t>
      </w:r>
      <w:r w:rsidR="002E5491">
        <w:t xml:space="preserve"> CFR 50 (research informed consent) </w:t>
      </w:r>
    </w:p>
    <w:p w14:paraId="53C1EA9A" w14:textId="77777777" w:rsidR="00923665" w:rsidRPr="008121B1" w:rsidRDefault="002E5491" w:rsidP="00630833">
      <w:pPr>
        <w:pStyle w:val="Heading2"/>
      </w:pPr>
      <w:r>
        <w:t>21 CFR 56 (IRB review of research)</w:t>
      </w:r>
    </w:p>
    <w:p w14:paraId="53C1EA9C" w14:textId="77777777" w:rsidR="00675934" w:rsidRDefault="00AB1846" w:rsidP="00326891">
      <w:pPr>
        <w:pStyle w:val="Heading2"/>
      </w:pPr>
      <w:r>
        <w:t>Humanitarian Device Exemption (HDE) Regulation: Questions and Answers.  Guidance for HDE Holders, Institutional Review Boards (IRBs), Clinical Investigators, and F</w:t>
      </w:r>
      <w:r w:rsidR="00326891">
        <w:t>DA</w:t>
      </w:r>
      <w:r>
        <w:t xml:space="preserve"> Staff.  July 8, 2010. </w:t>
      </w:r>
    </w:p>
    <w:p w14:paraId="53C1EA9D" w14:textId="77777777" w:rsidR="00DD66B6" w:rsidRDefault="00DD66B6" w:rsidP="00DD66B6">
      <w:pPr>
        <w:pStyle w:val="Heading1"/>
      </w:pPr>
      <w:r>
        <w:t>IRB Approval Criteria for Clinical Use of an HUD</w:t>
      </w:r>
    </w:p>
    <w:p w14:paraId="53C1EA9E" w14:textId="179AD57D" w:rsidR="00DD66B6" w:rsidRPr="00966E64" w:rsidRDefault="00DD66B6" w:rsidP="00DD66B6">
      <w:pPr>
        <w:pStyle w:val="Heading2"/>
      </w:pPr>
      <w:r>
        <w:t xml:space="preserve">Risks to </w:t>
      </w:r>
      <w:r w:rsidRPr="00966E64">
        <w:t>patients are minimized: (i) by using procedures which</w:t>
      </w:r>
      <w:r w:rsidRPr="00966E64">
        <w:rPr>
          <w:strike/>
        </w:rPr>
        <w:t xml:space="preserve"> </w:t>
      </w:r>
      <w:r w:rsidRPr="00966E64">
        <w:t>do not unnecessarily expose subjects to risk, (ii) whenever appropriate, by using procedures already being performed on the patients for diagnostic or treatment p</w:t>
      </w:r>
      <w:r>
        <w:t xml:space="preserve">urposes.  </w:t>
      </w:r>
      <w:r w:rsidRPr="00F00933">
        <w:rPr>
          <w:sz w:val="18"/>
          <w:szCs w:val="18"/>
        </w:rPr>
        <w:t>21 CFR 56.111(a)(1)</w:t>
      </w:r>
    </w:p>
    <w:p w14:paraId="53C1EA9F" w14:textId="619AD654" w:rsidR="00DD66B6" w:rsidRPr="00F00933" w:rsidRDefault="00DD66B6" w:rsidP="00DD66B6">
      <w:pPr>
        <w:pStyle w:val="Heading2"/>
        <w:rPr>
          <w:sz w:val="18"/>
          <w:szCs w:val="18"/>
        </w:rPr>
      </w:pPr>
      <w:r w:rsidRPr="00966E64">
        <w:lastRenderedPageBreak/>
        <w:t xml:space="preserve">Risks to patients are reasonable in relation to anticipated </w:t>
      </w:r>
      <w:r w:rsidRPr="00966E64">
        <w:rPr>
          <w:rFonts w:eastAsia="Times New Roman"/>
        </w:rPr>
        <w:t>benefits</w:t>
      </w:r>
      <w:r w:rsidRPr="0019167E">
        <w:rPr>
          <w:rFonts w:eastAsia="Times New Roman"/>
        </w:rPr>
        <w:t>.</w:t>
      </w:r>
      <w:r>
        <w:rPr>
          <w:rFonts w:eastAsia="Times New Roman"/>
        </w:rPr>
        <w:t xml:space="preserve"> </w:t>
      </w:r>
      <w:r w:rsidRPr="00F00933">
        <w:rPr>
          <w:rFonts w:eastAsia="Times New Roman"/>
          <w:sz w:val="18"/>
          <w:szCs w:val="18"/>
        </w:rPr>
        <w:t>21 CFR 56.111(a)(2)</w:t>
      </w:r>
    </w:p>
    <w:p w14:paraId="53C1EAA2" w14:textId="00B2C1BC" w:rsidR="00DD66B6" w:rsidRDefault="00DD66B6" w:rsidP="00DD66B6">
      <w:pPr>
        <w:pStyle w:val="Heading3"/>
      </w:pPr>
      <w:r w:rsidRPr="0062758F">
        <w:rPr>
          <w:rFonts w:eastAsia="Times New Roman"/>
        </w:rPr>
        <w:t>Per UW policy</w:t>
      </w:r>
      <w:r>
        <w:rPr>
          <w:rFonts w:eastAsia="Times New Roman"/>
        </w:rPr>
        <w:t xml:space="preserve">, </w:t>
      </w:r>
      <w:r w:rsidRPr="0001276A">
        <w:rPr>
          <w:rFonts w:eastAsia="Times New Roman"/>
        </w:rPr>
        <w:t xml:space="preserve">clinicians are expected to obtain a standard clinical consent that has been appropriately modified to include the following </w:t>
      </w:r>
      <w:r w:rsidR="0052753C">
        <w:rPr>
          <w:rFonts w:eastAsia="Times New Roman"/>
        </w:rPr>
        <w:t xml:space="preserve">information, whenever possible. </w:t>
      </w:r>
      <w:r>
        <w:t xml:space="preserve">If consent is not possible to obtain, the clinician should follow standard UW Medicine policies for how to provide necessary clinical care in the absence of patient consent. </w:t>
      </w:r>
    </w:p>
    <w:p w14:paraId="53C1EAA3" w14:textId="77777777" w:rsidR="00DD66B6" w:rsidRDefault="00DD66B6" w:rsidP="00DD66B6">
      <w:pPr>
        <w:pStyle w:val="Heading4"/>
      </w:pPr>
      <w:r>
        <w:t>A description of the HUD and the reason for using it.</w:t>
      </w:r>
    </w:p>
    <w:p w14:paraId="53C1EAA4" w14:textId="77777777" w:rsidR="00DD66B6" w:rsidRDefault="00DD66B6" w:rsidP="00DD66B6">
      <w:pPr>
        <w:pStyle w:val="Heading4"/>
      </w:pPr>
      <w:r>
        <w:t xml:space="preserve">A description of any alternatives to using the HUD. </w:t>
      </w:r>
    </w:p>
    <w:p w14:paraId="53C1EAA5" w14:textId="77777777" w:rsidR="00DD66B6" w:rsidRDefault="00DD66B6" w:rsidP="00DD66B6">
      <w:pPr>
        <w:pStyle w:val="Heading4"/>
      </w:pPr>
      <w:r>
        <w:t xml:space="preserve">A description of the possible risks and benefits of the HUD. </w:t>
      </w:r>
    </w:p>
    <w:p w14:paraId="53C1EAA6" w14:textId="77777777" w:rsidR="00DD66B6" w:rsidRDefault="00DD66B6" w:rsidP="00DD66B6">
      <w:pPr>
        <w:pStyle w:val="Heading4"/>
      </w:pPr>
      <w:r>
        <w:t xml:space="preserve">A statement that the effectiveness of the HUD has not been fully established. </w:t>
      </w:r>
    </w:p>
    <w:p w14:paraId="53C1EAA7" w14:textId="77777777" w:rsidR="00DD66B6" w:rsidRPr="00966E64" w:rsidRDefault="00DD66B6" w:rsidP="00DD66B6">
      <w:pPr>
        <w:pStyle w:val="Heading4"/>
      </w:pPr>
      <w:r>
        <w:t>A description of any procedures required to use and monitor the HUD.</w:t>
      </w:r>
    </w:p>
    <w:p w14:paraId="53C1EAA9" w14:textId="2028A842" w:rsidR="00DD66B6" w:rsidRPr="0001276A" w:rsidRDefault="00DD66B6" w:rsidP="002A49DF">
      <w:pPr>
        <w:pStyle w:val="Heading3"/>
      </w:pPr>
      <w:r w:rsidRPr="0001276A">
        <w:t>Clinicians</w:t>
      </w:r>
      <w:r>
        <w:t xml:space="preserve"> are expected to obtain written documentation of the clinical consent, from the patient or the patient’s legal rep</w:t>
      </w:r>
      <w:r w:rsidR="005F6A4D">
        <w:t>resentative, whenever possible.</w:t>
      </w:r>
      <w:r>
        <w:t xml:space="preserve"> If consent documentation is not possible to obtain, the clinician should follow standard UW Medicine policies for how to provide necessary clinical care in the absence of documentation of patient consent.</w:t>
      </w:r>
    </w:p>
    <w:p w14:paraId="53C1EAAA" w14:textId="30F47B79" w:rsidR="00DD66B6" w:rsidRPr="002A49DF" w:rsidRDefault="00DD66B6" w:rsidP="002A49DF">
      <w:pPr>
        <w:pStyle w:val="Heading2"/>
        <w:rPr>
          <w:sz w:val="18"/>
          <w:szCs w:val="18"/>
        </w:rPr>
      </w:pPr>
      <w:r>
        <w:t>The clinical care plan makes adequate provision for mon</w:t>
      </w:r>
      <w:r w:rsidR="0052753C">
        <w:t>itoring the safety of patients.</w:t>
      </w:r>
      <w:r>
        <w:t xml:space="preserve"> </w:t>
      </w:r>
      <w:r w:rsidRPr="002A49DF">
        <w:rPr>
          <w:sz w:val="18"/>
          <w:szCs w:val="18"/>
        </w:rPr>
        <w:t>21 CFR 56.111(a)(6)</w:t>
      </w:r>
    </w:p>
    <w:p w14:paraId="53C1EAAB" w14:textId="22C255FA" w:rsidR="00DD66B6" w:rsidRPr="00F00933" w:rsidRDefault="00DD66B6" w:rsidP="002C25F5">
      <w:pPr>
        <w:pStyle w:val="Heading2"/>
      </w:pPr>
      <w:r>
        <w:t>There are adequate provisions to protect the privacy of patients</w:t>
      </w:r>
      <w:r w:rsidRPr="002C25F5">
        <w:rPr>
          <w:strike/>
        </w:rPr>
        <w:t xml:space="preserve"> </w:t>
      </w:r>
      <w:r>
        <w:t>and to maintain</w:t>
      </w:r>
      <w:r w:rsidR="0052753C">
        <w:t xml:space="preserve"> the confidentiality of data. </w:t>
      </w:r>
      <w:r w:rsidR="0052753C">
        <w:rPr>
          <w:sz w:val="18"/>
          <w:szCs w:val="18"/>
        </w:rPr>
        <w:t>21 CFR 56.111(a)(7)</w:t>
      </w:r>
    </w:p>
    <w:p w14:paraId="53C1EAAC" w14:textId="7C7990DB" w:rsidR="00DD66B6" w:rsidRDefault="00DD66B6" w:rsidP="002C25F5">
      <w:pPr>
        <w:pStyle w:val="Heading3"/>
      </w:pPr>
      <w:r>
        <w:t>The UW IRB assumes that all components of the HIPAA regulations that are relevant to clinical care will be appropriately implemented, following the stand</w:t>
      </w:r>
      <w:r w:rsidR="0052753C">
        <w:t>ard procedures of UW Medicine.</w:t>
      </w:r>
    </w:p>
    <w:p w14:paraId="53C1EAAD" w14:textId="2D78D6E4" w:rsidR="00DD66B6" w:rsidRDefault="00DD66B6" w:rsidP="002C25F5">
      <w:pPr>
        <w:pStyle w:val="Heading3"/>
      </w:pPr>
      <w:r>
        <w:t xml:space="preserve">The UW IRB believes that the clinical care components of HIPAA apply to any records and reports that clinicians are expected to provide about patient outcomes with the HUD to the </w:t>
      </w:r>
      <w:r w:rsidR="0052753C">
        <w:t>holder of the HDE and the FDA.</w:t>
      </w:r>
    </w:p>
    <w:p w14:paraId="53C1EAAF" w14:textId="77777777" w:rsidR="00DD66B6" w:rsidRPr="00F00933" w:rsidRDefault="00DD66B6" w:rsidP="002C25F5">
      <w:pPr>
        <w:pStyle w:val="Heading3"/>
      </w:pPr>
      <w:r>
        <w:t>The UW IRB expects the clinician to follow standard UW Medicine procedures for obtaining consent from patients, including the extra steps that may be required with parents of children, mentally disabled patients, patients with a poor understanding of English, and patients with low education levels.</w:t>
      </w:r>
    </w:p>
    <w:p w14:paraId="53C1EAB2" w14:textId="600AB318" w:rsidR="004407F8" w:rsidRDefault="00DD66B6" w:rsidP="001F101D">
      <w:pPr>
        <w:pStyle w:val="Heading3"/>
      </w:pPr>
      <w:r>
        <w:t xml:space="preserve">Because the use of HUDs is not considered to be research, it is UW policy to </w:t>
      </w:r>
      <w:r w:rsidRPr="0019167E">
        <w:rPr>
          <w:u w:val="single"/>
        </w:rPr>
        <w:t>not</w:t>
      </w:r>
      <w:r>
        <w:t xml:space="preserve"> apply all of the subpart D requirements t</w:t>
      </w:r>
      <w:r w:rsidR="0052753C">
        <w:t>o the use of HUDs in children.</w:t>
      </w:r>
    </w:p>
    <w:p w14:paraId="158592E3" w14:textId="77777777" w:rsidR="006D12AB" w:rsidRDefault="006D12AB" w:rsidP="006D12AB">
      <w:pPr>
        <w:pStyle w:val="Heading3"/>
        <w:numPr>
          <w:ilvl w:val="0"/>
          <w:numId w:val="0"/>
        </w:numPr>
        <w:ind w:left="1512"/>
      </w:pPr>
    </w:p>
    <w:tbl>
      <w:tblPr>
        <w:tblStyle w:val="TableGrid1"/>
        <w:tblW w:w="9360" w:type="dxa"/>
        <w:tblInd w:w="-5" w:type="dxa"/>
        <w:tblLook w:val="04A0" w:firstRow="1" w:lastRow="0" w:firstColumn="1" w:lastColumn="0" w:noHBand="0" w:noVBand="1"/>
        <w:tblCaption w:val="Version history table"/>
        <w:tblDescription w:val="contains version number, posted date, implementation date and revision summary"/>
      </w:tblPr>
      <w:tblGrid>
        <w:gridCol w:w="2622"/>
        <w:gridCol w:w="1367"/>
        <w:gridCol w:w="1696"/>
        <w:gridCol w:w="3675"/>
      </w:tblGrid>
      <w:tr w:rsidR="006D12AB" w:rsidRPr="00ED134C" w14:paraId="5D79B31F" w14:textId="77777777" w:rsidTr="00B849F6">
        <w:trPr>
          <w:trHeight w:val="233"/>
        </w:trPr>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27C13864" w14:textId="77777777" w:rsidR="006D12AB" w:rsidRPr="00954C91" w:rsidRDefault="006D12AB" w:rsidP="00927A50">
            <w:pPr>
              <w:pStyle w:val="NoSpacing"/>
              <w:jc w:val="center"/>
              <w:rPr>
                <w:b/>
                <w:bCs/>
                <w:color w:val="FFFFFF" w:themeColor="background1"/>
              </w:rPr>
            </w:pPr>
            <w:r w:rsidRPr="00954C91">
              <w:rPr>
                <w:b/>
                <w:bCs/>
                <w:color w:val="FFFFFF" w:themeColor="background1"/>
              </w:rPr>
              <w:t>Version Number</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tcPr>
          <w:p w14:paraId="3A9D258D" w14:textId="77777777" w:rsidR="006D12AB" w:rsidRPr="00954C91" w:rsidRDefault="006D12AB" w:rsidP="00927A50">
            <w:pPr>
              <w:pStyle w:val="NoSpacing"/>
              <w:jc w:val="center"/>
              <w:rPr>
                <w:b/>
                <w:bCs/>
                <w:color w:val="FFFFFF" w:themeColor="background1"/>
              </w:rPr>
            </w:pPr>
            <w:r w:rsidRPr="00954C91">
              <w:rPr>
                <w:b/>
                <w:bCs/>
                <w:color w:val="FFFFFF" w:themeColor="background1"/>
              </w:rPr>
              <w:t>Posted Date</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39B6682B" w14:textId="77777777" w:rsidR="006D12AB" w:rsidRPr="00954C91" w:rsidRDefault="006D12AB" w:rsidP="00927A50">
            <w:pPr>
              <w:pStyle w:val="NoSpacing"/>
              <w:jc w:val="center"/>
              <w:rPr>
                <w:b/>
                <w:bCs/>
                <w:color w:val="FFFFFF" w:themeColor="background1"/>
              </w:rPr>
            </w:pPr>
            <w:r w:rsidRPr="00954C91">
              <w:rPr>
                <w:b/>
                <w:bCs/>
                <w:color w:val="FFFFFF" w:themeColor="background1"/>
              </w:rPr>
              <w:t>Implementation Date</w:t>
            </w:r>
          </w:p>
        </w:tc>
        <w:tc>
          <w:tcPr>
            <w:tcW w:w="3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25C6FA36" w14:textId="77777777" w:rsidR="006D12AB" w:rsidRPr="00954C91" w:rsidRDefault="006D12AB" w:rsidP="00927A50">
            <w:pPr>
              <w:pStyle w:val="NoSpacing"/>
              <w:jc w:val="center"/>
              <w:rPr>
                <w:b/>
                <w:bCs/>
                <w:color w:val="FFFFFF" w:themeColor="background1"/>
              </w:rPr>
            </w:pPr>
            <w:r w:rsidRPr="00954C91">
              <w:rPr>
                <w:b/>
                <w:bCs/>
                <w:color w:val="FFFFFF" w:themeColor="background1"/>
              </w:rPr>
              <w:t>Summary of Changes</w:t>
            </w:r>
          </w:p>
        </w:tc>
      </w:tr>
      <w:tr w:rsidR="006D12AB" w:rsidRPr="00D26748" w14:paraId="4D3F90F4" w14:textId="77777777" w:rsidTr="00B849F6">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35E088" w14:textId="01DE5A28" w:rsidR="006D12AB" w:rsidRDefault="006D12AB" w:rsidP="00927A50">
            <w:pPr>
              <w:pStyle w:val="NoSpacing"/>
              <w:jc w:val="center"/>
              <w:rPr>
                <w:rFonts w:ascii="Calibri" w:eastAsiaTheme="majorEastAsia" w:hAnsi="Calibri" w:cstheme="majorBidi"/>
                <w:szCs w:val="26"/>
              </w:rPr>
            </w:pPr>
            <w:r>
              <w:rPr>
                <w:rFonts w:ascii="Calibri" w:eastAsiaTheme="majorEastAsia" w:hAnsi="Calibri" w:cstheme="majorBidi"/>
                <w:szCs w:val="26"/>
              </w:rPr>
              <w:t>2.2</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3AEE0" w14:textId="4BD65680" w:rsidR="006D12AB" w:rsidRDefault="006D12AB" w:rsidP="00927A50">
            <w:pPr>
              <w:pStyle w:val="NoSpacing"/>
              <w:jc w:val="center"/>
              <w:rPr>
                <w:rFonts w:ascii="Calibri" w:eastAsiaTheme="majorEastAsia" w:hAnsi="Calibri" w:cstheme="majorBidi"/>
              </w:rPr>
            </w:pPr>
            <w:r>
              <w:rPr>
                <w:rFonts w:ascii="Calibri" w:eastAsiaTheme="majorEastAsia" w:hAnsi="Calibri" w:cstheme="majorBidi"/>
              </w:rPr>
              <w:t>02/25/2021</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8AFAD" w14:textId="2E5E0216" w:rsidR="006D12AB" w:rsidRDefault="006D12AB" w:rsidP="00927A50">
            <w:pPr>
              <w:pStyle w:val="NoSpacing"/>
              <w:jc w:val="center"/>
              <w:rPr>
                <w:rFonts w:ascii="Calibri" w:eastAsiaTheme="majorEastAsia" w:hAnsi="Calibri" w:cstheme="majorBidi"/>
                <w:szCs w:val="26"/>
              </w:rPr>
            </w:pPr>
            <w:r>
              <w:rPr>
                <w:rFonts w:ascii="Calibri" w:eastAsiaTheme="majorEastAsia" w:hAnsi="Calibri" w:cstheme="majorBidi"/>
                <w:szCs w:val="26"/>
              </w:rPr>
              <w:t>02/25/2021</w:t>
            </w:r>
          </w:p>
        </w:tc>
        <w:tc>
          <w:tcPr>
            <w:tcW w:w="3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853B2" w14:textId="14124524" w:rsidR="006D12AB" w:rsidRDefault="006D12AB" w:rsidP="00927A50">
            <w:pPr>
              <w:pStyle w:val="NoSpacing"/>
              <w:rPr>
                <w:rFonts w:ascii="Calibri" w:eastAsiaTheme="majorEastAsia" w:hAnsi="Calibri" w:cstheme="majorBidi"/>
                <w:szCs w:val="26"/>
              </w:rPr>
            </w:pPr>
            <w:r>
              <w:rPr>
                <w:rFonts w:ascii="Calibri" w:eastAsiaTheme="majorEastAsia" w:hAnsi="Calibri" w:cstheme="majorBidi"/>
                <w:szCs w:val="26"/>
              </w:rPr>
              <w:t>Updated HUD definition – manifested in fewer than 8,000 (updated from 4,000 ) per FDA</w:t>
            </w:r>
          </w:p>
        </w:tc>
      </w:tr>
      <w:tr w:rsidR="006D12AB" w:rsidRPr="00D26748" w14:paraId="3A10DAB8" w14:textId="77777777" w:rsidTr="00B849F6">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98D5F" w14:textId="5550CB6A" w:rsidR="006D12AB" w:rsidRPr="00543DD2" w:rsidRDefault="006D12AB" w:rsidP="006D12AB">
            <w:pPr>
              <w:pStyle w:val="NoSpacing"/>
              <w:jc w:val="center"/>
              <w:rPr>
                <w:rFonts w:ascii="Calibri" w:eastAsiaTheme="majorEastAsia" w:hAnsi="Calibri" w:cstheme="majorBidi"/>
                <w:szCs w:val="26"/>
              </w:rPr>
            </w:pPr>
            <w:r>
              <w:rPr>
                <w:rFonts w:ascii="Calibri" w:eastAsiaTheme="majorEastAsia" w:hAnsi="Calibri" w:cstheme="majorBidi"/>
                <w:szCs w:val="26"/>
              </w:rPr>
              <w:lastRenderedPageBreak/>
              <w:t>2.1</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13892" w14:textId="72855A9E" w:rsidR="006D12AB" w:rsidRDefault="006D12AB" w:rsidP="006D12AB">
            <w:pPr>
              <w:pStyle w:val="NoSpacing"/>
              <w:jc w:val="center"/>
              <w:rPr>
                <w:rFonts w:ascii="Calibri" w:eastAsiaTheme="majorEastAsia" w:hAnsi="Calibri" w:cstheme="majorBidi"/>
              </w:rPr>
            </w:pPr>
            <w:r>
              <w:rPr>
                <w:rFonts w:ascii="Calibri" w:eastAsiaTheme="majorEastAsia" w:hAnsi="Calibri" w:cstheme="majorBidi"/>
              </w:rPr>
              <w:t>07/28/2019</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428AF" w14:textId="149320D5" w:rsidR="006D12AB" w:rsidRPr="00543DD2" w:rsidRDefault="006D12AB" w:rsidP="006D12AB">
            <w:pPr>
              <w:pStyle w:val="NoSpacing"/>
              <w:jc w:val="center"/>
              <w:rPr>
                <w:rFonts w:ascii="Calibri" w:eastAsiaTheme="majorEastAsia" w:hAnsi="Calibri" w:cstheme="majorBidi"/>
                <w:szCs w:val="26"/>
              </w:rPr>
            </w:pPr>
            <w:r>
              <w:rPr>
                <w:rFonts w:ascii="Calibri" w:eastAsiaTheme="majorEastAsia" w:hAnsi="Calibri" w:cstheme="majorBidi"/>
              </w:rPr>
              <w:t>07/28/2019</w:t>
            </w:r>
          </w:p>
        </w:tc>
        <w:tc>
          <w:tcPr>
            <w:tcW w:w="3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98DC6" w14:textId="6D15DA60" w:rsidR="006D12AB" w:rsidRPr="00543DD2" w:rsidRDefault="006D12AB" w:rsidP="006D12AB">
            <w:pPr>
              <w:pStyle w:val="NoSpacing"/>
              <w:rPr>
                <w:rFonts w:ascii="Calibri" w:eastAsiaTheme="majorEastAsia" w:hAnsi="Calibri" w:cstheme="majorBidi"/>
                <w:szCs w:val="26"/>
              </w:rPr>
            </w:pPr>
            <w:r>
              <w:rPr>
                <w:rFonts w:ascii="Calibri" w:eastAsiaTheme="majorEastAsia" w:hAnsi="Calibri" w:cstheme="majorBidi"/>
                <w:szCs w:val="26"/>
              </w:rPr>
              <w:t>Removed all references to Confidentiality Agreements and to state law RCW 42.48</w:t>
            </w:r>
          </w:p>
        </w:tc>
      </w:tr>
      <w:tr w:rsidR="006D12AB" w:rsidRPr="00D26748" w14:paraId="16DAB97D" w14:textId="77777777" w:rsidTr="00B849F6">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38D00" w14:textId="6162BD9A" w:rsidR="006D12AB" w:rsidRPr="00135B00" w:rsidRDefault="006D12AB" w:rsidP="006D12AB">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2.0</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650FC5" w14:textId="76418AE2" w:rsidR="006D12AB" w:rsidRPr="00135B00" w:rsidRDefault="006D12AB" w:rsidP="006D12AB">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05/07/2018</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AB914" w14:textId="6B5F4213" w:rsidR="006D12AB" w:rsidRPr="00135B00" w:rsidRDefault="006D12AB" w:rsidP="006D12AB">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05/07/2018</w:t>
            </w:r>
          </w:p>
        </w:tc>
        <w:tc>
          <w:tcPr>
            <w:tcW w:w="3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3B1D2B" w14:textId="17E943E3" w:rsidR="006D12AB" w:rsidRPr="00135B00" w:rsidRDefault="006D12AB" w:rsidP="006D12AB">
            <w:pPr>
              <w:pStyle w:val="NoSpacing"/>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RE use of HUD: clarified the importance of whether the UW IRB has approved its use, and that it doesn’t matter whether its being used on-label or off-label</w:t>
            </w:r>
            <w:r w:rsidR="009B0DDA">
              <w:rPr>
                <w:rFonts w:ascii="Calibri" w:eastAsiaTheme="majorEastAsia" w:hAnsi="Calibri" w:cstheme="majorBidi"/>
                <w:color w:val="000000" w:themeColor="text1"/>
                <w:szCs w:val="26"/>
              </w:rPr>
              <w:t>. Increased version number</w:t>
            </w:r>
            <w:r w:rsidR="00881FDA">
              <w:rPr>
                <w:rFonts w:ascii="Calibri" w:eastAsiaTheme="majorEastAsia" w:hAnsi="Calibri" w:cstheme="majorBidi"/>
                <w:color w:val="000000" w:themeColor="text1"/>
                <w:szCs w:val="26"/>
              </w:rPr>
              <w:t>.</w:t>
            </w:r>
          </w:p>
        </w:tc>
      </w:tr>
      <w:tr w:rsidR="006D12AB" w:rsidRPr="00D26748" w14:paraId="0A6E940F" w14:textId="77777777" w:rsidTr="00B849F6">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CB14" w14:textId="7808CEC0" w:rsidR="006D12AB" w:rsidRDefault="009B0DDA" w:rsidP="00927A50">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1.5</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E9B19" w14:textId="72F37DFA" w:rsidR="006D12AB" w:rsidRDefault="006D12AB" w:rsidP="00927A50">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07/26/2017</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1104E" w14:textId="5A1A5930" w:rsidR="006D12AB" w:rsidRPr="00135B00" w:rsidRDefault="009B0DDA" w:rsidP="00927A50">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07/26/2017</w:t>
            </w:r>
          </w:p>
        </w:tc>
        <w:tc>
          <w:tcPr>
            <w:tcW w:w="3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B74D9" w14:textId="502C78EE" w:rsidR="006D12AB" w:rsidRDefault="006D12AB" w:rsidP="00927A50">
            <w:pPr>
              <w:pStyle w:val="NoSpacing"/>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Updated links</w:t>
            </w:r>
          </w:p>
        </w:tc>
      </w:tr>
      <w:tr w:rsidR="006D12AB" w:rsidRPr="00D26748" w14:paraId="38C0BAEB" w14:textId="77777777" w:rsidTr="00B849F6">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CBE974" w14:textId="79F4796D" w:rsidR="006D12AB" w:rsidRDefault="009B0DDA" w:rsidP="00927A50">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1.4</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7DBF6" w14:textId="7E86CE75" w:rsidR="006D12AB" w:rsidRDefault="009B0DDA" w:rsidP="00927A50">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02/17/2015</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E3785" w14:textId="1E75DB53" w:rsidR="006D12AB" w:rsidRPr="00135B00" w:rsidRDefault="009B0DDA" w:rsidP="00927A50">
            <w:pPr>
              <w:pStyle w:val="NoSpacing"/>
              <w:jc w:val="center"/>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02/17/2015</w:t>
            </w:r>
          </w:p>
        </w:tc>
        <w:tc>
          <w:tcPr>
            <w:tcW w:w="3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4CA46" w14:textId="5C62DDE0" w:rsidR="006D12AB" w:rsidRDefault="009B0DDA" w:rsidP="00927A50">
            <w:pPr>
              <w:pStyle w:val="NoSpacing"/>
              <w:rPr>
                <w:rFonts w:ascii="Calibri" w:eastAsiaTheme="majorEastAsia" w:hAnsi="Calibri" w:cstheme="majorBidi"/>
                <w:color w:val="000000" w:themeColor="text1"/>
                <w:szCs w:val="26"/>
              </w:rPr>
            </w:pPr>
            <w:r>
              <w:rPr>
                <w:rFonts w:ascii="Calibri" w:eastAsiaTheme="majorEastAsia" w:hAnsi="Calibri" w:cstheme="majorBidi"/>
                <w:color w:val="000000" w:themeColor="text1"/>
                <w:szCs w:val="26"/>
              </w:rPr>
              <w:t xml:space="preserve">Added link to SOP Device Compassionate Use. </w:t>
            </w:r>
            <w:r w:rsidR="00881FDA">
              <w:rPr>
                <w:rFonts w:ascii="Calibri" w:eastAsiaTheme="majorEastAsia" w:hAnsi="Calibri" w:cstheme="majorBidi"/>
                <w:color w:val="000000" w:themeColor="text1"/>
                <w:szCs w:val="26"/>
              </w:rPr>
              <w:t>Previous versions are beyond record retention.</w:t>
            </w:r>
          </w:p>
        </w:tc>
      </w:tr>
    </w:tbl>
    <w:p w14:paraId="7D2DAD2E" w14:textId="52EDAB9E" w:rsidR="009378B0" w:rsidRDefault="009378B0" w:rsidP="001F101D">
      <w:pPr>
        <w:rPr>
          <w:rFonts w:ascii="Times New Roman" w:hAnsi="Times New Roman" w:cs="Times New Roman"/>
          <w:color w:val="000000"/>
          <w:sz w:val="23"/>
          <w:szCs w:val="23"/>
        </w:rPr>
      </w:pPr>
    </w:p>
    <w:p w14:paraId="02DDBC92" w14:textId="14AAF742" w:rsidR="00E86147" w:rsidRPr="00E86147" w:rsidRDefault="00E86147" w:rsidP="001F101D">
      <w:pP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Key Words: </w:t>
      </w:r>
      <w:r>
        <w:rPr>
          <w:rFonts w:ascii="Times New Roman" w:hAnsi="Times New Roman" w:cs="Times New Roman"/>
          <w:color w:val="000000"/>
          <w:sz w:val="23"/>
          <w:szCs w:val="23"/>
        </w:rPr>
        <w:t>HUD</w:t>
      </w:r>
    </w:p>
    <w:sectPr w:rsidR="00E86147" w:rsidRPr="00E86147" w:rsidSect="00E544AE">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0476" w14:textId="77777777" w:rsidR="000D1716" w:rsidRDefault="000D1716" w:rsidP="00253E58">
      <w:pPr>
        <w:spacing w:after="0" w:line="240" w:lineRule="auto"/>
      </w:pPr>
      <w:r>
        <w:separator/>
      </w:r>
    </w:p>
  </w:endnote>
  <w:endnote w:type="continuationSeparator" w:id="0">
    <w:p w14:paraId="0F146CD2" w14:textId="77777777" w:rsidR="000D1716" w:rsidRDefault="000D1716" w:rsidP="00253E58">
      <w:pPr>
        <w:spacing w:after="0" w:line="240" w:lineRule="auto"/>
      </w:pPr>
      <w:r>
        <w:continuationSeparator/>
      </w:r>
    </w:p>
  </w:endnote>
  <w:endnote w:type="continuationNotice" w:id="1">
    <w:p w14:paraId="060C4B03" w14:textId="77777777" w:rsidR="000D1716" w:rsidRDefault="000D1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Caption w:val="Footer"/>
      <w:tblDescription w:val="Includes version number, page number, document number, date"/>
    </w:tblPr>
    <w:tblGrid>
      <w:gridCol w:w="3290"/>
      <w:gridCol w:w="2998"/>
      <w:gridCol w:w="3062"/>
    </w:tblGrid>
    <w:tr w:rsidR="009147EF" w:rsidRPr="00934116" w14:paraId="53C1EABF" w14:textId="77777777" w:rsidTr="000F0E48">
      <w:trPr>
        <w:trHeight w:val="263"/>
      </w:trPr>
      <w:tc>
        <w:tcPr>
          <w:tcW w:w="6655" w:type="dxa"/>
          <w:gridSpan w:val="2"/>
          <w:tcBorders>
            <w:right w:val="nil"/>
          </w:tcBorders>
          <w:vAlign w:val="center"/>
        </w:tcPr>
        <w:p w14:paraId="53C1EABD" w14:textId="403C3C43" w:rsidR="009147EF" w:rsidRPr="00934116" w:rsidRDefault="00C13AF6" w:rsidP="00FF427F">
          <w:pPr>
            <w:pStyle w:val="Footer"/>
            <w:rPr>
              <w:rStyle w:val="PageNumber"/>
              <w:rFonts w:asciiTheme="minorHAnsi" w:hAnsiTheme="minorHAnsi" w:cstheme="minorHAnsi"/>
            </w:rPr>
          </w:pPr>
          <w:r>
            <w:rPr>
              <w:rFonts w:asciiTheme="minorHAnsi" w:hAnsiTheme="minorHAnsi" w:cstheme="minorHAnsi"/>
            </w:rPr>
            <w:t>10/08</w:t>
          </w:r>
          <w:r w:rsidR="00196A51">
            <w:rPr>
              <w:rFonts w:asciiTheme="minorHAnsi" w:hAnsiTheme="minorHAnsi" w:cstheme="minorHAnsi"/>
            </w:rPr>
            <w:t>/202</w:t>
          </w:r>
          <w:r w:rsidR="006D12AB">
            <w:rPr>
              <w:rFonts w:asciiTheme="minorHAnsi" w:hAnsiTheme="minorHAnsi" w:cstheme="minorHAnsi"/>
            </w:rPr>
            <w:t>1</w:t>
          </w:r>
        </w:p>
      </w:tc>
      <w:tc>
        <w:tcPr>
          <w:tcW w:w="3281" w:type="dxa"/>
          <w:tcBorders>
            <w:left w:val="nil"/>
          </w:tcBorders>
          <w:vAlign w:val="center"/>
        </w:tcPr>
        <w:p w14:paraId="53C1EABE" w14:textId="5311B49D" w:rsidR="009147EF" w:rsidRPr="00934116" w:rsidRDefault="009147EF" w:rsidP="00C74724">
          <w:pPr>
            <w:pStyle w:val="Footer"/>
            <w:jc w:val="right"/>
            <w:rPr>
              <w:rFonts w:asciiTheme="minorHAnsi" w:hAnsiTheme="minorHAnsi" w:cstheme="minorHAnsi"/>
            </w:rPr>
          </w:pPr>
        </w:p>
      </w:tc>
    </w:tr>
    <w:tr w:rsidR="009147EF" w:rsidRPr="00934116" w14:paraId="53C1EAC3" w14:textId="77777777" w:rsidTr="000F0E48">
      <w:trPr>
        <w:trHeight w:val="347"/>
      </w:trPr>
      <w:tc>
        <w:tcPr>
          <w:tcW w:w="3509" w:type="dxa"/>
          <w:tcBorders>
            <w:left w:val="nil"/>
            <w:bottom w:val="nil"/>
            <w:right w:val="nil"/>
          </w:tcBorders>
          <w:vAlign w:val="center"/>
        </w:tcPr>
        <w:p w14:paraId="53C1EAC0" w14:textId="67954CE1" w:rsidR="009147EF" w:rsidRPr="00934116" w:rsidRDefault="00196A51" w:rsidP="00A42F35">
          <w:pPr>
            <w:pStyle w:val="Footer"/>
            <w:rPr>
              <w:rFonts w:asciiTheme="minorHAnsi" w:hAnsiTheme="minorHAnsi" w:cstheme="minorHAnsi"/>
            </w:rPr>
          </w:pPr>
          <w:r>
            <w:rPr>
              <w:rFonts w:asciiTheme="minorHAnsi" w:hAnsiTheme="minorHAnsi" w:cstheme="minorHAnsi"/>
            </w:rPr>
            <w:t>Version 2.</w:t>
          </w:r>
          <w:r w:rsidR="006D12AB">
            <w:rPr>
              <w:rFonts w:asciiTheme="minorHAnsi" w:hAnsiTheme="minorHAnsi" w:cstheme="minorHAnsi"/>
            </w:rPr>
            <w:t>2</w:t>
          </w:r>
          <w:r w:rsidR="00E86147">
            <w:rPr>
              <w:rFonts w:asciiTheme="minorHAnsi" w:hAnsiTheme="minorHAnsi" w:cstheme="minorHAnsi"/>
            </w:rPr>
            <w:t>1</w:t>
          </w:r>
        </w:p>
      </w:tc>
      <w:tc>
        <w:tcPr>
          <w:tcW w:w="3146" w:type="dxa"/>
          <w:tcBorders>
            <w:left w:val="nil"/>
            <w:bottom w:val="nil"/>
            <w:right w:val="nil"/>
          </w:tcBorders>
          <w:vAlign w:val="center"/>
        </w:tcPr>
        <w:p w14:paraId="53C1EAC1" w14:textId="74D71263" w:rsidR="009147EF" w:rsidRPr="009378B0" w:rsidRDefault="00196A51" w:rsidP="00F7055F">
          <w:pPr>
            <w:pStyle w:val="Footer"/>
            <w:jc w:val="center"/>
            <w:rPr>
              <w:rStyle w:val="PageNumber"/>
              <w:rFonts w:asciiTheme="minorHAnsi" w:hAnsiTheme="minorHAnsi" w:cstheme="minorHAnsi"/>
            </w:rPr>
          </w:pPr>
          <w:r>
            <w:rPr>
              <w:rFonts w:asciiTheme="minorHAnsi" w:hAnsiTheme="minorHAnsi" w:cstheme="minorHAnsi"/>
            </w:rPr>
            <w:t>SOP Humanitarian Use Device</w:t>
          </w:r>
        </w:p>
      </w:tc>
      <w:tc>
        <w:tcPr>
          <w:tcW w:w="3281" w:type="dxa"/>
          <w:tcBorders>
            <w:left w:val="nil"/>
            <w:bottom w:val="nil"/>
            <w:right w:val="nil"/>
          </w:tcBorders>
          <w:vAlign w:val="center"/>
        </w:tcPr>
        <w:p w14:paraId="53C1EAC2" w14:textId="70EEDF8B" w:rsidR="009147EF" w:rsidRPr="00934116" w:rsidRDefault="009147EF" w:rsidP="000F0E48">
          <w:pPr>
            <w:pStyle w:val="Footer"/>
            <w:jc w:val="right"/>
            <w:rPr>
              <w:rStyle w:val="PageNumber"/>
              <w:rFonts w:asciiTheme="minorHAnsi" w:hAnsiTheme="minorHAnsi" w:cstheme="minorHAnsi"/>
            </w:rPr>
          </w:pPr>
          <w:r w:rsidRPr="00934116">
            <w:rPr>
              <w:rFonts w:asciiTheme="minorHAnsi" w:hAnsiTheme="minorHAnsi" w:cstheme="minorHAnsi"/>
            </w:rPr>
            <w:t xml:space="preserve">Page </w:t>
          </w:r>
          <w:r w:rsidRPr="00934116">
            <w:rPr>
              <w:rStyle w:val="PageNumber"/>
              <w:rFonts w:cstheme="minorHAnsi"/>
            </w:rPr>
            <w:fldChar w:fldCharType="begin"/>
          </w:r>
          <w:r w:rsidRPr="00934116">
            <w:rPr>
              <w:rStyle w:val="PageNumber"/>
              <w:rFonts w:asciiTheme="minorHAnsi" w:hAnsiTheme="minorHAnsi" w:cstheme="minorHAnsi"/>
            </w:rPr>
            <w:instrText xml:space="preserve"> PAGE </w:instrText>
          </w:r>
          <w:r w:rsidRPr="00934116">
            <w:rPr>
              <w:rStyle w:val="PageNumber"/>
              <w:rFonts w:cstheme="minorHAnsi"/>
            </w:rPr>
            <w:fldChar w:fldCharType="separate"/>
          </w:r>
          <w:r w:rsidR="00310C60">
            <w:rPr>
              <w:rStyle w:val="PageNumber"/>
              <w:rFonts w:asciiTheme="minorHAnsi" w:hAnsiTheme="minorHAnsi" w:cstheme="minorHAnsi"/>
              <w:noProof/>
            </w:rPr>
            <w:t>8</w:t>
          </w:r>
          <w:r w:rsidRPr="00934116">
            <w:rPr>
              <w:rStyle w:val="PageNumber"/>
              <w:rFonts w:cstheme="minorHAnsi"/>
            </w:rPr>
            <w:fldChar w:fldCharType="end"/>
          </w:r>
          <w:r w:rsidRPr="00934116">
            <w:rPr>
              <w:rStyle w:val="PageNumber"/>
              <w:rFonts w:asciiTheme="minorHAnsi" w:hAnsiTheme="minorHAnsi" w:cstheme="minorHAnsi"/>
            </w:rPr>
            <w:t xml:space="preserve"> of </w:t>
          </w:r>
          <w:r w:rsidRPr="00934116">
            <w:rPr>
              <w:rStyle w:val="PageNumber"/>
              <w:rFonts w:cstheme="minorHAnsi"/>
            </w:rPr>
            <w:fldChar w:fldCharType="begin"/>
          </w:r>
          <w:r w:rsidRPr="00934116">
            <w:rPr>
              <w:rStyle w:val="PageNumber"/>
              <w:rFonts w:asciiTheme="minorHAnsi" w:hAnsiTheme="minorHAnsi" w:cstheme="minorHAnsi"/>
            </w:rPr>
            <w:instrText xml:space="preserve"> NUMPAGES </w:instrText>
          </w:r>
          <w:r w:rsidRPr="00934116">
            <w:rPr>
              <w:rStyle w:val="PageNumber"/>
              <w:rFonts w:cstheme="minorHAnsi"/>
            </w:rPr>
            <w:fldChar w:fldCharType="separate"/>
          </w:r>
          <w:r>
            <w:rPr>
              <w:rStyle w:val="PageNumber"/>
              <w:rFonts w:asciiTheme="minorHAnsi" w:hAnsiTheme="minorHAnsi" w:cstheme="minorHAnsi"/>
              <w:noProof/>
            </w:rPr>
            <w:t>8</w:t>
          </w:r>
          <w:r w:rsidRPr="00934116">
            <w:rPr>
              <w:rStyle w:val="PageNumber"/>
              <w:rFonts w:cstheme="minorHAnsi"/>
            </w:rPr>
            <w:fldChar w:fldCharType="end"/>
          </w:r>
        </w:p>
      </w:tc>
    </w:tr>
  </w:tbl>
  <w:p w14:paraId="53C1EAC4" w14:textId="77777777" w:rsidR="009147EF" w:rsidRDefault="0091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0BAA" w14:textId="77777777" w:rsidR="000D1716" w:rsidRDefault="000D1716" w:rsidP="00253E58">
      <w:pPr>
        <w:spacing w:after="0" w:line="240" w:lineRule="auto"/>
      </w:pPr>
      <w:r>
        <w:separator/>
      </w:r>
    </w:p>
  </w:footnote>
  <w:footnote w:type="continuationSeparator" w:id="0">
    <w:p w14:paraId="666EEACA" w14:textId="77777777" w:rsidR="000D1716" w:rsidRDefault="000D1716" w:rsidP="00253E58">
      <w:pPr>
        <w:spacing w:after="0" w:line="240" w:lineRule="auto"/>
      </w:pPr>
      <w:r>
        <w:continuationSeparator/>
      </w:r>
    </w:p>
  </w:footnote>
  <w:footnote w:type="continuationNotice" w:id="1">
    <w:p w14:paraId="46C9B286" w14:textId="77777777" w:rsidR="000D1716" w:rsidRDefault="000D1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Caption w:val="Humanitarian Use Device"/>
      <w:tblDescription w:val="Heading"/>
    </w:tblPr>
    <w:tblGrid>
      <w:gridCol w:w="5026"/>
      <w:gridCol w:w="4334"/>
    </w:tblGrid>
    <w:tr w:rsidR="009147EF" w14:paraId="53C1EAB9" w14:textId="77777777" w:rsidTr="000F0E48">
      <w:trPr>
        <w:trHeight w:val="872"/>
      </w:trPr>
      <w:tc>
        <w:tcPr>
          <w:tcW w:w="5026" w:type="dxa"/>
          <w:tcBorders>
            <w:top w:val="nil"/>
            <w:left w:val="nil"/>
            <w:bottom w:val="nil"/>
            <w:right w:val="nil"/>
          </w:tcBorders>
          <w:vAlign w:val="center"/>
        </w:tcPr>
        <w:p w14:paraId="53C1EAB7" w14:textId="77777777" w:rsidR="009147EF" w:rsidRDefault="009147EF" w:rsidP="000F0E48">
          <w:pPr>
            <w:tabs>
              <w:tab w:val="right" w:pos="9720"/>
            </w:tabs>
            <w:outlineLvl w:val="0"/>
            <w:rPr>
              <w:rFonts w:cs="Arial"/>
              <w:b/>
              <w:bCs/>
              <w:sz w:val="28"/>
              <w:szCs w:val="28"/>
            </w:rPr>
          </w:pPr>
          <w:r>
            <w:rPr>
              <w:noProof/>
            </w:rPr>
            <w:drawing>
              <wp:inline distT="0" distB="0" distL="0" distR="0" wp14:anchorId="53C1EAC5" wp14:editId="182DF999">
                <wp:extent cx="3054350" cy="371475"/>
                <wp:effectExtent l="0" t="0" r="0" b="9525"/>
                <wp:docPr id="5" name="Picture 5" descr="Logo" title="University of Washington Human Subjects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D graphic element - 300 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4350" cy="371475"/>
                        </a:xfrm>
                        <a:prstGeom prst="rect">
                          <a:avLst/>
                        </a:prstGeom>
                        <a:noFill/>
                        <a:ln w="9525">
                          <a:noFill/>
                          <a:miter lim="800000"/>
                          <a:headEnd/>
                          <a:tailEnd/>
                        </a:ln>
                      </pic:spPr>
                    </pic:pic>
                  </a:graphicData>
                </a:graphic>
              </wp:inline>
            </w:drawing>
          </w:r>
        </w:p>
      </w:tc>
      <w:tc>
        <w:tcPr>
          <w:tcW w:w="4910" w:type="dxa"/>
          <w:tcBorders>
            <w:top w:val="nil"/>
            <w:left w:val="nil"/>
            <w:bottom w:val="nil"/>
            <w:right w:val="nil"/>
          </w:tcBorders>
          <w:vAlign w:val="center"/>
        </w:tcPr>
        <w:p w14:paraId="53C1EAB8" w14:textId="56D6A2C2" w:rsidR="009147EF" w:rsidRPr="002C443C" w:rsidRDefault="006C76CA" w:rsidP="007F74F0">
          <w:pPr>
            <w:tabs>
              <w:tab w:val="right" w:pos="9720"/>
            </w:tabs>
            <w:jc w:val="right"/>
            <w:outlineLvl w:val="0"/>
            <w:rPr>
              <w:rFonts w:asciiTheme="minorHAnsi" w:hAnsiTheme="minorHAnsi" w:cstheme="minorHAnsi"/>
              <w:b/>
              <w:bCs/>
              <w:sz w:val="28"/>
              <w:szCs w:val="28"/>
            </w:rPr>
          </w:pPr>
          <w:r>
            <w:rPr>
              <w:rFonts w:asciiTheme="minorHAnsi" w:hAnsiTheme="minorHAnsi" w:cstheme="minorHAnsi"/>
              <w:b/>
              <w:bCs/>
              <w:sz w:val="28"/>
              <w:szCs w:val="28"/>
            </w:rPr>
            <w:t xml:space="preserve">SOP </w:t>
          </w:r>
          <w:r w:rsidR="009147EF">
            <w:rPr>
              <w:rFonts w:asciiTheme="minorHAnsi" w:hAnsiTheme="minorHAnsi" w:cstheme="minorHAnsi"/>
              <w:b/>
              <w:bCs/>
              <w:sz w:val="28"/>
              <w:szCs w:val="28"/>
            </w:rPr>
            <w:t>Humanitarian Use Device</w:t>
          </w:r>
        </w:p>
      </w:tc>
    </w:tr>
  </w:tbl>
  <w:p w14:paraId="53C1EABA" w14:textId="77777777" w:rsidR="009147EF" w:rsidRDefault="009147EF">
    <w:pPr>
      <w:pStyle w:val="Header"/>
    </w:pPr>
  </w:p>
  <w:p w14:paraId="53C1EABB" w14:textId="77777777" w:rsidR="009147EF" w:rsidRDefault="009147EF" w:rsidP="00253E58">
    <w:pPr>
      <w:pStyle w:val="Header"/>
      <w:shd w:val="clear" w:color="auto" w:fill="39275B"/>
    </w:pPr>
  </w:p>
  <w:p w14:paraId="53C1EABC" w14:textId="77777777" w:rsidR="009147EF" w:rsidRDefault="009147EF" w:rsidP="0058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0F3E"/>
    <w:multiLevelType w:val="multilevel"/>
    <w:tmpl w:val="D5DC0158"/>
    <w:numStyleLink w:val="HSDSOPHeadings"/>
  </w:abstractNum>
  <w:abstractNum w:abstractNumId="1" w15:restartNumberingAfterBreak="0">
    <w:nsid w:val="11F9231D"/>
    <w:multiLevelType w:val="multilevel"/>
    <w:tmpl w:val="D5DC0158"/>
    <w:numStyleLink w:val="HSDSOPHeadings"/>
  </w:abstractNum>
  <w:abstractNum w:abstractNumId="2" w15:restartNumberingAfterBreak="0">
    <w:nsid w:val="1CE24AB0"/>
    <w:multiLevelType w:val="hybridMultilevel"/>
    <w:tmpl w:val="0B16A38E"/>
    <w:lvl w:ilvl="0" w:tplc="51AEE9B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132CC"/>
    <w:multiLevelType w:val="multilevel"/>
    <w:tmpl w:val="D5DC0158"/>
    <w:numStyleLink w:val="HSDSOPHeadings"/>
  </w:abstractNum>
  <w:abstractNum w:abstractNumId="4" w15:restartNumberingAfterBreak="0">
    <w:nsid w:val="404734C8"/>
    <w:multiLevelType w:val="hybridMultilevel"/>
    <w:tmpl w:val="338CD78C"/>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5" w15:restartNumberingAfterBreak="0">
    <w:nsid w:val="52B116CC"/>
    <w:multiLevelType w:val="multilevel"/>
    <w:tmpl w:val="D5DC0158"/>
    <w:styleLink w:val="HSDSOP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512" w:hanging="648"/>
      </w:pPr>
      <w:rPr>
        <w:rFonts w:hint="default"/>
      </w:rPr>
    </w:lvl>
    <w:lvl w:ilvl="3">
      <w:start w:val="1"/>
      <w:numFmt w:val="decimal"/>
      <w:pStyle w:val="Heading4"/>
      <w:lvlText w:val="%1.%2.%3.%4"/>
      <w:lvlJc w:val="left"/>
      <w:pPr>
        <w:tabs>
          <w:tab w:val="num" w:pos="1512"/>
        </w:tabs>
        <w:ind w:left="2376" w:hanging="864"/>
      </w:pPr>
      <w:rPr>
        <w:rFonts w:hint="default"/>
      </w:rPr>
    </w:lvl>
    <w:lvl w:ilvl="4">
      <w:start w:val="1"/>
      <w:numFmt w:val="decimal"/>
      <w:pStyle w:val="Heading5"/>
      <w:lvlText w:val="%1.%2.%3.%4.%5"/>
      <w:lvlJc w:val="left"/>
      <w:pPr>
        <w:tabs>
          <w:tab w:val="num" w:pos="2376"/>
        </w:tabs>
        <w:ind w:left="3456" w:hanging="1080"/>
      </w:pPr>
      <w:rPr>
        <w:rFonts w:hint="default"/>
      </w:rPr>
    </w:lvl>
    <w:lvl w:ilvl="5">
      <w:start w:val="1"/>
      <w:numFmt w:val="decimal"/>
      <w:pStyle w:val="Heading6"/>
      <w:lvlText w:val="%1.%2.%3.%4.%5.%6"/>
      <w:lvlJc w:val="left"/>
      <w:pPr>
        <w:tabs>
          <w:tab w:val="num" w:pos="3456"/>
        </w:tabs>
        <w:ind w:left="4680" w:hanging="1224"/>
      </w:pPr>
      <w:rPr>
        <w:rFonts w:hint="default"/>
      </w:rPr>
    </w:lvl>
    <w:lvl w:ilvl="6">
      <w:start w:val="1"/>
      <w:numFmt w:val="decimal"/>
      <w:pStyle w:val="Heading7"/>
      <w:lvlText w:val="%1.%2.%3.%4.%5.%6.%7"/>
      <w:lvlJc w:val="left"/>
      <w:pPr>
        <w:tabs>
          <w:tab w:val="num" w:pos="3672"/>
        </w:tabs>
        <w:ind w:left="5040" w:hanging="1368"/>
      </w:pPr>
      <w:rPr>
        <w:rFonts w:hint="default"/>
      </w:rPr>
    </w:lvl>
    <w:lvl w:ilvl="7">
      <w:start w:val="1"/>
      <w:numFmt w:val="decimal"/>
      <w:pStyle w:val="Heading8"/>
      <w:lvlText w:val="%1.%2.%3.%4.%5.%6.%7.%8"/>
      <w:lvlJc w:val="left"/>
      <w:pPr>
        <w:tabs>
          <w:tab w:val="num" w:pos="4176"/>
        </w:tabs>
        <w:ind w:left="5472" w:hanging="1512"/>
      </w:pPr>
      <w:rPr>
        <w:rFonts w:hint="default"/>
      </w:rPr>
    </w:lvl>
    <w:lvl w:ilvl="8">
      <w:start w:val="1"/>
      <w:numFmt w:val="decimal"/>
      <w:pStyle w:val="Heading9"/>
      <w:lvlText w:val="%1.%2.%3.%4.%5.%6.%7.%8.%9"/>
      <w:lvlJc w:val="left"/>
      <w:pPr>
        <w:ind w:left="6120" w:hanging="1800"/>
      </w:pPr>
      <w:rPr>
        <w:rFonts w:hint="default"/>
      </w:rPr>
    </w:lvl>
  </w:abstractNum>
  <w:abstractNum w:abstractNumId="6" w15:restartNumberingAfterBreak="0">
    <w:nsid w:val="5E5A5C06"/>
    <w:multiLevelType w:val="multilevel"/>
    <w:tmpl w:val="D5DC0158"/>
    <w:numStyleLink w:val="HSDSOPHeadings"/>
  </w:abstractNum>
  <w:abstractNum w:abstractNumId="7" w15:restartNumberingAfterBreak="0">
    <w:nsid w:val="65925AD0"/>
    <w:multiLevelType w:val="multilevel"/>
    <w:tmpl w:val="D5DC0158"/>
    <w:numStyleLink w:val="HSDSOPHeadings"/>
  </w:abstractNum>
  <w:num w:numId="1">
    <w:abstractNumId w:val="5"/>
  </w:num>
  <w:num w:numId="2">
    <w:abstractNumId w:val="3"/>
  </w:num>
  <w:num w:numId="3">
    <w:abstractNumId w:val="0"/>
  </w:num>
  <w:num w:numId="4">
    <w:abstractNumId w:val="1"/>
  </w:num>
  <w:num w:numId="5">
    <w:abstractNumId w:val="6"/>
  </w:num>
  <w:num w:numId="6">
    <w:abstractNumId w:val="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864" w:hanging="504"/>
        </w:pPr>
        <w:rPr>
          <w:rFonts w:asciiTheme="minorHAnsi" w:hAnsiTheme="minorHAnsi" w:hint="default"/>
          <w:sz w:val="22"/>
          <w:szCs w:val="22"/>
        </w:rPr>
      </w:lvl>
    </w:lvlOverride>
    <w:lvlOverride w:ilvl="2">
      <w:lvl w:ilvl="2">
        <w:start w:val="1"/>
        <w:numFmt w:val="decimal"/>
        <w:pStyle w:val="Heading3"/>
        <w:lvlText w:val="%1.%2.%3"/>
        <w:lvlJc w:val="left"/>
        <w:pPr>
          <w:ind w:left="1512" w:hanging="648"/>
        </w:pPr>
        <w:rPr>
          <w:rFonts w:hint="default"/>
        </w:rPr>
      </w:lvl>
    </w:lvlOverride>
    <w:lvlOverride w:ilvl="3">
      <w:lvl w:ilvl="3">
        <w:start w:val="1"/>
        <w:numFmt w:val="decimal"/>
        <w:pStyle w:val="Heading4"/>
        <w:lvlText w:val="%1.%2.%3.%4"/>
        <w:lvlJc w:val="left"/>
        <w:pPr>
          <w:tabs>
            <w:tab w:val="num" w:pos="1512"/>
          </w:tabs>
          <w:ind w:left="2376" w:hanging="864"/>
        </w:pPr>
        <w:rPr>
          <w:rFonts w:hint="default"/>
        </w:rPr>
      </w:lvl>
    </w:lvlOverride>
    <w:lvlOverride w:ilvl="4">
      <w:lvl w:ilvl="4">
        <w:start w:val="1"/>
        <w:numFmt w:val="decimal"/>
        <w:pStyle w:val="Heading5"/>
        <w:lvlText w:val="%1.%2.%3.%4.%5"/>
        <w:lvlJc w:val="left"/>
        <w:pPr>
          <w:tabs>
            <w:tab w:val="num" w:pos="2376"/>
          </w:tabs>
          <w:ind w:left="3456" w:hanging="1080"/>
        </w:pPr>
        <w:rPr>
          <w:rFonts w:hint="default"/>
        </w:rPr>
      </w:lvl>
    </w:lvlOverride>
    <w:lvlOverride w:ilvl="5">
      <w:lvl w:ilvl="5">
        <w:start w:val="1"/>
        <w:numFmt w:val="decimal"/>
        <w:pStyle w:val="Heading6"/>
        <w:lvlText w:val="%1.%2.%3.%4.%5.%6"/>
        <w:lvlJc w:val="left"/>
        <w:pPr>
          <w:tabs>
            <w:tab w:val="num" w:pos="3456"/>
          </w:tabs>
          <w:ind w:left="4680" w:hanging="1224"/>
        </w:pPr>
        <w:rPr>
          <w:rFonts w:hint="default"/>
        </w:rPr>
      </w:lvl>
    </w:lvlOverride>
    <w:lvlOverride w:ilvl="6">
      <w:lvl w:ilvl="6">
        <w:start w:val="1"/>
        <w:numFmt w:val="decimal"/>
        <w:pStyle w:val="Heading7"/>
        <w:lvlText w:val="%1.%2.%3.%4.%5.%6.%7"/>
        <w:lvlJc w:val="left"/>
        <w:pPr>
          <w:tabs>
            <w:tab w:val="num" w:pos="3672"/>
          </w:tabs>
          <w:ind w:left="5040" w:hanging="1368"/>
        </w:pPr>
        <w:rPr>
          <w:rFonts w:hint="default"/>
        </w:rPr>
      </w:lvl>
    </w:lvlOverride>
    <w:lvlOverride w:ilvl="7">
      <w:lvl w:ilvl="7">
        <w:start w:val="1"/>
        <w:numFmt w:val="decimal"/>
        <w:pStyle w:val="Heading8"/>
        <w:lvlText w:val="%1.%2.%3.%4.%5.%6.%7.%8"/>
        <w:lvlJc w:val="left"/>
        <w:pPr>
          <w:tabs>
            <w:tab w:val="num" w:pos="4176"/>
          </w:tabs>
          <w:ind w:left="5472" w:hanging="1512"/>
        </w:pPr>
        <w:rPr>
          <w:rFonts w:hint="default"/>
        </w:rPr>
      </w:lvl>
    </w:lvlOverride>
    <w:lvlOverride w:ilvl="8">
      <w:lvl w:ilvl="8">
        <w:start w:val="1"/>
        <w:numFmt w:val="decimal"/>
        <w:pStyle w:val="Heading9"/>
        <w:lvlText w:val="%1.%2.%3.%4.%5.%6.%7.%8.%9"/>
        <w:lvlJc w:val="left"/>
        <w:pPr>
          <w:ind w:left="6120" w:hanging="1800"/>
        </w:pPr>
        <w:rPr>
          <w:rFonts w:hint="default"/>
        </w:rPr>
      </w:lvl>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BF"/>
    <w:rsid w:val="000001BC"/>
    <w:rsid w:val="0001276A"/>
    <w:rsid w:val="00022450"/>
    <w:rsid w:val="00024C52"/>
    <w:rsid w:val="00026DA2"/>
    <w:rsid w:val="00037231"/>
    <w:rsid w:val="000567B0"/>
    <w:rsid w:val="00064B19"/>
    <w:rsid w:val="00083801"/>
    <w:rsid w:val="000903EB"/>
    <w:rsid w:val="000923AA"/>
    <w:rsid w:val="00096F87"/>
    <w:rsid w:val="000B0047"/>
    <w:rsid w:val="000C1F4F"/>
    <w:rsid w:val="000C4E0E"/>
    <w:rsid w:val="000D1716"/>
    <w:rsid w:val="000D76CE"/>
    <w:rsid w:val="000F0E48"/>
    <w:rsid w:val="000F2BB1"/>
    <w:rsid w:val="00117208"/>
    <w:rsid w:val="0013152C"/>
    <w:rsid w:val="00134AAA"/>
    <w:rsid w:val="00137202"/>
    <w:rsid w:val="00143D01"/>
    <w:rsid w:val="00150B4E"/>
    <w:rsid w:val="00151CBD"/>
    <w:rsid w:val="0016123E"/>
    <w:rsid w:val="00173E2C"/>
    <w:rsid w:val="0019167E"/>
    <w:rsid w:val="00196A51"/>
    <w:rsid w:val="001C1CC3"/>
    <w:rsid w:val="001D1E73"/>
    <w:rsid w:val="001E33B8"/>
    <w:rsid w:val="001F101D"/>
    <w:rsid w:val="001F5D4B"/>
    <w:rsid w:val="002013B2"/>
    <w:rsid w:val="0020408E"/>
    <w:rsid w:val="0021406C"/>
    <w:rsid w:val="0021565A"/>
    <w:rsid w:val="00232AC7"/>
    <w:rsid w:val="00242A8C"/>
    <w:rsid w:val="002435DD"/>
    <w:rsid w:val="00244F12"/>
    <w:rsid w:val="00253E58"/>
    <w:rsid w:val="002618FA"/>
    <w:rsid w:val="002629E4"/>
    <w:rsid w:val="00265088"/>
    <w:rsid w:val="00285688"/>
    <w:rsid w:val="00290B9C"/>
    <w:rsid w:val="002A49DF"/>
    <w:rsid w:val="002C25F5"/>
    <w:rsid w:val="002C40CA"/>
    <w:rsid w:val="002D167B"/>
    <w:rsid w:val="002E1080"/>
    <w:rsid w:val="002E5491"/>
    <w:rsid w:val="00310C60"/>
    <w:rsid w:val="003115A0"/>
    <w:rsid w:val="00313E29"/>
    <w:rsid w:val="00324646"/>
    <w:rsid w:val="00326891"/>
    <w:rsid w:val="0032713C"/>
    <w:rsid w:val="00335385"/>
    <w:rsid w:val="0035581D"/>
    <w:rsid w:val="00362F1D"/>
    <w:rsid w:val="00363DC0"/>
    <w:rsid w:val="0036719B"/>
    <w:rsid w:val="003723DE"/>
    <w:rsid w:val="00380E8E"/>
    <w:rsid w:val="00396CD4"/>
    <w:rsid w:val="003C407A"/>
    <w:rsid w:val="003C52F8"/>
    <w:rsid w:val="003C581D"/>
    <w:rsid w:val="003E6C43"/>
    <w:rsid w:val="00403066"/>
    <w:rsid w:val="00414FF1"/>
    <w:rsid w:val="0042135E"/>
    <w:rsid w:val="0043166E"/>
    <w:rsid w:val="00433D1A"/>
    <w:rsid w:val="004345BD"/>
    <w:rsid w:val="004407F8"/>
    <w:rsid w:val="00451A0A"/>
    <w:rsid w:val="004743CE"/>
    <w:rsid w:val="00480306"/>
    <w:rsid w:val="004A6ED9"/>
    <w:rsid w:val="004C302A"/>
    <w:rsid w:val="004E0B38"/>
    <w:rsid w:val="004F2B9C"/>
    <w:rsid w:val="004F3051"/>
    <w:rsid w:val="0051701C"/>
    <w:rsid w:val="00524652"/>
    <w:rsid w:val="0052753C"/>
    <w:rsid w:val="00586779"/>
    <w:rsid w:val="00586A25"/>
    <w:rsid w:val="005C441B"/>
    <w:rsid w:val="005E1212"/>
    <w:rsid w:val="005F6A4D"/>
    <w:rsid w:val="0060136E"/>
    <w:rsid w:val="00606CE9"/>
    <w:rsid w:val="00622579"/>
    <w:rsid w:val="0062758F"/>
    <w:rsid w:val="006279CE"/>
    <w:rsid w:val="00630833"/>
    <w:rsid w:val="00631BF0"/>
    <w:rsid w:val="006323D7"/>
    <w:rsid w:val="00641CCA"/>
    <w:rsid w:val="00665341"/>
    <w:rsid w:val="00675934"/>
    <w:rsid w:val="00677958"/>
    <w:rsid w:val="00682D8D"/>
    <w:rsid w:val="006916F4"/>
    <w:rsid w:val="006B3419"/>
    <w:rsid w:val="006C0719"/>
    <w:rsid w:val="006C3E4B"/>
    <w:rsid w:val="006C76CA"/>
    <w:rsid w:val="006D12AB"/>
    <w:rsid w:val="006D2234"/>
    <w:rsid w:val="006E5BA0"/>
    <w:rsid w:val="006F4D0F"/>
    <w:rsid w:val="006F7317"/>
    <w:rsid w:val="0070543E"/>
    <w:rsid w:val="00714B2B"/>
    <w:rsid w:val="007360DC"/>
    <w:rsid w:val="00746A1B"/>
    <w:rsid w:val="00757BCF"/>
    <w:rsid w:val="00780FA4"/>
    <w:rsid w:val="007A4B45"/>
    <w:rsid w:val="007A4E25"/>
    <w:rsid w:val="007C5E71"/>
    <w:rsid w:val="007C75E5"/>
    <w:rsid w:val="007E3BC7"/>
    <w:rsid w:val="007F12F4"/>
    <w:rsid w:val="007F74F0"/>
    <w:rsid w:val="008121B1"/>
    <w:rsid w:val="00822B0D"/>
    <w:rsid w:val="008327B8"/>
    <w:rsid w:val="00833400"/>
    <w:rsid w:val="00840764"/>
    <w:rsid w:val="00843CE9"/>
    <w:rsid w:val="00853417"/>
    <w:rsid w:val="00861BF3"/>
    <w:rsid w:val="008777AC"/>
    <w:rsid w:val="00881FCB"/>
    <w:rsid w:val="00881FDA"/>
    <w:rsid w:val="00882722"/>
    <w:rsid w:val="00891362"/>
    <w:rsid w:val="008A06D3"/>
    <w:rsid w:val="008A17A4"/>
    <w:rsid w:val="008A2CD5"/>
    <w:rsid w:val="008B6EEE"/>
    <w:rsid w:val="008D5010"/>
    <w:rsid w:val="008E3ED7"/>
    <w:rsid w:val="008E52D0"/>
    <w:rsid w:val="00905FCF"/>
    <w:rsid w:val="00912D03"/>
    <w:rsid w:val="009147EF"/>
    <w:rsid w:val="00923038"/>
    <w:rsid w:val="00923665"/>
    <w:rsid w:val="009378B0"/>
    <w:rsid w:val="009423FC"/>
    <w:rsid w:val="00946E4E"/>
    <w:rsid w:val="0095402D"/>
    <w:rsid w:val="00966E64"/>
    <w:rsid w:val="009A71D8"/>
    <w:rsid w:val="009B0DDA"/>
    <w:rsid w:val="009C398C"/>
    <w:rsid w:val="00A075E3"/>
    <w:rsid w:val="00A24BF7"/>
    <w:rsid w:val="00A42F35"/>
    <w:rsid w:val="00A43E47"/>
    <w:rsid w:val="00A50055"/>
    <w:rsid w:val="00A54C8B"/>
    <w:rsid w:val="00A65743"/>
    <w:rsid w:val="00A73410"/>
    <w:rsid w:val="00A77D42"/>
    <w:rsid w:val="00A77E73"/>
    <w:rsid w:val="00A9614C"/>
    <w:rsid w:val="00AB1846"/>
    <w:rsid w:val="00AC4701"/>
    <w:rsid w:val="00AC5594"/>
    <w:rsid w:val="00AE28B4"/>
    <w:rsid w:val="00AF2502"/>
    <w:rsid w:val="00B22C28"/>
    <w:rsid w:val="00B3224E"/>
    <w:rsid w:val="00B33555"/>
    <w:rsid w:val="00B50075"/>
    <w:rsid w:val="00B5235B"/>
    <w:rsid w:val="00B64563"/>
    <w:rsid w:val="00B80459"/>
    <w:rsid w:val="00B849F6"/>
    <w:rsid w:val="00BB018F"/>
    <w:rsid w:val="00BB1B85"/>
    <w:rsid w:val="00BD6C44"/>
    <w:rsid w:val="00BD7152"/>
    <w:rsid w:val="00C13AF6"/>
    <w:rsid w:val="00C23DD8"/>
    <w:rsid w:val="00C325E2"/>
    <w:rsid w:val="00C3384B"/>
    <w:rsid w:val="00C41B43"/>
    <w:rsid w:val="00C47741"/>
    <w:rsid w:val="00C7147F"/>
    <w:rsid w:val="00C74724"/>
    <w:rsid w:val="00C74C2B"/>
    <w:rsid w:val="00C75F17"/>
    <w:rsid w:val="00C867AC"/>
    <w:rsid w:val="00CA09BF"/>
    <w:rsid w:val="00CA140D"/>
    <w:rsid w:val="00CA68A8"/>
    <w:rsid w:val="00CC64CD"/>
    <w:rsid w:val="00CD7207"/>
    <w:rsid w:val="00D24529"/>
    <w:rsid w:val="00D31A77"/>
    <w:rsid w:val="00D35E1A"/>
    <w:rsid w:val="00D42344"/>
    <w:rsid w:val="00D433F7"/>
    <w:rsid w:val="00D5013F"/>
    <w:rsid w:val="00D57452"/>
    <w:rsid w:val="00D61512"/>
    <w:rsid w:val="00D967A2"/>
    <w:rsid w:val="00DA69BC"/>
    <w:rsid w:val="00DD100B"/>
    <w:rsid w:val="00DD24CF"/>
    <w:rsid w:val="00DD66B6"/>
    <w:rsid w:val="00DF21AD"/>
    <w:rsid w:val="00E151C1"/>
    <w:rsid w:val="00E35630"/>
    <w:rsid w:val="00E379D2"/>
    <w:rsid w:val="00E51A4D"/>
    <w:rsid w:val="00E52B8C"/>
    <w:rsid w:val="00E5317D"/>
    <w:rsid w:val="00E544AE"/>
    <w:rsid w:val="00E74A59"/>
    <w:rsid w:val="00E81694"/>
    <w:rsid w:val="00E85D0C"/>
    <w:rsid w:val="00E86147"/>
    <w:rsid w:val="00E91238"/>
    <w:rsid w:val="00E938DF"/>
    <w:rsid w:val="00E97ACE"/>
    <w:rsid w:val="00EA5D74"/>
    <w:rsid w:val="00EC7618"/>
    <w:rsid w:val="00ED7422"/>
    <w:rsid w:val="00EE6FE4"/>
    <w:rsid w:val="00EF049E"/>
    <w:rsid w:val="00EF529F"/>
    <w:rsid w:val="00EF73E9"/>
    <w:rsid w:val="00F00933"/>
    <w:rsid w:val="00F0587F"/>
    <w:rsid w:val="00F22450"/>
    <w:rsid w:val="00F559B9"/>
    <w:rsid w:val="00F56395"/>
    <w:rsid w:val="00F7055F"/>
    <w:rsid w:val="00F94441"/>
    <w:rsid w:val="00F95100"/>
    <w:rsid w:val="00F95AF1"/>
    <w:rsid w:val="00FA2342"/>
    <w:rsid w:val="00FA3FC6"/>
    <w:rsid w:val="00FC11E8"/>
    <w:rsid w:val="00FD112C"/>
    <w:rsid w:val="00FD1557"/>
    <w:rsid w:val="00FE6E0B"/>
    <w:rsid w:val="00FE6FA8"/>
    <w:rsid w:val="00FF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1EA29"/>
  <w15:docId w15:val="{78DFC262-A488-4F03-8BDF-1B28B654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A42F35"/>
    <w:pPr>
      <w:keepNext w:val="0"/>
      <w:keepLines w:val="0"/>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A42F35"/>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nhideWhenUsed/>
    <w:rsid w:val="002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character" w:styleId="Hyperlink">
    <w:name w:val="Hyperlink"/>
    <w:basedOn w:val="DefaultParagraphFont"/>
    <w:uiPriority w:val="99"/>
    <w:unhideWhenUsed/>
    <w:rsid w:val="00D35E1A"/>
    <w:rPr>
      <w:strike w:val="0"/>
      <w:dstrike w:val="0"/>
      <w:color w:val="0000FF"/>
      <w:u w:val="none"/>
      <w:effect w:val="none"/>
    </w:rPr>
  </w:style>
  <w:style w:type="paragraph" w:styleId="NormalWeb">
    <w:name w:val="Normal (Web)"/>
    <w:basedOn w:val="Normal"/>
    <w:uiPriority w:val="99"/>
    <w:semiHidden/>
    <w:unhideWhenUsed/>
    <w:rsid w:val="00D35E1A"/>
    <w:pPr>
      <w:spacing w:before="120" w:after="120" w:line="240" w:lineRule="auto"/>
    </w:pPr>
    <w:rPr>
      <w:rFonts w:ascii="Times New Roman" w:eastAsia="Times New Roman" w:hAnsi="Times New Roman" w:cs="Times New Roman"/>
      <w:sz w:val="24"/>
      <w:szCs w:val="24"/>
    </w:rPr>
  </w:style>
  <w:style w:type="character" w:customStyle="1" w:styleId="grame">
    <w:name w:val="grame"/>
    <w:basedOn w:val="DefaultParagraphFont"/>
    <w:rsid w:val="00D35E1A"/>
  </w:style>
  <w:style w:type="character" w:customStyle="1" w:styleId="spelle">
    <w:name w:val="spelle"/>
    <w:basedOn w:val="DefaultParagraphFont"/>
    <w:rsid w:val="00D35E1A"/>
  </w:style>
  <w:style w:type="paragraph" w:customStyle="1" w:styleId="Default">
    <w:name w:val="Default"/>
    <w:rsid w:val="00905FC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91362"/>
    <w:pPr>
      <w:spacing w:after="0" w:line="240" w:lineRule="auto"/>
    </w:pPr>
  </w:style>
  <w:style w:type="paragraph" w:customStyle="1" w:styleId="fp">
    <w:name w:val="fp"/>
    <w:basedOn w:val="Normal"/>
    <w:rsid w:val="0020408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20408E"/>
    <w:pPr>
      <w:spacing w:before="200" w:after="100" w:afterAutospacing="1" w:line="240" w:lineRule="auto"/>
    </w:pPr>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FF427F"/>
    <w:rPr>
      <w:color w:val="800080" w:themeColor="followedHyperlink"/>
      <w:u w:val="single"/>
    </w:rPr>
  </w:style>
  <w:style w:type="character" w:styleId="CommentReference">
    <w:name w:val="annotation reference"/>
    <w:basedOn w:val="DefaultParagraphFont"/>
    <w:uiPriority w:val="99"/>
    <w:semiHidden/>
    <w:unhideWhenUsed/>
    <w:rsid w:val="00196A51"/>
    <w:rPr>
      <w:sz w:val="16"/>
      <w:szCs w:val="16"/>
    </w:rPr>
  </w:style>
  <w:style w:type="paragraph" w:styleId="CommentText">
    <w:name w:val="annotation text"/>
    <w:basedOn w:val="Normal"/>
    <w:link w:val="CommentTextChar"/>
    <w:uiPriority w:val="99"/>
    <w:semiHidden/>
    <w:unhideWhenUsed/>
    <w:rsid w:val="00196A51"/>
    <w:pPr>
      <w:spacing w:line="240" w:lineRule="auto"/>
    </w:pPr>
    <w:rPr>
      <w:sz w:val="20"/>
      <w:szCs w:val="20"/>
    </w:rPr>
  </w:style>
  <w:style w:type="character" w:customStyle="1" w:styleId="CommentTextChar">
    <w:name w:val="Comment Text Char"/>
    <w:basedOn w:val="DefaultParagraphFont"/>
    <w:link w:val="CommentText"/>
    <w:uiPriority w:val="99"/>
    <w:semiHidden/>
    <w:rsid w:val="00196A51"/>
    <w:rPr>
      <w:sz w:val="20"/>
      <w:szCs w:val="20"/>
    </w:rPr>
  </w:style>
  <w:style w:type="paragraph" w:styleId="CommentSubject">
    <w:name w:val="annotation subject"/>
    <w:basedOn w:val="CommentText"/>
    <w:next w:val="CommentText"/>
    <w:link w:val="CommentSubjectChar"/>
    <w:uiPriority w:val="99"/>
    <w:semiHidden/>
    <w:unhideWhenUsed/>
    <w:rsid w:val="00196A51"/>
    <w:rPr>
      <w:b/>
      <w:bCs/>
    </w:rPr>
  </w:style>
  <w:style w:type="character" w:customStyle="1" w:styleId="CommentSubjectChar">
    <w:name w:val="Comment Subject Char"/>
    <w:basedOn w:val="CommentTextChar"/>
    <w:link w:val="CommentSubject"/>
    <w:uiPriority w:val="99"/>
    <w:semiHidden/>
    <w:rsid w:val="00196A51"/>
    <w:rPr>
      <w:b/>
      <w:bCs/>
      <w:sz w:val="20"/>
      <w:szCs w:val="20"/>
    </w:rPr>
  </w:style>
  <w:style w:type="character" w:styleId="UnresolvedMention">
    <w:name w:val="Unresolved Mention"/>
    <w:basedOn w:val="DefaultParagraphFont"/>
    <w:uiPriority w:val="99"/>
    <w:semiHidden/>
    <w:unhideWhenUsed/>
    <w:rsid w:val="001E33B8"/>
    <w:rPr>
      <w:color w:val="605E5C"/>
      <w:shd w:val="clear" w:color="auto" w:fill="E1DFDD"/>
    </w:rPr>
  </w:style>
  <w:style w:type="table" w:customStyle="1" w:styleId="TableGrid1">
    <w:name w:val="Table Grid1"/>
    <w:basedOn w:val="TableNormal"/>
    <w:next w:val="TableGrid"/>
    <w:uiPriority w:val="59"/>
    <w:rsid w:val="006D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7715">
      <w:bodyDiv w:val="1"/>
      <w:marLeft w:val="0"/>
      <w:marRight w:val="0"/>
      <w:marTop w:val="0"/>
      <w:marBottom w:val="0"/>
      <w:divBdr>
        <w:top w:val="none" w:sz="0" w:space="0" w:color="auto"/>
        <w:left w:val="none" w:sz="0" w:space="0" w:color="auto"/>
        <w:bottom w:val="none" w:sz="0" w:space="0" w:color="auto"/>
        <w:right w:val="none" w:sz="0" w:space="0" w:color="auto"/>
      </w:divBdr>
      <w:divsChild>
        <w:div w:id="282467297">
          <w:marLeft w:val="0"/>
          <w:marRight w:val="0"/>
          <w:marTop w:val="0"/>
          <w:marBottom w:val="0"/>
          <w:divBdr>
            <w:top w:val="none" w:sz="0" w:space="0" w:color="auto"/>
            <w:left w:val="none" w:sz="0" w:space="0" w:color="auto"/>
            <w:bottom w:val="none" w:sz="0" w:space="0" w:color="auto"/>
            <w:right w:val="none" w:sz="0" w:space="0" w:color="auto"/>
          </w:divBdr>
          <w:divsChild>
            <w:div w:id="30929194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09471220">
      <w:bodyDiv w:val="1"/>
      <w:marLeft w:val="0"/>
      <w:marRight w:val="0"/>
      <w:marTop w:val="30"/>
      <w:marBottom w:val="750"/>
      <w:divBdr>
        <w:top w:val="none" w:sz="0" w:space="0" w:color="auto"/>
        <w:left w:val="none" w:sz="0" w:space="0" w:color="auto"/>
        <w:bottom w:val="none" w:sz="0" w:space="0" w:color="auto"/>
        <w:right w:val="none" w:sz="0" w:space="0" w:color="auto"/>
      </w:divBdr>
      <w:divsChild>
        <w:div w:id="1100488556">
          <w:marLeft w:val="0"/>
          <w:marRight w:val="0"/>
          <w:marTop w:val="0"/>
          <w:marBottom w:val="0"/>
          <w:divBdr>
            <w:top w:val="none" w:sz="0" w:space="0" w:color="auto"/>
            <w:left w:val="none" w:sz="0" w:space="0" w:color="auto"/>
            <w:bottom w:val="none" w:sz="0" w:space="0" w:color="auto"/>
            <w:right w:val="none" w:sz="0" w:space="0" w:color="auto"/>
          </w:divBdr>
        </w:div>
      </w:divsChild>
    </w:div>
    <w:div w:id="1289387681">
      <w:bodyDiv w:val="1"/>
      <w:marLeft w:val="0"/>
      <w:marRight w:val="0"/>
      <w:marTop w:val="0"/>
      <w:marBottom w:val="0"/>
      <w:divBdr>
        <w:top w:val="none" w:sz="0" w:space="0" w:color="auto"/>
        <w:left w:val="none" w:sz="0" w:space="0" w:color="auto"/>
        <w:bottom w:val="none" w:sz="0" w:space="0" w:color="auto"/>
        <w:right w:val="none" w:sz="0" w:space="0" w:color="auto"/>
      </w:divBdr>
      <w:divsChild>
        <w:div w:id="1692992207">
          <w:marLeft w:val="0"/>
          <w:marRight w:val="0"/>
          <w:marTop w:val="150"/>
          <w:marBottom w:val="150"/>
          <w:divBdr>
            <w:top w:val="single" w:sz="6" w:space="0" w:color="9B9A7A"/>
            <w:left w:val="single" w:sz="6" w:space="0" w:color="9B9A7A"/>
            <w:bottom w:val="single" w:sz="6" w:space="0" w:color="9B9A7A"/>
            <w:right w:val="single" w:sz="6" w:space="0" w:color="9B9A7A"/>
          </w:divBdr>
          <w:divsChild>
            <w:div w:id="2085099995">
              <w:marLeft w:val="0"/>
              <w:marRight w:val="0"/>
              <w:marTop w:val="0"/>
              <w:marBottom w:val="0"/>
              <w:divBdr>
                <w:top w:val="none" w:sz="0" w:space="0" w:color="auto"/>
                <w:left w:val="none" w:sz="0" w:space="0" w:color="auto"/>
                <w:bottom w:val="none" w:sz="0" w:space="0" w:color="auto"/>
                <w:right w:val="none" w:sz="0" w:space="0" w:color="auto"/>
              </w:divBdr>
              <w:divsChild>
                <w:div w:id="108550335">
                  <w:marLeft w:val="0"/>
                  <w:marRight w:val="0"/>
                  <w:marTop w:val="0"/>
                  <w:marBottom w:val="0"/>
                  <w:divBdr>
                    <w:top w:val="none" w:sz="0" w:space="0" w:color="auto"/>
                    <w:left w:val="none" w:sz="0" w:space="0" w:color="auto"/>
                    <w:bottom w:val="none" w:sz="0" w:space="0" w:color="auto"/>
                    <w:right w:val="none" w:sz="0" w:space="0" w:color="auto"/>
                  </w:divBdr>
                  <w:divsChild>
                    <w:div w:id="841508267">
                      <w:blockQuote w:val="1"/>
                      <w:marLeft w:val="0"/>
                      <w:marRight w:val="0"/>
                      <w:marTop w:val="100"/>
                      <w:marBottom w:val="100"/>
                      <w:divBdr>
                        <w:top w:val="none" w:sz="0" w:space="0" w:color="auto"/>
                        <w:left w:val="none" w:sz="0" w:space="0" w:color="auto"/>
                        <w:bottom w:val="none" w:sz="0" w:space="0" w:color="auto"/>
                        <w:right w:val="none" w:sz="0" w:space="0" w:color="auto"/>
                      </w:divBdr>
                    </w:div>
                    <w:div w:id="176502088">
                      <w:blockQuote w:val="1"/>
                      <w:marLeft w:val="0"/>
                      <w:marRight w:val="0"/>
                      <w:marTop w:val="100"/>
                      <w:marBottom w:val="100"/>
                      <w:divBdr>
                        <w:top w:val="none" w:sz="0" w:space="0" w:color="auto"/>
                        <w:left w:val="none" w:sz="0" w:space="0" w:color="auto"/>
                        <w:bottom w:val="none" w:sz="0" w:space="0" w:color="auto"/>
                        <w:right w:val="none" w:sz="0" w:space="0" w:color="auto"/>
                      </w:divBdr>
                      <w:divsChild>
                        <w:div w:id="845776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57211049">
                      <w:blockQuote w:val="1"/>
                      <w:marLeft w:val="0"/>
                      <w:marRight w:val="0"/>
                      <w:marTop w:val="100"/>
                      <w:marBottom w:val="100"/>
                      <w:divBdr>
                        <w:top w:val="none" w:sz="0" w:space="0" w:color="auto"/>
                        <w:left w:val="none" w:sz="0" w:space="0" w:color="auto"/>
                        <w:bottom w:val="none" w:sz="0" w:space="0" w:color="auto"/>
                        <w:right w:val="none" w:sz="0" w:space="0" w:color="auto"/>
                      </w:divBdr>
                    </w:div>
                    <w:div w:id="278923288">
                      <w:blockQuote w:val="1"/>
                      <w:marLeft w:val="0"/>
                      <w:marRight w:val="0"/>
                      <w:marTop w:val="100"/>
                      <w:marBottom w:val="100"/>
                      <w:divBdr>
                        <w:top w:val="none" w:sz="0" w:space="0" w:color="auto"/>
                        <w:left w:val="none" w:sz="0" w:space="0" w:color="auto"/>
                        <w:bottom w:val="none" w:sz="0" w:space="0" w:color="auto"/>
                        <w:right w:val="none" w:sz="0" w:space="0" w:color="auto"/>
                      </w:divBdr>
                      <w:divsChild>
                        <w:div w:id="86849416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1011399">
      <w:bodyDiv w:val="1"/>
      <w:marLeft w:val="0"/>
      <w:marRight w:val="0"/>
      <w:marTop w:val="30"/>
      <w:marBottom w:val="750"/>
      <w:divBdr>
        <w:top w:val="none" w:sz="0" w:space="0" w:color="auto"/>
        <w:left w:val="none" w:sz="0" w:space="0" w:color="auto"/>
        <w:bottom w:val="none" w:sz="0" w:space="0" w:color="auto"/>
        <w:right w:val="none" w:sz="0" w:space="0" w:color="auto"/>
      </w:divBdr>
      <w:divsChild>
        <w:div w:id="1315766564">
          <w:marLeft w:val="0"/>
          <w:marRight w:val="0"/>
          <w:marTop w:val="0"/>
          <w:marBottom w:val="0"/>
          <w:divBdr>
            <w:top w:val="none" w:sz="0" w:space="0" w:color="auto"/>
            <w:left w:val="none" w:sz="0" w:space="0" w:color="auto"/>
            <w:bottom w:val="none" w:sz="0" w:space="0" w:color="auto"/>
            <w:right w:val="none" w:sz="0" w:space="0" w:color="auto"/>
          </w:divBdr>
        </w:div>
      </w:divsChild>
    </w:div>
    <w:div w:id="1567640673">
      <w:bodyDiv w:val="1"/>
      <w:marLeft w:val="0"/>
      <w:marRight w:val="0"/>
      <w:marTop w:val="30"/>
      <w:marBottom w:val="750"/>
      <w:divBdr>
        <w:top w:val="none" w:sz="0" w:space="0" w:color="auto"/>
        <w:left w:val="none" w:sz="0" w:space="0" w:color="auto"/>
        <w:bottom w:val="none" w:sz="0" w:space="0" w:color="auto"/>
        <w:right w:val="none" w:sz="0" w:space="0" w:color="auto"/>
      </w:divBdr>
      <w:divsChild>
        <w:div w:id="1895388910">
          <w:marLeft w:val="0"/>
          <w:marRight w:val="0"/>
          <w:marTop w:val="0"/>
          <w:marBottom w:val="0"/>
          <w:divBdr>
            <w:top w:val="none" w:sz="0" w:space="0" w:color="auto"/>
            <w:left w:val="none" w:sz="0" w:space="0" w:color="auto"/>
            <w:bottom w:val="none" w:sz="0" w:space="0" w:color="auto"/>
            <w:right w:val="none" w:sz="0" w:space="0" w:color="auto"/>
          </w:divBdr>
          <w:divsChild>
            <w:div w:id="18377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078">
      <w:bodyDiv w:val="1"/>
      <w:marLeft w:val="0"/>
      <w:marRight w:val="0"/>
      <w:marTop w:val="0"/>
      <w:marBottom w:val="0"/>
      <w:divBdr>
        <w:top w:val="none" w:sz="0" w:space="0" w:color="auto"/>
        <w:left w:val="none" w:sz="0" w:space="0" w:color="auto"/>
        <w:bottom w:val="none" w:sz="0" w:space="0" w:color="auto"/>
        <w:right w:val="none" w:sz="0" w:space="0" w:color="auto"/>
      </w:divBdr>
      <w:divsChild>
        <w:div w:id="1889032408">
          <w:marLeft w:val="0"/>
          <w:marRight w:val="0"/>
          <w:marTop w:val="150"/>
          <w:marBottom w:val="150"/>
          <w:divBdr>
            <w:top w:val="single" w:sz="6" w:space="0" w:color="9B9A7A"/>
            <w:left w:val="single" w:sz="6" w:space="0" w:color="9B9A7A"/>
            <w:bottom w:val="single" w:sz="6" w:space="0" w:color="9B9A7A"/>
            <w:right w:val="single" w:sz="6" w:space="0" w:color="9B9A7A"/>
          </w:divBdr>
          <w:divsChild>
            <w:div w:id="369301201">
              <w:marLeft w:val="0"/>
              <w:marRight w:val="0"/>
              <w:marTop w:val="0"/>
              <w:marBottom w:val="0"/>
              <w:divBdr>
                <w:top w:val="none" w:sz="0" w:space="0" w:color="auto"/>
                <w:left w:val="none" w:sz="0" w:space="0" w:color="auto"/>
                <w:bottom w:val="none" w:sz="0" w:space="0" w:color="auto"/>
                <w:right w:val="none" w:sz="0" w:space="0" w:color="auto"/>
              </w:divBdr>
              <w:divsChild>
                <w:div w:id="797836892">
                  <w:marLeft w:val="0"/>
                  <w:marRight w:val="0"/>
                  <w:marTop w:val="0"/>
                  <w:marBottom w:val="0"/>
                  <w:divBdr>
                    <w:top w:val="none" w:sz="0" w:space="0" w:color="auto"/>
                    <w:left w:val="none" w:sz="0" w:space="0" w:color="auto"/>
                    <w:bottom w:val="none" w:sz="0" w:space="0" w:color="auto"/>
                    <w:right w:val="none" w:sz="0" w:space="0" w:color="auto"/>
                  </w:divBdr>
                  <w:divsChild>
                    <w:div w:id="3845681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research/hsd/guidance/humanitarian-use-devi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shington.edu/research/hsd/guidance/humanitarian-use-devices/" TargetMode="External"/><Relationship Id="rId17" Type="http://schemas.openxmlformats.org/officeDocument/2006/relationships/hyperlink" Target="https://www.washington.edu/research/forms-and-templates/worksheet-irb-review-outcomes/" TargetMode="External"/><Relationship Id="rId2" Type="http://schemas.openxmlformats.org/officeDocument/2006/relationships/customXml" Target="../customXml/item2.xml"/><Relationship Id="rId16" Type="http://schemas.openxmlformats.org/officeDocument/2006/relationships/hyperlink" Target="https://www.washington.edu/research/forms-and-templates/worksheet-expedited-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edu/research/hsd/guidance/humanitarian-use-devices/" TargetMode="External"/><Relationship Id="rId5" Type="http://schemas.openxmlformats.org/officeDocument/2006/relationships/numbering" Target="numbering.xml"/><Relationship Id="rId15" Type="http://schemas.openxmlformats.org/officeDocument/2006/relationships/hyperlink" Target="https://www.washington.edu/research/policies/sop-irb-review-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edu/research/forms-and-templates/instructions-and-notification-emergency-use-de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Audience xmlns="b525eb96-6d39-4779-a9a1-5944d6e51eac">
      <Value>HSD Staff</Value>
      <Value>IRB Members</Value>
      <Value>Researchers</Value>
    </Audience>
    <Original_x0020_Author_x0028_s_x0029_ xmlns="b525eb96-6d39-4779-a9a1-5944d6e51eac" xsi:nil="true"/>
    <Main_x0020_Topic_x0028_s_x0029_ xmlns="b525eb96-6d39-4779-a9a1-5944d6e51eac"/>
    <Sub_x0020_Topic_x0028_s_x0029_ xmlns="b525eb96-6d39-4779-a9a1-5944d6e51eac"/>
    <Document_x0020_Status xmlns="b525eb96-6d39-4779-a9a1-5944d6e51eac">Implemented</Document_x0020_Status>
    <HSD_x0020_Operations_x0020_Topic_x0028_s_x0029_ xmlns="b525eb96-6d39-4779-a9a1-5944d6e51eac"/>
    <Landing_x0020_Page_x0020_Abstract xmlns="b525eb96-6d39-4779-a9a1-5944d6e51eac" xsi:nil="true"/>
    <Audit_x0020_Date xmlns="b525eb96-6d39-4779-a9a1-5944d6e51eac">2015-01-01T08:00:00+00:00</Audit_x0020_Date>
    <Date_x0020_Created xmlns="b525eb96-6d39-4779-a9a1-5944d6e51eac">2013-11-27T08:00:00+00:00</Date_x0020_Created>
    <Change_x0020_Notes xmlns="b525eb96-6d39-4779-a9a1-5944d6e51eac" xsi:nil="true"/>
    <Current_x0020_Author_x002f_SME_x002a_ xmlns="b525eb96-6d39-4779-a9a1-5944d6e51eac">
      <Value>Karen Moe</Value>
    </Current_x0020_Author_x002f_SME_x002a_>
    <Comments xmlns="b525eb96-6d39-4779-a9a1-5944d6e51eac" xsi:nil="true"/>
    <Meetings xmlns="33f288ab-96a9-4a90-8335-7c1edcd7d576">Materials</Meetings>
    <Type_x0028_s_x0029_ xmlns="b525eb96-6d39-4779-a9a1-5944d6e51eac">
      <Value>Standard Operating Procedure</Value>
    </Type_x0028_s_x0029_>
    <Location_x0028_s_x0029_ xmlns="b525eb96-6d39-4779-a9a1-5944d6e51eac">
      <Value>Document Library</Value>
      <Value>HSD Public Web</Value>
    </Location_x0028_s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SD Generic Document" ma:contentTypeID="0x01010900918506D73F43C64ABD6D54F3159EE35900621D0BB93B95694D9FF5A740EFB2A827" ma:contentTypeVersion="2" ma:contentTypeDescription="" ma:contentTypeScope="" ma:versionID="842246ef38a33734e8b3d0db6eaf39ca">
  <xsd:schema xmlns:xsd="http://www.w3.org/2001/XMLSchema" xmlns:p="http://schemas.microsoft.com/office/2006/metadata/properties" xmlns:ns3="b525eb96-6d39-4779-a9a1-5944d6e51eac" xmlns:ns4="33f288ab-96a9-4a90-8335-7c1edcd7d576" targetNamespace="http://schemas.microsoft.com/office/2006/metadata/properties" ma:root="true" ma:fieldsID="86c1461380c970174d14cb15a060c340" ns3:_="" ns4:_="">
    <xsd:import namespace="b525eb96-6d39-4779-a9a1-5944d6e51eac"/>
    <xsd:import namespace="33f288ab-96a9-4a90-8335-7c1edcd7d576"/>
    <xsd:element name="properties">
      <xsd:complexType>
        <xsd:sequence>
          <xsd:element name="documentManagement">
            <xsd:complexType>
              <xsd:all>
                <xsd:element ref="ns3:Current_x0020_Author_x002f_SME_x002a_" minOccurs="0"/>
                <xsd:element ref="ns3:Original_x0020_Author_x0028_s_x0029_" minOccurs="0"/>
                <xsd:element ref="ns3:Type_x0028_s_x0029_" minOccurs="0"/>
                <xsd:element ref="ns3:Audience" minOccurs="0"/>
                <xsd:element ref="ns3:Document_x0020_Status" minOccurs="0"/>
                <xsd:element ref="ns3:Location_x0028_s_x0029_" minOccurs="0"/>
                <xsd:element ref="ns3:Comments" minOccurs="0"/>
                <xsd:element ref="ns3:Change_x0020_Notes" minOccurs="0"/>
                <xsd:element ref="ns3:Landing_x0020_Page_x0020_Abstract" minOccurs="0"/>
                <xsd:element ref="ns3:Date_x0020_Created" minOccurs="0"/>
                <xsd:element ref="ns3:Audit_x0020_Date" minOccurs="0"/>
                <xsd:element ref="ns3:Main_x0020_Topic_x0028_s_x0029_" minOccurs="0"/>
                <xsd:element ref="ns3:Sub_x0020_Topic_x0028_s_x0029_" minOccurs="0"/>
                <xsd:element ref="ns3:HSD_x0020_Operations_x0020_Topic_x0028_s_x0029_" minOccurs="0"/>
                <xsd:element ref="ns4:Meetings" minOccurs="0"/>
              </xsd:all>
            </xsd:complexType>
          </xsd:element>
        </xsd:sequence>
      </xsd:complexType>
    </xsd:element>
  </xsd:schema>
  <xsd:schema xmlns:xsd="http://www.w3.org/2001/XMLSchema" xmlns:dms="http://schemas.microsoft.com/office/2006/documentManagement/types" targetNamespace="b525eb96-6d39-4779-a9a1-5944d6e51eac" elementFormDefault="qualified">
    <xsd:import namespace="http://schemas.microsoft.com/office/2006/documentManagement/types"/>
    <xsd:element name="Current_x0020_Author_x002f_SME_x002a_" ma:index="3" nillable="true" ma:displayName="Current Author(s)/SME*" ma:description="*Subject Matter Expert" ma:internalName="Current_x0020_Author_x002f_SME_x002a_">
      <xsd:complexType>
        <xsd:complexContent>
          <xsd:extension base="dms:MultiChoiceFillIn">
            <xsd:sequence>
              <xsd:element name="Value" maxOccurs="unbounded" minOccurs="0" nillable="true">
                <xsd:simpleType>
                  <xsd:union memberTypes="dms:Text">
                    <xsd:simpleType>
                      <xsd:restriction base="dms:Choice">
                        <xsd:enumeration value="Janet Bissonette"/>
                        <xsd:enumeration value="Sherry Edwards"/>
                        <xsd:enumeration value="Sarah Egan"/>
                        <xsd:enumeration value="Elizabeth Falsberg"/>
                        <xsd:enumeration value="Emily Guthrie"/>
                        <xsd:enumeration value="Jean Kang"/>
                        <xsd:enumeration value="Jason Malone"/>
                        <xsd:enumeration value="Adrienne Meyer"/>
                        <xsd:enumeration value="Karen Moe"/>
                        <xsd:enumeration value="Lisa Newmark"/>
                        <xsd:enumeration value="Gloria Park"/>
                        <xsd:enumeration value="Maria Savage"/>
                        <xsd:enumeration value="Megan Tedell-Hlady"/>
                      </xsd:restriction>
                    </xsd:simpleType>
                  </xsd:union>
                </xsd:simpleType>
              </xsd:element>
            </xsd:sequence>
          </xsd:extension>
        </xsd:complexContent>
      </xsd:complexType>
    </xsd:element>
    <xsd:element name="Original_x0020_Author_x0028_s_x0029_" ma:index="4" nillable="true" ma:displayName="Contibutor(s) or Previous Author(s)" ma:description="Contributors, or previous authors if known." ma:internalName="Original_x0020_Author_x0028_s_x0029_">
      <xsd:simpleType>
        <xsd:restriction base="dms:Note"/>
      </xsd:simpleType>
    </xsd:element>
    <xsd:element name="Type_x0028_s_x0029_" ma:index="5" nillable="true" ma:displayName="Doc Type(s)" ma:default="Policy" ma:description="Each document/item may be more than one type." ma:internalName="Type_x0028_s_x0029_">
      <xsd:complexType>
        <xsd:complexContent>
          <xsd:extension base="dms:MultiChoice">
            <xsd:sequence>
              <xsd:element name="Value" maxOccurs="unbounded" minOccurs="0" nillable="true">
                <xsd:simpleType>
                  <xsd:restriction base="dms:Choice">
                    <xsd:enumeration value="Policy"/>
                    <xsd:enumeration value="Procedure"/>
                    <xsd:enumeration value="Guidance"/>
                    <xsd:enumeration value="Form"/>
                    <xsd:enumeration value="Template"/>
                    <xsd:enumeration value="Instructions"/>
                    <xsd:enumeration value="Standard Operating Procedure"/>
                    <xsd:enumeration value="Training Materials"/>
                    <xsd:enumeration value="Education"/>
                    <xsd:enumeration value="Communication"/>
                    <xsd:enumeration value="Manual"/>
                    <xsd:enumeration value="Image"/>
                    <xsd:enumeration value="Chart/Diagram"/>
                  </xsd:restriction>
                </xsd:simpleType>
              </xsd:element>
            </xsd:sequence>
          </xsd:extension>
        </xsd:complexContent>
      </xsd:complexType>
    </xsd:element>
    <xsd:element name="Audience" ma:index="6" nillable="true" ma:displayName="Audience" ma:default="HSD Staff" ma:description="Audience to which the document/item is targeted." ma:internalName="Audience">
      <xsd:complexType>
        <xsd:complexContent>
          <xsd:extension base="dms:MultiChoice">
            <xsd:sequence>
              <xsd:element name="Value" maxOccurs="unbounded" minOccurs="0" nillable="true">
                <xsd:simpleType>
                  <xsd:restriction base="dms:Choice">
                    <xsd:enumeration value="HSD Staff"/>
                    <xsd:enumeration value="IRB Members"/>
                    <xsd:enumeration value="Researchers"/>
                    <xsd:enumeration value="Participants"/>
                  </xsd:restriction>
                </xsd:simpleType>
              </xsd:element>
            </xsd:sequence>
          </xsd:extension>
        </xsd:complexContent>
      </xsd:complexType>
    </xsd:element>
    <xsd:element name="Document_x0020_Status" ma:index="7" nillable="true" ma:displayName="Document Status" ma:default="Draft/In Revision" ma:description="The current state of the document/item." ma:format="RadioButtons" ma:internalName="Document_x0020_Status">
      <xsd:simpleType>
        <xsd:restriction base="dms:Choice">
          <xsd:enumeration value="Draft/In Revision"/>
          <xsd:enumeration value="Out for Comments"/>
          <xsd:enumeration value="Out for Approval"/>
          <xsd:enumeration value="Ready to be Implemented"/>
          <xsd:enumeration value="Implemented"/>
          <xsd:enumeration value="Expired"/>
          <xsd:enumeration value="Confirmed by KM to Archive"/>
        </xsd:restriction>
      </xsd:simpleType>
    </xsd:element>
    <xsd:element name="Location_x0028_s_x0029_" ma:index="8" nillable="true" ma:displayName="Location(s)" ma:default="Document Library" ma:description="Where is this document/item available? (Is it accessible to its primary audience from more than one place?)" ma:internalName="Location_x0028_s_x0029_">
      <xsd:complexType>
        <xsd:complexContent>
          <xsd:extension base="dms:MultiChoiceFillIn">
            <xsd:sequence>
              <xsd:element name="Value" maxOccurs="unbounded" minOccurs="0" nillable="true">
                <xsd:simpleType>
                  <xsd:union memberTypes="dms:Text">
                    <xsd:simpleType>
                      <xsd:restriction base="dms:Choice">
                        <xsd:enumeration value="Document Library"/>
                        <xsd:enumeration value="HSD Public Web"/>
                        <xsd:enumeration value="HSD Internal Web"/>
                      </xsd:restriction>
                    </xsd:simpleType>
                  </xsd:union>
                </xsd:simpleType>
              </xsd:element>
            </xsd:sequence>
          </xsd:extension>
        </xsd:complexContent>
      </xsd:complexType>
    </xsd:element>
    <xsd:element name="Comments" ma:index="9" nillable="true" ma:displayName="Comments" ma:description="Free form text box for any general comments." ma:internalName="Comments">
      <xsd:simpleType>
        <xsd:restriction base="dms:Note"/>
      </xsd:simpleType>
    </xsd:element>
    <xsd:element name="Change_x0020_Notes" ma:index="10" nillable="true" ma:displayName="Change Notes" ma:description="Simple note on what has changed for entry into the &quot;Change Notes&quot; on the document's landing page.  This column is only completed for documents/items that have been previously posted, and are ready to post anew." ma:internalName="Change_x0020_Notes">
      <xsd:simpleType>
        <xsd:restriction base="dms:Note"/>
      </xsd:simpleType>
    </xsd:element>
    <xsd:element name="Landing_x0020_Page_x0020_Abstract" ma:index="11" nillable="true" ma:displayName="Landing Page Abstract" ma:description="Brief description of the document/item to go on to the web landing page if it is to be posted to the web." ma:internalName="Landing_x0020_Page_x0020_Abstract">
      <xsd:simpleType>
        <xsd:restriction base="dms:Note"/>
      </xsd:simpleType>
    </xsd:element>
    <xsd:element name="Date_x0020_Created" ma:index="12" nillable="true" ma:displayName="Date Created" ma:default="[today]" ma:description="The date on which this resource was created.  Date on documents from old document library will be ported over as possible." ma:format="DateOnly" ma:internalName="Date_x0020_Created">
      <xsd:simpleType>
        <xsd:restriction base="dms:DateTime"/>
      </xsd:simpleType>
    </xsd:element>
    <xsd:element name="Audit_x0020_Date" ma:index="13" nillable="true" ma:displayName="Audit Date" ma:default="2015-01-01T00:00:00Z" ma:description="A future date that this document/item should be audited for accuracy." ma:format="DateOnly" ma:internalName="Audit_x0020_Date">
      <xsd:simpleType>
        <xsd:restriction base="dms:DateTime"/>
      </xsd:simpleType>
    </xsd:element>
    <xsd:element name="Main_x0020_Topic_x0028_s_x0029_" ma:index="14" nillable="true" ma:displayName="Main Topic(s)" ma:description="Main topic(s) of item. See heirarchy if more structure preferred." ma:internalName="Main_x0020_Topic_x0028_s_x0029_">
      <xsd:complexType>
        <xsd:complexContent>
          <xsd:extension base="dms:MultiChoice">
            <xsd:sequence>
              <xsd:element name="Value" maxOccurs="unbounded" minOccurs="0" nillable="true">
                <xsd:simpleType>
                  <xsd:restriction base="dms:Choice">
                    <xsd:enumeration value="Compliance"/>
                    <xsd:enumeration value="Criteria for IRB Approval of Research"/>
                    <xsd:enumeration value="Informed Consent and HIPAA Authorization"/>
                    <xsd:enumeration value="IRB Purpose, Responsibilities, and Authority"/>
                    <xsd:enumeration value="IRB Structure, Membership, and Operations"/>
                    <xsd:enumeration value="Post Approval Monitoring"/>
                    <xsd:enumeration value="Regulations Governing Human Research"/>
                    <xsd:enumeration value="Responsibilities of Conducting Human Subjects Research"/>
                    <xsd:enumeration value="Review of Research"/>
                    <xsd:enumeration value="Reviews/Procedures Requiring Special Consideration"/>
                  </xsd:restriction>
                </xsd:simpleType>
              </xsd:element>
            </xsd:sequence>
          </xsd:extension>
        </xsd:complexContent>
      </xsd:complexType>
    </xsd:element>
    <xsd:element name="Sub_x0020_Topic_x0028_s_x0029_" ma:index="15" nillable="true" ma:displayName="Sub Topic(s)" ma:description="Sub topic(s) of item.  See heirarchy if more structure is preferred." ma:internalName="Sub_x0020_Topic_x0028_s_x0029_">
      <xsd:complexType>
        <xsd:complexContent>
          <xsd:extension base="dms:MultiChoice">
            <xsd:sequence>
              <xsd:element name="Value" maxOccurs="unbounded" minOccurs="0" nillable="true">
                <xsd:simpleType>
                  <xsd:restriction base="dms:Choice">
                    <xsd:enumeration value="Activities Requiring IRB Review"/>
                    <xsd:enumeration value="Additional Safeguards for Protected and Vulnerable Populations as Needed"/>
                    <xsd:enumeration value="Adequate Protection of Subject Privacy and Confidentiality"/>
                    <xsd:enumeration value="Adequate Safety Monitoring Plan"/>
                    <xsd:enumeration value="Administrative Review and Distribution of Materials"/>
                    <xsd:enumeration value="All Consent Elements are Present"/>
                    <xsd:enumeration value="Assent of Children and Parental Permission"/>
                    <xsd:enumeration value="Audits by Regulatory Agencies"/>
                    <xsd:enumeration value="Biological Specimens"/>
                    <xsd:enumeration value="Categories of IRB Action"/>
                    <xsd:enumeration value="Children's Online Privacy Protection Act - COPPA"/>
                    <xsd:enumeration value="Co-Investigators and Research Staff"/>
                    <xsd:enumeration value="Composition of the IRB"/>
                    <xsd:enumeration value="Continuing Review"/>
                    <xsd:enumeration value="Coordinating Centers"/>
                    <xsd:enumeration value="Deception"/>
                    <xsd:enumeration value="Department Chairs"/>
                    <xsd:enumeration value="Department of Defense - DoD"/>
                    <xsd:enumeration value="Department of Justice - DOJ"/>
                    <xsd:enumeration value="Documentation"/>
                    <xsd:enumeration value="Documents and Document Management"/>
                    <xsd:enumeration value="Emergency Exception to Informed Consent"/>
                    <xsd:enumeration value="Emergency Use of Investigational Agents"/>
                    <xsd:enumeration value="Environmental Protection Agency - EPA"/>
                    <xsd:enumeration value="Exemptions and Waivers"/>
                    <xsd:enumeration value="Expanded Access Use of Investigational Agents"/>
                    <xsd:enumeration value="Faculty Sponsors"/>
                    <xsd:enumeration value="Family Educational Rights and Privacy Act - FERPA"/>
                    <xsd:enumeration value="FDA-Regulated Research"/>
                    <xsd:enumeration value="Food and Drug Administration - FDA"/>
                    <xsd:enumeration value="Gene Therapy or Human Embryonic Stem Cell Research"/>
                    <xsd:enumeration value="Genetics Research"/>
                    <xsd:enumeration value="Health Care Records"/>
                    <xsd:enumeration value="Health Care Records in Washington State"/>
                    <xsd:enumeration value="Health Insurance Portability and Accountability Act - HIPAA"/>
                    <xsd:enumeration value="Holders of an IND/IDE"/>
                    <xsd:enumeration value="HSD Internal Quality Assurance Program"/>
                    <xsd:enumeration value="Humanitarian Use Devices"/>
                    <xsd:enumeration value="Illegal Behaviors"/>
                    <xsd:enumeration value="Industry ClinicalTrials Registration"/>
                    <xsd:enumeration value="Initial Review"/>
                    <xsd:enumeration value="International Research"/>
                    <xsd:enumeration value="Internet/Social Media Research"/>
                    <xsd:enumeration value="IRB Assignment"/>
                    <xsd:enumeration value="IRB Authority"/>
                    <xsd:enumeration value="IRB Meeting Administration"/>
                    <xsd:enumeration value="IRB Members: Duties and Expectations"/>
                    <xsd:enumeration value="IRB Post Approval Monitoring"/>
                    <xsd:enumeration value="IRB Purpose and Responsibilities"/>
                    <xsd:enumeration value="Management of the IRB"/>
                    <xsd:enumeration value="Modification Review"/>
                    <xsd:enumeration value="Office for Human Research Protections - OHRP"/>
                    <xsd:enumeration value="Other Ethical and Compliance Issues"/>
                    <xsd:enumeration value="Other Events Requiring IRB Review"/>
                    <xsd:enumeration value="Overview"/>
                    <xsd:enumeration value="Principal Investigators"/>
                    <xsd:enumeration value="Protection of Pupil Rights Amendment - PPRA"/>
                    <xsd:enumeration value="Records from a Washington State Agency"/>
                    <xsd:enumeration value="Requirements"/>
                    <xsd:enumeration value="Risks are Reasonable Relative to Benefits"/>
                    <xsd:enumeration value="Risks to Subjects are Minimized"/>
                    <xsd:enumeration value="Self-Experimentation"/>
                    <xsd:enumeration value="Study Completion/Close Out"/>
                    <xsd:enumeration value="Subject Selection is Equitable"/>
                    <xsd:enumeration value="Surrogate Consent or Authorizations"/>
                    <xsd:enumeration value="Training Grants"/>
                    <xsd:enumeration value="Use of Radiation and Radioactively-Labeled Compounds"/>
                    <xsd:enumeration value="Vulnerable Populations"/>
                    <xsd:enumeration value="Washington State"/>
                    <xsd:enumeration value="Washington State Records"/>
                    <xsd:enumeration value="Written Informed Consent Obtained"/>
                  </xsd:restriction>
                </xsd:simpleType>
              </xsd:element>
            </xsd:sequence>
          </xsd:extension>
        </xsd:complexContent>
      </xsd:complexType>
    </xsd:element>
    <xsd:element name="HSD_x0020_Operations_x0020_Topic_x0028_s_x0029_" ma:index="16" nillable="true" ma:displayName="HSD Operations Topic(s)" ma:description="These topic headings are used mostly for internal facing items that don't fall within the scope of the Policy, Procedures, and Guidance organizational structure." ma:internalName="HSD_x0020_Operations_x0020_Topic_x0028_s_x0029_">
      <xsd:complexType>
        <xsd:complexContent>
          <xsd:extension base="dms:MultiChoice">
            <xsd:sequence>
              <xsd:element name="Value" maxOccurs="unbounded" minOccurs="0" nillable="true">
                <xsd:simpleType>
                  <xsd:restriction base="dms:Choice">
                    <xsd:enumeration value="Campus Communication"/>
                    <xsd:enumeration value="Continuing Education"/>
                    <xsd:enumeration value="Document Management"/>
                    <xsd:enumeration value="DORA"/>
                    <xsd:enumeration value="HSD Operations - General"/>
                    <xsd:enumeration value="Internal Communications"/>
                    <xsd:enumeration value="Human Resources"/>
                    <xsd:enumeration value="Metrics"/>
                    <xsd:enumeration value="New Staff On-Boarding"/>
                    <xsd:enumeration value="New Staff Training"/>
                    <xsd:enumeration value="Professional Development"/>
                    <xsd:enumeration value="Recruitment &amp; Hiring"/>
                    <xsd:enumeration value="Staff Meetings"/>
                    <xsd:enumeration value="Testing (Document, Forms, etc.)"/>
                    <xsd:enumeration value="Website"/>
                  </xsd:restriction>
                </xsd:simpleType>
              </xsd:element>
            </xsd:sequence>
          </xsd:extension>
        </xsd:complexContent>
      </xsd:complexType>
    </xsd:element>
  </xsd:schema>
  <xsd:schema xmlns:xsd="http://www.w3.org/2001/XMLSchema" xmlns:dms="http://schemas.microsoft.com/office/2006/documentManagement/types" targetNamespace="33f288ab-96a9-4a90-8335-7c1edcd7d576" elementFormDefault="qualified">
    <xsd:import namespace="http://schemas.microsoft.com/office/2006/documentManagement/types"/>
    <xsd:element name="Meetings" ma:index="17" nillable="true" ma:displayName="Meetings" ma:default="Materials" ma:format="Dropdown" ma:internalName="Meetings">
      <xsd:simpleType>
        <xsd:restriction base="dms:Choice">
          <xsd:enumeration value="Agenda"/>
          <xsd:enumeration value="Materials"/>
          <xsd:enumeration value="Minutes"/>
          <xsd:enumeration value="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196CA51-CAFA-445F-A144-5A8C6C5BA8B0}">
  <ds:schemaRefs>
    <ds:schemaRef ds:uri="http://schemas.openxmlformats.org/officeDocument/2006/bibliography"/>
  </ds:schemaRefs>
</ds:datastoreItem>
</file>

<file path=customXml/itemProps2.xml><?xml version="1.0" encoding="utf-8"?>
<ds:datastoreItem xmlns:ds="http://schemas.openxmlformats.org/officeDocument/2006/customXml" ds:itemID="{7945676D-D6F5-4514-8172-7EA921DD661A}">
  <ds:schemaRefs>
    <ds:schemaRef ds:uri="http://schemas.microsoft.com/office/2006/metadata/properties"/>
    <ds:schemaRef ds:uri="b525eb96-6d39-4779-a9a1-5944d6e51eac"/>
    <ds:schemaRef ds:uri="33f288ab-96a9-4a90-8335-7c1edcd7d576"/>
  </ds:schemaRefs>
</ds:datastoreItem>
</file>

<file path=customXml/itemProps3.xml><?xml version="1.0" encoding="utf-8"?>
<ds:datastoreItem xmlns:ds="http://schemas.openxmlformats.org/officeDocument/2006/customXml" ds:itemID="{00B37F65-784B-4C86-9559-D4DB362A7222}">
  <ds:schemaRefs>
    <ds:schemaRef ds:uri="http://schemas.microsoft.com/sharepoint/v3/contenttype/forms"/>
  </ds:schemaRefs>
</ds:datastoreItem>
</file>

<file path=customXml/itemProps4.xml><?xml version="1.0" encoding="utf-8"?>
<ds:datastoreItem xmlns:ds="http://schemas.openxmlformats.org/officeDocument/2006/customXml" ds:itemID="{6CFF9B05-258B-4B6C-ABC3-1C4C1132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eb96-6d39-4779-a9a1-5944d6e51eac"/>
    <ds:schemaRef ds:uri="33f288ab-96a9-4a90-8335-7c1edcd7d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SOP Humanitarian Use Device</vt:lpstr>
    </vt:vector>
  </TitlesOfParts>
  <Company>University of Washington</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Humanitarian Use Device</dc:title>
  <dc:creator>sherrye</dc:creator>
  <cp:keywords/>
  <cp:lastModifiedBy>Amanda Guyton</cp:lastModifiedBy>
  <cp:revision>4</cp:revision>
  <cp:lastPrinted>2013-10-12T17:44:00Z</cp:lastPrinted>
  <dcterms:created xsi:type="dcterms:W3CDTF">2021-09-01T18:39:00Z</dcterms:created>
  <dcterms:modified xsi:type="dcterms:W3CDTF">2021-09-17T22:32:00Z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0x01010900918506D73F43C64ABD6D54F3159EE35900621D0BB93B95694D9FF5A740EFB2A827</vt:lpwstr>
  </property>
</Properties>
</file>