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0EA308" w14:textId="77777777" w:rsidR="005928D8" w:rsidRDefault="005928D8" w:rsidP="005928D8">
      <w:pPr>
        <w:pStyle w:val="Heading1"/>
      </w:pPr>
      <w:r>
        <w:t>PURPOSE</w:t>
      </w:r>
    </w:p>
    <w:p w14:paraId="0E0EA309" w14:textId="777502BE" w:rsidR="00EE7FC3" w:rsidRDefault="00C02F02" w:rsidP="00925DEF">
      <w:pPr>
        <w:pStyle w:val="Heading2"/>
      </w:pPr>
      <w:r w:rsidRPr="00C02F02">
        <w:t>This document describes the</w:t>
      </w:r>
      <w:r w:rsidR="00B87561">
        <w:t xml:space="preserve"> IRB-related requ</w:t>
      </w:r>
      <w:r>
        <w:t>iremen</w:t>
      </w:r>
      <w:r w:rsidR="0016395D">
        <w:t xml:space="preserve">ts and procedures for </w:t>
      </w:r>
      <w:r w:rsidR="00925DEF">
        <w:t xml:space="preserve">the mechanisms that allow </w:t>
      </w:r>
      <w:r w:rsidR="00925DEF" w:rsidRPr="00925DEF">
        <w:rPr>
          <w:b/>
        </w:rPr>
        <w:t>expanded access</w:t>
      </w:r>
      <w:r w:rsidR="00925DEF">
        <w:t xml:space="preserve"> to </w:t>
      </w:r>
      <w:r w:rsidR="00925DEF" w:rsidRPr="00595133">
        <w:rPr>
          <w:b/>
        </w:rPr>
        <w:t>investigational</w:t>
      </w:r>
      <w:r w:rsidR="00925DEF">
        <w:t xml:space="preserve"> drugs, devices, and biologics for </w:t>
      </w:r>
      <w:r w:rsidR="00925DEF" w:rsidRPr="00925DEF">
        <w:rPr>
          <w:b/>
        </w:rPr>
        <w:t>clinical</w:t>
      </w:r>
      <w:r w:rsidR="00925DEF">
        <w:t xml:space="preserve"> </w:t>
      </w:r>
      <w:r w:rsidR="00154FF6">
        <w:t xml:space="preserve">(not research) </w:t>
      </w:r>
      <w:r w:rsidR="00925DEF">
        <w:t>purposes before the items have been approved by the Food and Drug Administration (FDA)</w:t>
      </w:r>
      <w:r w:rsidR="001C1072">
        <w:t xml:space="preserve"> </w:t>
      </w:r>
      <w:r w:rsidR="00925DEF">
        <w:t xml:space="preserve">for use and marketing. </w:t>
      </w:r>
      <w:r w:rsidR="00D27ABE">
        <w:t xml:space="preserve">Additional staff procedures can be found in </w:t>
      </w:r>
      <w:r w:rsidR="00D27ABE" w:rsidRPr="00D40BC7">
        <w:rPr>
          <w:b/>
          <w:bCs/>
        </w:rPr>
        <w:t>SOP Single Patient Expanded Access</w:t>
      </w:r>
      <w:r w:rsidR="00D27ABE">
        <w:t xml:space="preserve">. </w:t>
      </w:r>
    </w:p>
    <w:p w14:paraId="0E0EA30A" w14:textId="77777777" w:rsidR="00B7316F" w:rsidRDefault="00B7316F" w:rsidP="00B7316F">
      <w:pPr>
        <w:pStyle w:val="Heading3"/>
      </w:pPr>
      <w:r>
        <w:t xml:space="preserve">This is not the same as “off-label use” of an approved drug, device, or biologic. </w:t>
      </w:r>
    </w:p>
    <w:p w14:paraId="0E0EA30B" w14:textId="2AB96A78" w:rsidR="00B87561" w:rsidRDefault="00B87561" w:rsidP="00925DEF">
      <w:pPr>
        <w:pStyle w:val="Heading2"/>
      </w:pPr>
      <w:r>
        <w:t xml:space="preserve">This document does not provide researchers with information about how to apply to </w:t>
      </w:r>
      <w:r w:rsidR="001C1072">
        <w:t>the FDA for expanded access use</w:t>
      </w:r>
      <w:r w:rsidR="00E73C40">
        <w:t>.</w:t>
      </w:r>
      <w:r>
        <w:t xml:space="preserve"> </w:t>
      </w:r>
      <w:r w:rsidR="00595133">
        <w:t>See the</w:t>
      </w:r>
      <w:r w:rsidR="001F155A">
        <w:t xml:space="preserve"> FDA website </w:t>
      </w:r>
      <w:r w:rsidR="00595133">
        <w:t>for the</w:t>
      </w:r>
      <w:r w:rsidR="001F155A">
        <w:t xml:space="preserve"> information. </w:t>
      </w:r>
    </w:p>
    <w:p w14:paraId="0E0EA30C" w14:textId="75729E5F" w:rsidR="00925DEF" w:rsidRDefault="00B3401D" w:rsidP="00925DEF">
      <w:pPr>
        <w:pStyle w:val="Heading1"/>
      </w:pPr>
      <w:r>
        <w:t xml:space="preserve">BACKGROUND: </w:t>
      </w:r>
      <w:r w:rsidR="007C28A2">
        <w:t>Expanded Access Mechanisms</w:t>
      </w:r>
    </w:p>
    <w:p w14:paraId="0E0EA30D" w14:textId="7DA0B415" w:rsidR="007658B9" w:rsidRDefault="00154FF6" w:rsidP="00925DEF">
      <w:pPr>
        <w:pStyle w:val="Heading2"/>
      </w:pPr>
      <w:r>
        <w:rPr>
          <w:u w:val="single"/>
        </w:rPr>
        <w:t>General d</w:t>
      </w:r>
      <w:r w:rsidR="007658B9" w:rsidRPr="007658B9">
        <w:rPr>
          <w:u w:val="single"/>
        </w:rPr>
        <w:t>escription</w:t>
      </w:r>
      <w:r w:rsidR="00E73C40">
        <w:t>.</w:t>
      </w:r>
    </w:p>
    <w:p w14:paraId="0E0EA30E" w14:textId="77777777" w:rsidR="00925DEF" w:rsidRDefault="00925DEF" w:rsidP="007658B9">
      <w:pPr>
        <w:pStyle w:val="Heading3"/>
      </w:pPr>
      <w:r>
        <w:t>Unapproved (i.e., investigational) items regulated by the FDA may normally be used with humans only through an approved clinical study in which the subjects meet certain criteria and the item is use</w:t>
      </w:r>
      <w:r w:rsidR="001C1072">
        <w:t>d</w:t>
      </w:r>
      <w:r>
        <w:t xml:space="preserve"> only in accordance with the approved protocol by a clinical investigator participating in the clinical trial. </w:t>
      </w:r>
    </w:p>
    <w:p w14:paraId="0E0EA30F" w14:textId="45E81E3F" w:rsidR="00925DEF" w:rsidRDefault="00925DEF" w:rsidP="007658B9">
      <w:pPr>
        <w:pStyle w:val="Heading3"/>
      </w:pPr>
      <w:r>
        <w:t xml:space="preserve">However, </w:t>
      </w:r>
      <w:r w:rsidR="001C1072">
        <w:t>a</w:t>
      </w:r>
      <w:r>
        <w:t xml:space="preserve"> health care provider may wish to use an unapproved </w:t>
      </w:r>
      <w:r w:rsidR="001C1072">
        <w:t>item</w:t>
      </w:r>
      <w:r>
        <w:t xml:space="preserve"> to save the life of a patient or to help a patient suffering from a serious disease or condition for which no effecti</w:t>
      </w:r>
      <w:r w:rsidR="00E73C40">
        <w:t>ve alternative therapy exists.</w:t>
      </w:r>
    </w:p>
    <w:p w14:paraId="0E0EA310" w14:textId="4932881D" w:rsidR="00925DEF" w:rsidRDefault="001C1072" w:rsidP="007658B9">
      <w:pPr>
        <w:pStyle w:val="Heading3"/>
      </w:pPr>
      <w:r>
        <w:t xml:space="preserve">Access to the investigational items can be provided through one of several FDA mechanisms. </w:t>
      </w:r>
      <w:r w:rsidR="007658B9">
        <w:t>These mechanisms are collectively called</w:t>
      </w:r>
      <w:r w:rsidR="007658B9" w:rsidRPr="00B3401D">
        <w:t xml:space="preserve"> </w:t>
      </w:r>
      <w:r w:rsidR="007658B9" w:rsidRPr="007658B9">
        <w:rPr>
          <w:u w:val="single"/>
        </w:rPr>
        <w:t>expanded access</w:t>
      </w:r>
      <w:r w:rsidR="007658B9">
        <w:t xml:space="preserve">. </w:t>
      </w:r>
    </w:p>
    <w:p w14:paraId="0E0EA311" w14:textId="77777777" w:rsidR="00B87561" w:rsidRDefault="00166005" w:rsidP="00B87561">
      <w:pPr>
        <w:pStyle w:val="Heading3"/>
      </w:pPr>
      <w:r>
        <w:t xml:space="preserve">The expanded access mechanisms and requirements are </w:t>
      </w:r>
      <w:r w:rsidR="009F43B0">
        <w:t xml:space="preserve">somewhat </w:t>
      </w:r>
      <w:r>
        <w:t>different for devices than for drugs and biologics.</w:t>
      </w:r>
    </w:p>
    <w:p w14:paraId="0E0EA312" w14:textId="714B2931" w:rsidR="00B87561" w:rsidRDefault="00B87561" w:rsidP="00B87561">
      <w:pPr>
        <w:pStyle w:val="Heading3"/>
      </w:pPr>
      <w:r w:rsidRPr="00B87561">
        <w:rPr>
          <w:u w:val="single"/>
        </w:rPr>
        <w:t>Why IRB review is required</w:t>
      </w:r>
      <w:r w:rsidR="00B3401D">
        <w:t xml:space="preserve">. </w:t>
      </w:r>
      <w:r>
        <w:t>The FDA requires the clinic</w:t>
      </w:r>
      <w:r w:rsidR="003565D9">
        <w:t xml:space="preserve">ian </w:t>
      </w:r>
      <w:r>
        <w:t xml:space="preserve">to obtain </w:t>
      </w:r>
      <w:r w:rsidR="003565D9">
        <w:t xml:space="preserve">prior </w:t>
      </w:r>
      <w:r>
        <w:t>IRB review and approval for m</w:t>
      </w:r>
      <w:r w:rsidR="001078D4">
        <w:t>any</w:t>
      </w:r>
      <w:r>
        <w:t xml:space="preserve"> expanded access mechanisms</w:t>
      </w:r>
      <w:r w:rsidR="003565D9">
        <w:t xml:space="preserve"> and to obtain informed consent that meets the research requirements for consent, </w:t>
      </w:r>
      <w:r>
        <w:t xml:space="preserve">even though the intended purpose of the use is clinical care rather than research. </w:t>
      </w:r>
      <w:r w:rsidR="00270FB9">
        <w:t>The rationale:</w:t>
      </w:r>
    </w:p>
    <w:p w14:paraId="0E0EA313" w14:textId="7A4E34A2" w:rsidR="003565D9" w:rsidRDefault="00270FB9" w:rsidP="003565D9">
      <w:pPr>
        <w:pStyle w:val="Heading4"/>
      </w:pPr>
      <w:r>
        <w:t xml:space="preserve">Expanded access mechanisms involve use of an investigational </w:t>
      </w:r>
      <w:r w:rsidR="001078D4">
        <w:t>item</w:t>
      </w:r>
      <w:r>
        <w:t xml:space="preserve"> in a vulnerable population</w:t>
      </w:r>
      <w:r w:rsidR="003565D9">
        <w:t xml:space="preserve"> (i.e., seriously ill patie</w:t>
      </w:r>
      <w:r w:rsidR="00B3401D">
        <w:t xml:space="preserve">nts with no good alternative). </w:t>
      </w:r>
      <w:r w:rsidR="003565D9">
        <w:t xml:space="preserve">This raises concerns that are sufficiently similar to clinical research </w:t>
      </w:r>
      <w:r w:rsidR="001452BF">
        <w:t xml:space="preserve">such </w:t>
      </w:r>
      <w:r w:rsidR="003565D9">
        <w:t xml:space="preserve">that the FDA believes that IRB review and </w:t>
      </w:r>
      <w:r w:rsidR="001078D4">
        <w:t>a research-like</w:t>
      </w:r>
      <w:r w:rsidR="003565D9">
        <w:t xml:space="preserve"> i</w:t>
      </w:r>
      <w:r w:rsidR="001078D4">
        <w:t xml:space="preserve">nformed consent process </w:t>
      </w:r>
      <w:r w:rsidR="003565D9">
        <w:t xml:space="preserve">are warranted. </w:t>
      </w:r>
    </w:p>
    <w:p w14:paraId="0E0EA314" w14:textId="0F1413AA" w:rsidR="007658B9" w:rsidRDefault="00B3401D" w:rsidP="007658B9">
      <w:pPr>
        <w:pStyle w:val="Heading2"/>
      </w:pPr>
      <w:r>
        <w:rPr>
          <w:u w:val="single"/>
        </w:rPr>
        <w:t xml:space="preserve">Drugs: </w:t>
      </w:r>
      <w:r w:rsidR="00311948">
        <w:rPr>
          <w:u w:val="single"/>
        </w:rPr>
        <w:t>E</w:t>
      </w:r>
      <w:r w:rsidR="007658B9" w:rsidRPr="009F43B0">
        <w:rPr>
          <w:u w:val="single"/>
        </w:rPr>
        <w:t>xpanded access mechanisms</w:t>
      </w:r>
      <w:r w:rsidR="007658B9">
        <w:t xml:space="preserve">. </w:t>
      </w:r>
    </w:p>
    <w:p w14:paraId="0E0EA315" w14:textId="7A579D5A" w:rsidR="0026339E" w:rsidRDefault="001078D4" w:rsidP="00166005">
      <w:pPr>
        <w:pStyle w:val="Heading3"/>
      </w:pPr>
      <w:r>
        <w:t>T</w:t>
      </w:r>
      <w:r w:rsidR="0026339E">
        <w:t>hese mechanisms are intended for use with patients who have a serious or life-th</w:t>
      </w:r>
      <w:r w:rsidR="00B3401D">
        <w:t>reatening disease of condition.</w:t>
      </w:r>
      <w:r w:rsidR="0026339E">
        <w:t xml:space="preserve"> The following additional criteria must be met:</w:t>
      </w:r>
    </w:p>
    <w:p w14:paraId="0E0EA316" w14:textId="77777777" w:rsidR="0026339E" w:rsidRDefault="0026339E" w:rsidP="0026339E">
      <w:pPr>
        <w:pStyle w:val="Heading4"/>
      </w:pPr>
      <w:r>
        <w:lastRenderedPageBreak/>
        <w:t xml:space="preserve">There is no comparable or satisfactory alternative therapy to diagnose, monitor, or treat the disease or condition. </w:t>
      </w:r>
    </w:p>
    <w:p w14:paraId="0E0EA317" w14:textId="77777777" w:rsidR="0026339E" w:rsidRDefault="0026339E" w:rsidP="0026339E">
      <w:pPr>
        <w:pStyle w:val="Heading4"/>
      </w:pPr>
      <w:r>
        <w:t>The potential benefit justifies the potential risks, and those potential risks are no</w:t>
      </w:r>
      <w:r w:rsidR="001078D4">
        <w:t>t</w:t>
      </w:r>
      <w:r>
        <w:t xml:space="preserve"> unreasonable in the context of the disease or condition.</w:t>
      </w:r>
    </w:p>
    <w:p w14:paraId="0E0EA318" w14:textId="0C1F769A" w:rsidR="0026339E" w:rsidRDefault="0026339E" w:rsidP="0026339E">
      <w:pPr>
        <w:pStyle w:val="Heading4"/>
      </w:pPr>
      <w:r>
        <w:t>Providing the drug will not interfere with the initiation, conduct, or completion of clinical trials that could support marketing approval of the expanded access use or otherwise compromise the potential development</w:t>
      </w:r>
      <w:r w:rsidR="00E73C40">
        <w:t xml:space="preserve"> of the expanded access use</w:t>
      </w:r>
      <w:r w:rsidR="00B3401D">
        <w:t xml:space="preserve"> (i</w:t>
      </w:r>
      <w:r>
        <w:t>.e., these mechanisms may not be used as a substitute for the normal drug development process.)</w:t>
      </w:r>
      <w:r w:rsidR="00E73C40">
        <w:t>.</w:t>
      </w:r>
    </w:p>
    <w:p w14:paraId="0E0EA319" w14:textId="4CD91C84" w:rsidR="0026339E" w:rsidRDefault="0026339E" w:rsidP="0026339E">
      <w:pPr>
        <w:pStyle w:val="Heading4"/>
      </w:pPr>
      <w:r w:rsidRPr="0026339E">
        <w:rPr>
          <w:u w:val="single"/>
        </w:rPr>
        <w:t>FDA approval:</w:t>
      </w:r>
      <w:r w:rsidR="00B3401D">
        <w:t xml:space="preserve"> </w:t>
      </w:r>
      <w:r>
        <w:t>required.</w:t>
      </w:r>
    </w:p>
    <w:p w14:paraId="0E0EA31A" w14:textId="0911B76B" w:rsidR="0026339E" w:rsidRDefault="0026339E" w:rsidP="0026339E">
      <w:pPr>
        <w:pStyle w:val="Heading4"/>
      </w:pPr>
      <w:r w:rsidRPr="0026339E">
        <w:rPr>
          <w:u w:val="single"/>
        </w:rPr>
        <w:t>IRB approval</w:t>
      </w:r>
      <w:r w:rsidR="00B3401D">
        <w:t xml:space="preserve">: </w:t>
      </w:r>
      <w:r>
        <w:t xml:space="preserve">required for </w:t>
      </w:r>
      <w:r w:rsidR="00B87561">
        <w:t xml:space="preserve">all </w:t>
      </w:r>
      <w:r w:rsidR="001B0E70">
        <w:t xml:space="preserve">expanded access </w:t>
      </w:r>
      <w:r w:rsidR="00B87561">
        <w:t>mechanisms except single patient emergen</w:t>
      </w:r>
      <w:r w:rsidR="00E73C40">
        <w:t>cy use.</w:t>
      </w:r>
    </w:p>
    <w:p w14:paraId="0E0EA31B" w14:textId="45C6339E" w:rsidR="0026339E" w:rsidRDefault="00166005" w:rsidP="00166005">
      <w:pPr>
        <w:pStyle w:val="Heading3"/>
      </w:pPr>
      <w:r w:rsidRPr="0026339E">
        <w:rPr>
          <w:u w:val="single"/>
        </w:rPr>
        <w:t>Individual patient</w:t>
      </w:r>
      <w:r>
        <w:t>.</w:t>
      </w:r>
      <w:r w:rsidR="00B3401D">
        <w:t xml:space="preserve"> </w:t>
      </w:r>
      <w:r w:rsidR="0026339E">
        <w:t>This mechanism is intended for use with single patients</w:t>
      </w:r>
      <w:r w:rsidR="00FB64EF">
        <w:t>, and may or may not occur in an emergency situation</w:t>
      </w:r>
      <w:r w:rsidR="00B3401D">
        <w:t xml:space="preserve">. </w:t>
      </w:r>
      <w:r w:rsidR="0026339E">
        <w:t>The use must occur under an IND (Inves</w:t>
      </w:r>
      <w:r w:rsidR="00B3401D">
        <w:t xml:space="preserve">tigational New Drug approval). </w:t>
      </w:r>
      <w:r w:rsidR="00FB64EF">
        <w:t>When used in an emergency situation, t</w:t>
      </w:r>
      <w:r w:rsidR="0026339E">
        <w:t xml:space="preserve">his </w:t>
      </w:r>
      <w:r w:rsidR="00FA472F">
        <w:t xml:space="preserve">may be </w:t>
      </w:r>
      <w:r w:rsidR="0026339E">
        <w:t>called</w:t>
      </w:r>
      <w:r w:rsidR="001452BF">
        <w:t xml:space="preserve"> an</w:t>
      </w:r>
      <w:r w:rsidR="0026339E">
        <w:t xml:space="preserve"> </w:t>
      </w:r>
      <w:r w:rsidR="0026339E" w:rsidRPr="0026339E">
        <w:rPr>
          <w:b/>
        </w:rPr>
        <w:t>Emergency IND</w:t>
      </w:r>
      <w:r w:rsidR="0026339E">
        <w:t xml:space="preserve">. </w:t>
      </w:r>
    </w:p>
    <w:p w14:paraId="0E0EA31C" w14:textId="141AB66C" w:rsidR="007658B9" w:rsidRPr="0013171D" w:rsidRDefault="0013171D" w:rsidP="003323D3">
      <w:pPr>
        <w:pStyle w:val="Heading4"/>
        <w:rPr>
          <w:b/>
        </w:rPr>
      </w:pPr>
      <w:r>
        <w:rPr>
          <w:u w:val="single"/>
        </w:rPr>
        <w:t>Emergency situation</w:t>
      </w:r>
      <w:r w:rsidR="00B3401D">
        <w:t xml:space="preserve">: </w:t>
      </w:r>
      <w:r>
        <w:t>IRB approval is not</w:t>
      </w:r>
      <w:r w:rsidR="0026339E">
        <w:t xml:space="preserve"> required, </w:t>
      </w:r>
      <w:r w:rsidR="00B3401D">
        <w:t xml:space="preserve">if there is insufficient time. </w:t>
      </w:r>
      <w:r w:rsidR="0026339E">
        <w:t>(This is defined at the UW as situations in which the d</w:t>
      </w:r>
      <w:r w:rsidR="00453B77">
        <w:t>rug</w:t>
      </w:r>
      <w:r w:rsidR="0026339E">
        <w:t xml:space="preserve"> must be used within </w:t>
      </w:r>
      <w:r w:rsidR="001452BF">
        <w:t>7</w:t>
      </w:r>
      <w:r w:rsidR="00B3401D">
        <w:t xml:space="preserve"> business days.) </w:t>
      </w:r>
      <w:r w:rsidR="0026339E">
        <w:t xml:space="preserve">See the </w:t>
      </w:r>
      <w:r w:rsidR="003323D3" w:rsidRPr="008869CD">
        <w:rPr>
          <w:b/>
        </w:rPr>
        <w:t>INSTRUCTIONS and NOTIFICATION Emergency Use, Drug or Biologic</w:t>
      </w:r>
      <w:r w:rsidR="00E91563" w:rsidRPr="00D40BC7">
        <w:t>.</w:t>
      </w:r>
      <w:r w:rsidR="0026339E">
        <w:t xml:space="preserve"> </w:t>
      </w:r>
    </w:p>
    <w:p w14:paraId="2AE8CE3D" w14:textId="054BBBC6" w:rsidR="0013171D" w:rsidRPr="00D40BC7" w:rsidRDefault="0013171D" w:rsidP="003323D3">
      <w:pPr>
        <w:pStyle w:val="Heading4"/>
        <w:rPr>
          <w:b/>
        </w:rPr>
      </w:pPr>
      <w:r w:rsidRPr="00D40BC7">
        <w:rPr>
          <w:bCs/>
          <w:u w:val="single"/>
        </w:rPr>
        <w:t>Non-emergency use of investigational drugs</w:t>
      </w:r>
      <w:r>
        <w:rPr>
          <w:bCs/>
        </w:rPr>
        <w:t>:  IRB approval is required. Follow the procedures outlined in the FDA Guidance, “Institutional Review Board (IRB) Review of Individual Patient Expanded Access Requests for Investigational Drugs and Biological Products During the COVID-19 Public Health Emergency”, June 2020.</w:t>
      </w:r>
    </w:p>
    <w:p w14:paraId="0E0EA31D" w14:textId="27150D11" w:rsidR="00166005" w:rsidRDefault="00166005" w:rsidP="00166005">
      <w:pPr>
        <w:pStyle w:val="Heading3"/>
      </w:pPr>
      <w:r w:rsidRPr="0026339E">
        <w:rPr>
          <w:u w:val="single"/>
        </w:rPr>
        <w:t>Intermediate-sized patient populations</w:t>
      </w:r>
      <w:r>
        <w:t>.</w:t>
      </w:r>
      <w:r w:rsidR="00B3401D">
        <w:t xml:space="preserve"> </w:t>
      </w:r>
      <w:r w:rsidR="001D1F41">
        <w:t>Th</w:t>
      </w:r>
      <w:r w:rsidR="00FA472F">
        <w:t xml:space="preserve">is is for </w:t>
      </w:r>
      <w:r w:rsidR="001D1F41">
        <w:t xml:space="preserve">treatment of a patient population smaller than that typical of a </w:t>
      </w:r>
      <w:r w:rsidR="00B3401D">
        <w:t xml:space="preserve">treatment IND or protocol (see Section 2.2.4). </w:t>
      </w:r>
      <w:r w:rsidR="001D1F41">
        <w:t>This commonly occurs when the FDA asks a sponsor to consolidate expanded access under this mechanism because the FDA has received a significant number of individual patient requ</w:t>
      </w:r>
      <w:r w:rsidR="00B3401D">
        <w:t xml:space="preserve">ests for the same use/purpose. </w:t>
      </w:r>
      <w:r w:rsidR="00FA472F">
        <w:t xml:space="preserve">It typically addresses </w:t>
      </w:r>
      <w:r w:rsidR="001D1F41">
        <w:t>the following situations:</w:t>
      </w:r>
    </w:p>
    <w:p w14:paraId="0E0EA31E" w14:textId="228E34CC" w:rsidR="001D1F41" w:rsidRDefault="001D1F41" w:rsidP="001D1F41">
      <w:pPr>
        <w:pStyle w:val="Heading4"/>
      </w:pPr>
      <w:r w:rsidRPr="001D1F41">
        <w:rPr>
          <w:u w:val="single"/>
        </w:rPr>
        <w:t>The drug is not being developed</w:t>
      </w:r>
      <w:r w:rsidR="00B3401D">
        <w:t>.</w:t>
      </w:r>
      <w:r>
        <w:t xml:space="preserve"> For example, the disease or condition may be so rare that the sponsor is unable to recruit patients for a clinical trial.</w:t>
      </w:r>
    </w:p>
    <w:p w14:paraId="0E0EA31F" w14:textId="50C529EC" w:rsidR="001D1F41" w:rsidRDefault="001D1F41" w:rsidP="001D1F41">
      <w:pPr>
        <w:pStyle w:val="Heading4"/>
      </w:pPr>
      <w:r w:rsidRPr="001D1F41">
        <w:rPr>
          <w:u w:val="single"/>
        </w:rPr>
        <w:t>The drug is under development, but patients requesting the drug are unable to participate in the trial</w:t>
      </w:r>
      <w:r w:rsidR="00B3401D">
        <w:t xml:space="preserve">. </w:t>
      </w:r>
      <w:r>
        <w:t>For example:</w:t>
      </w:r>
    </w:p>
    <w:p w14:paraId="0E0EA320" w14:textId="77777777" w:rsidR="001D1F41" w:rsidRDefault="001D1F41" w:rsidP="001D1F41">
      <w:pPr>
        <w:pStyle w:val="Heading5"/>
      </w:pPr>
      <w:r>
        <w:t>They have a different disease or stage of disease than the one being studied, or</w:t>
      </w:r>
    </w:p>
    <w:p w14:paraId="0E0EA321" w14:textId="77777777" w:rsidR="001D1F41" w:rsidRDefault="001D1F41" w:rsidP="001D1F41">
      <w:pPr>
        <w:pStyle w:val="Heading5"/>
      </w:pPr>
      <w:r>
        <w:t>They do not meet the enrollment criteria, or</w:t>
      </w:r>
    </w:p>
    <w:p w14:paraId="0E0EA322" w14:textId="77777777" w:rsidR="001D1F41" w:rsidRDefault="001D1F41" w:rsidP="001D1F41">
      <w:pPr>
        <w:pStyle w:val="Heading5"/>
      </w:pPr>
      <w:r>
        <w:t>The trial enrollment is closed, or</w:t>
      </w:r>
    </w:p>
    <w:p w14:paraId="0E0EA323" w14:textId="77777777" w:rsidR="001D1F41" w:rsidRDefault="001D1F41" w:rsidP="001D1F41">
      <w:pPr>
        <w:pStyle w:val="Heading5"/>
      </w:pPr>
      <w:r>
        <w:t xml:space="preserve">The trial site is not geographically accessible. </w:t>
      </w:r>
    </w:p>
    <w:p w14:paraId="0E0EA324" w14:textId="34BAC6E3" w:rsidR="001D1F41" w:rsidRDefault="001D1F41" w:rsidP="001D1F41">
      <w:pPr>
        <w:pStyle w:val="Heading4"/>
      </w:pPr>
      <w:r w:rsidRPr="001D1F41">
        <w:rPr>
          <w:u w:val="single"/>
        </w:rPr>
        <w:lastRenderedPageBreak/>
        <w:t>The drug is approved but not being marketed</w:t>
      </w:r>
      <w:r w:rsidR="00B3401D">
        <w:t xml:space="preserve">. </w:t>
      </w:r>
      <w:r>
        <w:t xml:space="preserve">(1) It is no longer marketed for safety reasons or is unavailable through marketing due to failure to meet the conditions of the approved marketing application; or (2) the drug contains the same active ingredient as an approved drug that is unavailable through marketing due to a drug shortage or a failure to meet the conditions of the approved marketing application. </w:t>
      </w:r>
    </w:p>
    <w:p w14:paraId="0E0EA325" w14:textId="058CD76F" w:rsidR="00A0364A" w:rsidRDefault="00166005" w:rsidP="00A0364A">
      <w:pPr>
        <w:pStyle w:val="Heading3"/>
      </w:pPr>
      <w:r w:rsidRPr="0026339E">
        <w:rPr>
          <w:u w:val="single"/>
        </w:rPr>
        <w:t>Treatment IND or Treatment Protocol</w:t>
      </w:r>
      <w:r>
        <w:t>.</w:t>
      </w:r>
      <w:r w:rsidR="00B3401D">
        <w:t xml:space="preserve"> </w:t>
      </w:r>
      <w:r w:rsidR="00154FF6">
        <w:t>This mechanism allows an investigational drug to be use</w:t>
      </w:r>
      <w:r w:rsidR="00A0364A">
        <w:t>d for widespread treatment use, usually after much of the formal drug developme</w:t>
      </w:r>
      <w:r w:rsidR="00B3401D">
        <w:t xml:space="preserve">nt process has been completed. </w:t>
      </w:r>
    </w:p>
    <w:p w14:paraId="0E0EA326" w14:textId="2AC2E848" w:rsidR="001452BF" w:rsidRDefault="001452BF" w:rsidP="00A0364A">
      <w:pPr>
        <w:pStyle w:val="Heading3"/>
      </w:pPr>
      <w:r>
        <w:rPr>
          <w:u w:val="single"/>
        </w:rPr>
        <w:t>Group C Treatment IND</w:t>
      </w:r>
      <w:r w:rsidRPr="001452BF">
        <w:t>.</w:t>
      </w:r>
      <w:r w:rsidR="00B3401D">
        <w:t xml:space="preserve"> </w:t>
      </w:r>
      <w:r>
        <w:t>Group C drugs are Phase III cancer drugs that have shown evid</w:t>
      </w:r>
      <w:r w:rsidR="00B3401D">
        <w:t xml:space="preserve">ence of reproducible efficacy. </w:t>
      </w:r>
      <w:r>
        <w:t>These drugs are distributed by the National Institutes of Health (NIH) under National Can</w:t>
      </w:r>
      <w:r w:rsidR="00B3401D">
        <w:t xml:space="preserve">cer Institute (NCI) protocols. </w:t>
      </w:r>
      <w:r>
        <w:t>Treatment is a primary objective, but safety and effectiv</w:t>
      </w:r>
      <w:r w:rsidR="00B3401D">
        <w:t>eness data are still collected.</w:t>
      </w:r>
      <w:r>
        <w:t xml:space="preserve"> FDA generally grants a waiver fro</w:t>
      </w:r>
      <w:r w:rsidR="00B3401D">
        <w:t xml:space="preserve">m the IRB review requirements. </w:t>
      </w:r>
      <w:r>
        <w:t xml:space="preserve">This mechanism is seldom encountered by the UW IRB because almost all UW oncology protocols are managed and reviewed by the Fred Hutchinson Cancer Research Center. </w:t>
      </w:r>
    </w:p>
    <w:p w14:paraId="0E0EA327" w14:textId="29AF17B0" w:rsidR="001452BF" w:rsidRDefault="00166005" w:rsidP="001452BF">
      <w:pPr>
        <w:pStyle w:val="Heading3"/>
      </w:pPr>
      <w:r w:rsidRPr="0026339E">
        <w:rPr>
          <w:u w:val="single"/>
        </w:rPr>
        <w:t>Treatment Use of a Designated Orphan Drug</w:t>
      </w:r>
      <w:r>
        <w:t xml:space="preserve">. </w:t>
      </w:r>
      <w:r w:rsidR="00A0364A">
        <w:t>The FDA has formally designa</w:t>
      </w:r>
      <w:r w:rsidR="00AB42D8">
        <w:t>ted some drugs as Orphan Drugs, because they are primarily used to trea</w:t>
      </w:r>
      <w:r w:rsidR="00B3401D">
        <w:t xml:space="preserve">t a rare disease or condition. </w:t>
      </w:r>
      <w:r w:rsidR="00AB42D8">
        <w:t xml:space="preserve">Orphan drugs may be used for clinical treatment under the same mechanisms as investigational drugs. </w:t>
      </w:r>
    </w:p>
    <w:p w14:paraId="0E0EA328" w14:textId="731F2E4B" w:rsidR="00CD6C83" w:rsidRDefault="00CD6C83" w:rsidP="001452BF">
      <w:pPr>
        <w:pStyle w:val="Heading3"/>
      </w:pPr>
      <w:r>
        <w:rPr>
          <w:u w:val="single"/>
        </w:rPr>
        <w:t>Open Label Protocol or Open Protocol IND</w:t>
      </w:r>
      <w:r w:rsidRPr="00CD6C83">
        <w:t>.</w:t>
      </w:r>
      <w:r w:rsidR="00B3401D">
        <w:t xml:space="preserve"> </w:t>
      </w:r>
      <w:r>
        <w:t xml:space="preserve">These protocols are usually uncontrolled studies, carried out to obtain additional </w:t>
      </w:r>
      <w:r w:rsidR="00B3401D">
        <w:t xml:space="preserve">safety data (Phase 3 studies). </w:t>
      </w:r>
      <w:r>
        <w:t>They are typically used when the controlled trial has ended and treatment is continued to enable the subjects and the controls to continue to receive the benefits of the investigational drug until marketing appr</w:t>
      </w:r>
      <w:r w:rsidR="00B3401D">
        <w:t xml:space="preserve">oval is obtained from the FDA. </w:t>
      </w:r>
      <w:r>
        <w:t xml:space="preserve">These studies require prospective IRB review. </w:t>
      </w:r>
    </w:p>
    <w:p w14:paraId="0E0EA329" w14:textId="384359C3" w:rsidR="00CD6C83" w:rsidRDefault="00CD6C83" w:rsidP="001452BF">
      <w:pPr>
        <w:pStyle w:val="Heading3"/>
      </w:pPr>
      <w:r>
        <w:rPr>
          <w:u w:val="single"/>
        </w:rPr>
        <w:t>Parallel Track</w:t>
      </w:r>
      <w:r w:rsidRPr="00CD6C83">
        <w:t>.</w:t>
      </w:r>
      <w:r w:rsidR="00B3401D">
        <w:t xml:space="preserve"> </w:t>
      </w:r>
      <w:r>
        <w:t>The FDA’s Parallel Track policy 57 FR 13250 permits wider access to promising new drugs for AIDS/HIV-related diseases under a separate expanded access protocol that “parallels” the controlled clinical trials that are essential to establishing the safety and eff</w:t>
      </w:r>
      <w:r w:rsidR="00B3401D">
        <w:t xml:space="preserve">ectiveness of new drugs. </w:t>
      </w:r>
      <w:r>
        <w:t>It does so by providing an administrative system that expands the availability o</w:t>
      </w:r>
      <w:r w:rsidR="00B3401D">
        <w:t xml:space="preserve">f drugs for treating AIDS/HIV. </w:t>
      </w:r>
      <w:r>
        <w:t xml:space="preserve">These studies require prospective IRB review. </w:t>
      </w:r>
    </w:p>
    <w:p w14:paraId="0E0EA32A" w14:textId="03540FA3" w:rsidR="007658B9" w:rsidRDefault="00B3401D" w:rsidP="007658B9">
      <w:pPr>
        <w:pStyle w:val="Heading2"/>
      </w:pPr>
      <w:r>
        <w:rPr>
          <w:u w:val="single"/>
        </w:rPr>
        <w:t xml:space="preserve">Devices: </w:t>
      </w:r>
      <w:r w:rsidR="00311948">
        <w:rPr>
          <w:u w:val="single"/>
        </w:rPr>
        <w:t>E</w:t>
      </w:r>
      <w:r w:rsidR="007658B9" w:rsidRPr="009F43B0">
        <w:rPr>
          <w:u w:val="single"/>
        </w:rPr>
        <w:t>xpanded access mechanisms</w:t>
      </w:r>
      <w:r w:rsidR="007658B9">
        <w:t>.</w:t>
      </w:r>
    </w:p>
    <w:p w14:paraId="0E0EA32B" w14:textId="3FEB5F15" w:rsidR="007658B9" w:rsidRDefault="007658B9" w:rsidP="007658B9">
      <w:pPr>
        <w:pStyle w:val="Heading3"/>
      </w:pPr>
      <w:r w:rsidRPr="005016E8">
        <w:rPr>
          <w:u w:val="single"/>
        </w:rPr>
        <w:t>Single Patient Emergency Use</w:t>
      </w:r>
      <w:r>
        <w:t xml:space="preserve">. </w:t>
      </w:r>
      <w:r w:rsidR="009F43B0">
        <w:t>This refers to the emergency use of an investigational item for a single patient who is confronted with a life-threatening or serious disease or condition</w:t>
      </w:r>
      <w:r w:rsidR="005016E8">
        <w:t xml:space="preserve"> and there is no alternative treatment</w:t>
      </w:r>
      <w:r w:rsidR="009F43B0">
        <w:t>.</w:t>
      </w:r>
      <w:r w:rsidR="00B3401D">
        <w:t xml:space="preserve"> </w:t>
      </w:r>
      <w:r w:rsidR="0020333F">
        <w:t>S</w:t>
      </w:r>
      <w:r w:rsidR="00027BF2">
        <w:t>ee the</w:t>
      </w:r>
      <w:r w:rsidR="00E91563">
        <w:rPr>
          <w:rStyle w:val="Hyperlink"/>
          <w:b/>
          <w:bCs w:val="0"/>
          <w:u w:val="none"/>
        </w:rPr>
        <w:t xml:space="preserve"> </w:t>
      </w:r>
      <w:r w:rsidR="003323D3">
        <w:rPr>
          <w:b/>
        </w:rPr>
        <w:t>INSTR</w:t>
      </w:r>
      <w:r w:rsidR="005C0AB4">
        <w:rPr>
          <w:b/>
        </w:rPr>
        <w:t>UC</w:t>
      </w:r>
      <w:r w:rsidR="003323D3">
        <w:rPr>
          <w:b/>
        </w:rPr>
        <w:t xml:space="preserve">TIONS and NOTIFICATION Emergency Use, Device </w:t>
      </w:r>
      <w:r w:rsidR="0020333F">
        <w:t xml:space="preserve">for details about this mechanism. </w:t>
      </w:r>
    </w:p>
    <w:p w14:paraId="0E0EA32C" w14:textId="64A54A1E" w:rsidR="00977BC0" w:rsidRDefault="00977BC0" w:rsidP="00977BC0">
      <w:pPr>
        <w:pStyle w:val="Heading4"/>
      </w:pPr>
      <w:r w:rsidRPr="00977BC0">
        <w:rPr>
          <w:u w:val="single"/>
        </w:rPr>
        <w:t>FDA approval</w:t>
      </w:r>
      <w:r w:rsidR="00B3401D">
        <w:t xml:space="preserve">: </w:t>
      </w:r>
      <w:r>
        <w:t xml:space="preserve">Not required. </w:t>
      </w:r>
    </w:p>
    <w:p w14:paraId="0E0EA32D" w14:textId="4B7A6F73" w:rsidR="00977BC0" w:rsidRDefault="00977BC0" w:rsidP="00977BC0">
      <w:pPr>
        <w:pStyle w:val="Heading4"/>
      </w:pPr>
      <w:r w:rsidRPr="00977BC0">
        <w:rPr>
          <w:u w:val="single"/>
        </w:rPr>
        <w:t>IRB approval</w:t>
      </w:r>
      <w:r w:rsidR="00B3401D">
        <w:t xml:space="preserve">: </w:t>
      </w:r>
      <w:r>
        <w:t xml:space="preserve">Not required, </w:t>
      </w:r>
      <w:r w:rsidR="00B3401D">
        <w:t xml:space="preserve">if there is insufficient time. </w:t>
      </w:r>
      <w:r>
        <w:t xml:space="preserve">(This is defined at the UW as situations in which the device must be used within </w:t>
      </w:r>
      <w:r w:rsidR="001452BF">
        <w:t>7</w:t>
      </w:r>
      <w:r>
        <w:t xml:space="preserve"> business days.)</w:t>
      </w:r>
    </w:p>
    <w:p w14:paraId="0E0EA32E" w14:textId="3D734E74" w:rsidR="0020333F" w:rsidRPr="00D40BC7" w:rsidRDefault="007658B9">
      <w:pPr>
        <w:pStyle w:val="Heading3"/>
        <w:rPr>
          <w:b/>
          <w:iCs/>
        </w:rPr>
      </w:pPr>
      <w:r w:rsidRPr="00A30C75">
        <w:rPr>
          <w:u w:val="single"/>
        </w:rPr>
        <w:lastRenderedPageBreak/>
        <w:t>Compassionate Use</w:t>
      </w:r>
      <w:r>
        <w:t>.</w:t>
      </w:r>
      <w:r w:rsidR="00B3401D">
        <w:t xml:space="preserve"> </w:t>
      </w:r>
      <w:r w:rsidR="00A30C75">
        <w:t xml:space="preserve">This mechanism allows access to an investigational device for </w:t>
      </w:r>
      <w:r w:rsidR="0020333F">
        <w:t xml:space="preserve">patients who do not meet the requirements for inclusion in a clinical trial but for whom the treating physician believes the device may provide a benefit in treating and/or diagnosing their serious (albeit not life-threatening) disease or condition. </w:t>
      </w:r>
      <w:r w:rsidR="001A6987">
        <w:t xml:space="preserve">See </w:t>
      </w:r>
      <w:r w:rsidR="003323D3" w:rsidRPr="008869CD">
        <w:rPr>
          <w:b/>
        </w:rPr>
        <w:t xml:space="preserve">INSTRUCTIONS and NOTIFICATION </w:t>
      </w:r>
      <w:r w:rsidR="003323D3">
        <w:rPr>
          <w:b/>
        </w:rPr>
        <w:t>Compassionate</w:t>
      </w:r>
      <w:r w:rsidR="003323D3" w:rsidRPr="008869CD">
        <w:rPr>
          <w:b/>
        </w:rPr>
        <w:t xml:space="preserve"> Use, Device</w:t>
      </w:r>
      <w:r w:rsidR="005C0AB4">
        <w:rPr>
          <w:bCs w:val="0"/>
          <w:iCs/>
        </w:rPr>
        <w:t>.</w:t>
      </w:r>
    </w:p>
    <w:p w14:paraId="0E0EA32F" w14:textId="1E35D8CD" w:rsidR="003F40AC" w:rsidRDefault="00977BC0" w:rsidP="001A6987">
      <w:pPr>
        <w:pStyle w:val="Heading4"/>
      </w:pPr>
      <w:r>
        <w:rPr>
          <w:u w:val="single"/>
        </w:rPr>
        <w:t>FDA approva</w:t>
      </w:r>
      <w:r w:rsidR="00B3401D">
        <w:t xml:space="preserve">l: </w:t>
      </w:r>
      <w:r w:rsidRPr="00977BC0">
        <w:t>Required</w:t>
      </w:r>
      <w:r w:rsidR="0020333F" w:rsidRPr="00977BC0">
        <w:t>.</w:t>
      </w:r>
      <w:r>
        <w:t xml:space="preserve"> </w:t>
      </w:r>
      <w:r w:rsidR="0020333F">
        <w:t xml:space="preserve">This is typically approved by the FDA for individual patients but may be approved to treat a small group. </w:t>
      </w:r>
    </w:p>
    <w:p w14:paraId="0E0EA330" w14:textId="0F1B95FC" w:rsidR="00977BC0" w:rsidRDefault="00977BC0" w:rsidP="00977BC0">
      <w:pPr>
        <w:pStyle w:val="Heading4"/>
      </w:pPr>
      <w:r w:rsidRPr="00977BC0">
        <w:rPr>
          <w:u w:val="single"/>
        </w:rPr>
        <w:t>IRB approval</w:t>
      </w:r>
      <w:r w:rsidR="00B3401D">
        <w:t xml:space="preserve">: </w:t>
      </w:r>
      <w:r w:rsidR="00756735">
        <w:t xml:space="preserve">IRB approval or concurrence not required. </w:t>
      </w:r>
    </w:p>
    <w:p w14:paraId="0E0EA331" w14:textId="120A3EBA" w:rsidR="007658B9" w:rsidRDefault="007658B9" w:rsidP="007658B9">
      <w:pPr>
        <w:pStyle w:val="Heading3"/>
      </w:pPr>
      <w:r w:rsidRPr="00977BC0">
        <w:rPr>
          <w:u w:val="single"/>
        </w:rPr>
        <w:t>Treatment Use</w:t>
      </w:r>
      <w:r>
        <w:t xml:space="preserve">. </w:t>
      </w:r>
      <w:r w:rsidR="00977BC0">
        <w:t>An IDE for a clinical trial specifies the maximum number of clinical sites and the maximum number of human subjects that</w:t>
      </w:r>
      <w:r w:rsidR="00B3401D">
        <w:t xml:space="preserve"> may be enrolled in the study. </w:t>
      </w:r>
      <w:r w:rsidR="00977BC0">
        <w:t>During the course of the clinical trial, if the data suggests that the device is effective, then the trial may be expanded to include additional patients with life-threatening or s</w:t>
      </w:r>
      <w:r w:rsidR="00E73C40">
        <w:t xml:space="preserve">erious diseases or conditions. </w:t>
      </w:r>
      <w:r w:rsidR="00977BC0">
        <w:t>This mechanism may also be use</w:t>
      </w:r>
      <w:r w:rsidR="001452BF">
        <w:t>d</w:t>
      </w:r>
      <w:r w:rsidR="00977BC0">
        <w:t xml:space="preserve"> prior to final action on the marketing application to the FDA.</w:t>
      </w:r>
      <w:r w:rsidR="00E73C40">
        <w:t xml:space="preserve"> </w:t>
      </w:r>
      <w:r w:rsidR="00157DCE">
        <w:t xml:space="preserve">This is also called a </w:t>
      </w:r>
      <w:r w:rsidR="00157DCE" w:rsidRPr="00157DCE">
        <w:rPr>
          <w:b/>
        </w:rPr>
        <w:t>Treatment IDE</w:t>
      </w:r>
      <w:r w:rsidR="00157DCE">
        <w:t>.</w:t>
      </w:r>
    </w:p>
    <w:p w14:paraId="0E0EA332" w14:textId="78B406F2" w:rsidR="00977BC0" w:rsidRDefault="00977BC0" w:rsidP="00BC3237">
      <w:pPr>
        <w:pStyle w:val="Heading4"/>
      </w:pPr>
      <w:r>
        <w:t>The purpose of this mechanism is to facilitate the availability of promising new devices to desperately ill patients as early in the device development process as possible, before general marketing begins, and to obtain additional data on the device’s safety and effectiveness.</w:t>
      </w:r>
    </w:p>
    <w:p w14:paraId="0E0EA333" w14:textId="6DBD3AF6" w:rsidR="00BC3237" w:rsidRDefault="00BC3237" w:rsidP="00BC3237">
      <w:pPr>
        <w:pStyle w:val="Heading4"/>
      </w:pPr>
      <w:r w:rsidRPr="00BC3237">
        <w:rPr>
          <w:u w:val="single"/>
        </w:rPr>
        <w:t>Time frame</w:t>
      </w:r>
      <w:r w:rsidR="00B3401D">
        <w:t>: W</w:t>
      </w:r>
      <w:r>
        <w:t xml:space="preserve">hen this mechanism can be used. </w:t>
      </w:r>
    </w:p>
    <w:p w14:paraId="0E0EA334" w14:textId="027053E2" w:rsidR="00977BC0" w:rsidRDefault="00BC3237" w:rsidP="00BC3237">
      <w:pPr>
        <w:pStyle w:val="Heading5"/>
      </w:pPr>
      <w:r w:rsidRPr="00BC3237">
        <w:rPr>
          <w:u w:val="single"/>
        </w:rPr>
        <w:t>For immediately life-threatening diseases or conditions</w:t>
      </w:r>
      <w:r w:rsidR="00B3401D">
        <w:t xml:space="preserve">: </w:t>
      </w:r>
      <w:r>
        <w:t>P</w:t>
      </w:r>
      <w:r w:rsidR="00977BC0">
        <w:t>rior to the com</w:t>
      </w:r>
      <w:r>
        <w:t xml:space="preserve">pletion of all clinical trials, for immediately life-threatening diseases or conditions. </w:t>
      </w:r>
    </w:p>
    <w:p w14:paraId="0E0EA335" w14:textId="2AFD2111" w:rsidR="00BC3237" w:rsidRDefault="00BC3237" w:rsidP="00BC3237">
      <w:pPr>
        <w:pStyle w:val="Heading5"/>
      </w:pPr>
      <w:r w:rsidRPr="00BC3237">
        <w:rPr>
          <w:u w:val="single"/>
        </w:rPr>
        <w:t>For serious diseases or conditions</w:t>
      </w:r>
      <w:r w:rsidR="00B3401D">
        <w:t xml:space="preserve">: </w:t>
      </w:r>
      <w:r>
        <w:t xml:space="preserve">After all clinical trials have been completed but before the FDA has approved a marketing application. </w:t>
      </w:r>
    </w:p>
    <w:p w14:paraId="0E0EA336" w14:textId="78331F69" w:rsidR="00977BC0" w:rsidRDefault="00977BC0" w:rsidP="00977BC0">
      <w:pPr>
        <w:pStyle w:val="Heading4"/>
      </w:pPr>
      <w:r w:rsidRPr="00157DCE">
        <w:rPr>
          <w:u w:val="single"/>
        </w:rPr>
        <w:t>FDA approval</w:t>
      </w:r>
      <w:r w:rsidR="00B3401D">
        <w:t xml:space="preserve">: </w:t>
      </w:r>
      <w:r w:rsidR="00E73C40">
        <w:t>Required.</w:t>
      </w:r>
    </w:p>
    <w:p w14:paraId="0E0EA337" w14:textId="4200EB29" w:rsidR="00977BC0" w:rsidRDefault="00977BC0" w:rsidP="00977BC0">
      <w:pPr>
        <w:pStyle w:val="Heading4"/>
      </w:pPr>
      <w:r w:rsidRPr="00157DCE">
        <w:rPr>
          <w:u w:val="single"/>
        </w:rPr>
        <w:t>IRB approval</w:t>
      </w:r>
      <w:r w:rsidR="00B3401D">
        <w:t xml:space="preserve">: </w:t>
      </w:r>
      <w:r w:rsidR="00157DCE">
        <w:t>Required.</w:t>
      </w:r>
    </w:p>
    <w:p w14:paraId="0E0EA338" w14:textId="15DB7F6A" w:rsidR="007658B9" w:rsidRDefault="007658B9" w:rsidP="007658B9">
      <w:pPr>
        <w:pStyle w:val="Heading3"/>
      </w:pPr>
      <w:r w:rsidRPr="00BC3237">
        <w:rPr>
          <w:u w:val="single"/>
        </w:rPr>
        <w:t>Continued Access</w:t>
      </w:r>
      <w:r>
        <w:t xml:space="preserve">. </w:t>
      </w:r>
      <w:r w:rsidR="00BC3237">
        <w:t xml:space="preserve">The FDA may allow continued enrollment of subjects after a clinical trial with an IDE has been completed, in order to allow access to the investigational device while the marketing application is being prepared by the sponsor or reviewed by the FDA. </w:t>
      </w:r>
      <w:r w:rsidR="007C28A2">
        <w:t xml:space="preserve">This is also called an </w:t>
      </w:r>
      <w:r w:rsidR="007C28A2" w:rsidRPr="007C28A2">
        <w:rPr>
          <w:b/>
        </w:rPr>
        <w:t>Extended Investigation</w:t>
      </w:r>
      <w:r w:rsidR="007C28A2">
        <w:t xml:space="preserve">. </w:t>
      </w:r>
    </w:p>
    <w:p w14:paraId="0E0EA339" w14:textId="155366BD" w:rsidR="007C28A2" w:rsidRDefault="007C28A2" w:rsidP="00BC3237">
      <w:pPr>
        <w:pStyle w:val="Heading4"/>
      </w:pPr>
      <w:r>
        <w:t xml:space="preserve">There is significant overlap between the Treatment IDE mechanisms and </w:t>
      </w:r>
      <w:r w:rsidR="00B3401D">
        <w:t>the Continued Access mechanism.</w:t>
      </w:r>
      <w:r>
        <w:t xml:space="preserve"> Both are intended to provide additional access to an unapproved device, once preliminary evidence about safety a</w:t>
      </w:r>
      <w:r w:rsidR="00B3401D">
        <w:t xml:space="preserve">nd effectiveness is available. </w:t>
      </w:r>
      <w:r>
        <w:t>The differences between the two mechanisms include:</w:t>
      </w:r>
    </w:p>
    <w:p w14:paraId="0E0EA33A" w14:textId="7598C099" w:rsidR="007C28A2" w:rsidRDefault="007C28A2" w:rsidP="007C28A2">
      <w:pPr>
        <w:pStyle w:val="Heading5"/>
      </w:pPr>
      <w:r>
        <w:t xml:space="preserve">The Treatment IDE can be obtained earlier in </w:t>
      </w:r>
      <w:r w:rsidR="00E73C40">
        <w:t>the device development process.</w:t>
      </w:r>
    </w:p>
    <w:p w14:paraId="0E0EA33B" w14:textId="77777777" w:rsidR="007C28A2" w:rsidRPr="007C28A2" w:rsidRDefault="007C28A2" w:rsidP="007C28A2">
      <w:pPr>
        <w:pStyle w:val="Heading5"/>
      </w:pPr>
      <w:r>
        <w:lastRenderedPageBreak/>
        <w:t xml:space="preserve">The Treatment IDE has a more narrow application in that it is intended to address only those patients who have an immediately life-threatening serious disease or condition whereas Continued Access may be used with any clinical investigation. </w:t>
      </w:r>
    </w:p>
    <w:p w14:paraId="0E0EA33C" w14:textId="08E3C3A0" w:rsidR="00BC3237" w:rsidRDefault="00BC3237" w:rsidP="00BC3237">
      <w:pPr>
        <w:pStyle w:val="Heading4"/>
      </w:pPr>
      <w:r w:rsidRPr="00BC3237">
        <w:rPr>
          <w:u w:val="single"/>
        </w:rPr>
        <w:t>Time frame</w:t>
      </w:r>
      <w:r w:rsidR="00B3401D">
        <w:t xml:space="preserve">: </w:t>
      </w:r>
      <w:r>
        <w:t>All pre-marketing clin</w:t>
      </w:r>
      <w:r w:rsidR="00B3401D">
        <w:t xml:space="preserve">ical trials must be completed. </w:t>
      </w:r>
      <w:r>
        <w:t xml:space="preserve">The marketing application to the FDA must be under preparation by the sponsor or under review by the FDA. </w:t>
      </w:r>
    </w:p>
    <w:p w14:paraId="0E0EA33D" w14:textId="24D47ADD" w:rsidR="00BC3237" w:rsidRDefault="00BC3237" w:rsidP="00BC3237">
      <w:pPr>
        <w:pStyle w:val="Heading4"/>
      </w:pPr>
      <w:r>
        <w:rPr>
          <w:u w:val="single"/>
        </w:rPr>
        <w:t>FDA approval</w:t>
      </w:r>
      <w:r w:rsidRPr="00BC3237">
        <w:t>:</w:t>
      </w:r>
      <w:r>
        <w:t xml:space="preserve"> Required</w:t>
      </w:r>
    </w:p>
    <w:p w14:paraId="0E0EA33E" w14:textId="17BA9601" w:rsidR="00BC3237" w:rsidRDefault="00BC3237" w:rsidP="007C28A2">
      <w:pPr>
        <w:pStyle w:val="Heading4"/>
      </w:pPr>
      <w:r>
        <w:rPr>
          <w:u w:val="single"/>
        </w:rPr>
        <w:t>IRB approval</w:t>
      </w:r>
      <w:r w:rsidRPr="00BC3237">
        <w:t>:</w:t>
      </w:r>
      <w:r w:rsidR="00B3401D">
        <w:t xml:space="preserve"> </w:t>
      </w:r>
      <w:r>
        <w:t>Required.</w:t>
      </w:r>
    </w:p>
    <w:p w14:paraId="0E0EA33F" w14:textId="00DAE0B8" w:rsidR="003565D9" w:rsidRPr="00C02F02" w:rsidRDefault="003565D9" w:rsidP="00A0127C">
      <w:pPr>
        <w:pStyle w:val="Heading3"/>
      </w:pPr>
      <w:r w:rsidRPr="00A0127C">
        <w:rPr>
          <w:u w:val="single"/>
        </w:rPr>
        <w:t xml:space="preserve">Humanitarian </w:t>
      </w:r>
      <w:r w:rsidR="001C517C">
        <w:rPr>
          <w:u w:val="single"/>
        </w:rPr>
        <w:t xml:space="preserve">Use </w:t>
      </w:r>
      <w:r w:rsidRPr="00A0127C">
        <w:rPr>
          <w:u w:val="single"/>
        </w:rPr>
        <w:t>Device</w:t>
      </w:r>
      <w:r w:rsidR="001C517C">
        <w:rPr>
          <w:u w:val="single"/>
        </w:rPr>
        <w:t>s</w:t>
      </w:r>
      <w:r w:rsidR="00B3401D">
        <w:t xml:space="preserve">. </w:t>
      </w:r>
      <w:r w:rsidR="001C517C">
        <w:t xml:space="preserve">Use of </w:t>
      </w:r>
      <w:r w:rsidR="00440A3D">
        <w:t xml:space="preserve">this special category of </w:t>
      </w:r>
      <w:r w:rsidR="001C517C">
        <w:t xml:space="preserve">devices is not considered an expanded access mechanism, because the FDA has granted a type of approval for the devices. </w:t>
      </w:r>
      <w:r w:rsidR="00A0127C">
        <w:t>See</w:t>
      </w:r>
      <w:r w:rsidR="004E1A32">
        <w:rPr>
          <w:rStyle w:val="Hyperlink"/>
          <w:b/>
          <w:bCs w:val="0"/>
          <w:u w:val="none"/>
        </w:rPr>
        <w:t xml:space="preserve"> </w:t>
      </w:r>
      <w:r w:rsidR="00B63D48" w:rsidRPr="00CB0A45">
        <w:rPr>
          <w:b/>
          <w:bCs w:val="0"/>
        </w:rPr>
        <w:t>SOP Humanitarian Use Device</w:t>
      </w:r>
      <w:r w:rsidR="00A0127C" w:rsidRPr="00A0127C">
        <w:rPr>
          <w:b/>
        </w:rPr>
        <w:t>.</w:t>
      </w:r>
    </w:p>
    <w:p w14:paraId="0E0EA340" w14:textId="77777777" w:rsidR="005928D8" w:rsidRPr="001C1072" w:rsidRDefault="005928D8" w:rsidP="005928D8">
      <w:pPr>
        <w:pStyle w:val="Heading1"/>
      </w:pPr>
      <w:r w:rsidRPr="001C1072">
        <w:t>POLICY</w:t>
      </w:r>
    </w:p>
    <w:p w14:paraId="0E0EA341" w14:textId="77777777" w:rsidR="00AF4B78" w:rsidRPr="00A4487D" w:rsidRDefault="0016395D" w:rsidP="003565D9">
      <w:pPr>
        <w:pStyle w:val="Heading2"/>
      </w:pPr>
      <w:r>
        <w:t xml:space="preserve">The University of Washington </w:t>
      </w:r>
      <w:r w:rsidR="00EE7FC3">
        <w:t>requires</w:t>
      </w:r>
      <w:r>
        <w:t xml:space="preserve"> its</w:t>
      </w:r>
      <w:r w:rsidR="000B127E">
        <w:t xml:space="preserve"> health care providers and </w:t>
      </w:r>
      <w:r>
        <w:t xml:space="preserve">its IRBs to comply with all applicable regulations of the Food and Drug Administration (FDA) when </w:t>
      </w:r>
      <w:r w:rsidR="000B127E">
        <w:t xml:space="preserve">using </w:t>
      </w:r>
      <w:r w:rsidR="003565D9">
        <w:t xml:space="preserve">investigational </w:t>
      </w:r>
      <w:r>
        <w:t>drug</w:t>
      </w:r>
      <w:r w:rsidR="00A4487D">
        <w:t>s</w:t>
      </w:r>
      <w:r>
        <w:t xml:space="preserve">, </w:t>
      </w:r>
      <w:r w:rsidR="003565D9">
        <w:t xml:space="preserve">biologics, and </w:t>
      </w:r>
      <w:r>
        <w:t>device</w:t>
      </w:r>
      <w:r w:rsidR="00A4487D">
        <w:t>s</w:t>
      </w:r>
      <w:r w:rsidR="000B127E">
        <w:t xml:space="preserve"> for clinical purposes. </w:t>
      </w:r>
    </w:p>
    <w:p w14:paraId="0E0EA342" w14:textId="77777777" w:rsidR="005928D8" w:rsidRDefault="005928D8" w:rsidP="005928D8">
      <w:pPr>
        <w:pStyle w:val="Heading1"/>
      </w:pPr>
      <w:r>
        <w:t>DEFINITIONS</w:t>
      </w:r>
      <w:r w:rsidR="0019232B">
        <w:t xml:space="preserve"> (per FDA)</w:t>
      </w:r>
    </w:p>
    <w:p w14:paraId="0E0EA343" w14:textId="67EB971B" w:rsidR="00925DEF" w:rsidRPr="00925DEF" w:rsidRDefault="00925DEF" w:rsidP="00925DEF">
      <w:pPr>
        <w:pStyle w:val="Heading1"/>
        <w:numPr>
          <w:ilvl w:val="0"/>
          <w:numId w:val="0"/>
        </w:numPr>
        <w:ind w:left="360"/>
        <w:rPr>
          <w:b w:val="0"/>
          <w:i/>
        </w:rPr>
      </w:pPr>
      <w:r w:rsidRPr="00925DEF">
        <w:rPr>
          <w:b w:val="0"/>
          <w:i/>
        </w:rPr>
        <w:t xml:space="preserve">See the </w:t>
      </w:r>
      <w:r w:rsidR="00B63D48" w:rsidRPr="00D40BC7">
        <w:t>SOP FDA-Regulated Research</w:t>
      </w:r>
      <w:r w:rsidRPr="001C517C">
        <w:rPr>
          <w:i/>
        </w:rPr>
        <w:t xml:space="preserve"> </w:t>
      </w:r>
      <w:r w:rsidRPr="00925DEF">
        <w:rPr>
          <w:b w:val="0"/>
          <w:i/>
        </w:rPr>
        <w:t xml:space="preserve">for other FDA terms not defined here. </w:t>
      </w:r>
    </w:p>
    <w:p w14:paraId="0E0EA344" w14:textId="2347FD6E" w:rsidR="001E50B8" w:rsidRPr="001E50B8" w:rsidRDefault="001E50B8" w:rsidP="001E50B8">
      <w:pPr>
        <w:pStyle w:val="Heading2"/>
      </w:pPr>
      <w:r w:rsidRPr="00F90506">
        <w:rPr>
          <w:u w:val="single"/>
        </w:rPr>
        <w:t>Expanded access</w:t>
      </w:r>
      <w:r w:rsidR="001B12FF">
        <w:t xml:space="preserve">: </w:t>
      </w:r>
      <w:r>
        <w:t>The FDA has several specific mechanisms and regulations that allow use of a</w:t>
      </w:r>
      <w:r w:rsidR="001F155A">
        <w:t>n</w:t>
      </w:r>
      <w:r>
        <w:t xml:space="preserve"> investigational item outside of a formal clinical trial. This is called </w:t>
      </w:r>
      <w:r w:rsidRPr="00F90506">
        <w:rPr>
          <w:i/>
        </w:rPr>
        <w:t>expanded access</w:t>
      </w:r>
      <w:r w:rsidR="001B12FF">
        <w:t xml:space="preserve">. </w:t>
      </w:r>
    </w:p>
    <w:p w14:paraId="0E0EA345" w14:textId="7BC7EB25" w:rsidR="001E50B8" w:rsidRDefault="001E50B8" w:rsidP="001E50B8">
      <w:pPr>
        <w:pStyle w:val="Heading2"/>
      </w:pPr>
      <w:r w:rsidRPr="001604C8">
        <w:rPr>
          <w:u w:val="single"/>
        </w:rPr>
        <w:t>IDE: Investigational Device Exemption.</w:t>
      </w:r>
      <w:r w:rsidR="001B12FF">
        <w:t xml:space="preserve"> </w:t>
      </w:r>
      <w:r>
        <w:t>An IDE application is the document submitted to the FDA for permission to conduct a clinical study using a significant risk device that is new or</w:t>
      </w:r>
      <w:r w:rsidR="001B12FF">
        <w:t xml:space="preserve"> not approved for a given use. </w:t>
      </w:r>
      <w:r>
        <w:t xml:space="preserve">When the FDA approves an IDE application, it assigns an IDE number to the specific use of the device. </w:t>
      </w:r>
    </w:p>
    <w:p w14:paraId="0E0EA346" w14:textId="11DF2788" w:rsidR="001E50B8" w:rsidRDefault="001B12FF" w:rsidP="001E50B8">
      <w:pPr>
        <w:pStyle w:val="Heading2"/>
      </w:pPr>
      <w:r>
        <w:rPr>
          <w:u w:val="single"/>
        </w:rPr>
        <w:t xml:space="preserve">IND: </w:t>
      </w:r>
      <w:r w:rsidR="001E50B8" w:rsidRPr="001604C8">
        <w:rPr>
          <w:u w:val="single"/>
        </w:rPr>
        <w:t>Investigational New Drug</w:t>
      </w:r>
      <w:r>
        <w:t xml:space="preserve">. </w:t>
      </w:r>
      <w:r w:rsidR="001E50B8">
        <w:t>An IND application is the document submitted to the FDA for permission to conduct a clinical study using a drug or biologic that is new or not approved for a given dosag</w:t>
      </w:r>
      <w:r>
        <w:t>e, formulation, or indication. When the FDA approves an</w:t>
      </w:r>
      <w:r w:rsidR="001E50B8">
        <w:t xml:space="preserve"> IND application, it assigns an IND number to the specific use of the item. </w:t>
      </w:r>
    </w:p>
    <w:p w14:paraId="0E0EA347" w14:textId="7134FE09" w:rsidR="001E50B8" w:rsidRPr="001E50B8" w:rsidRDefault="001E50B8" w:rsidP="001E50B8">
      <w:pPr>
        <w:pStyle w:val="Heading2"/>
      </w:pPr>
      <w:r w:rsidRPr="00F17057">
        <w:rPr>
          <w:u w:val="single"/>
        </w:rPr>
        <w:t>Investigational</w:t>
      </w:r>
      <w:r w:rsidR="001B12FF">
        <w:t>: This term</w:t>
      </w:r>
      <w:r>
        <w:t xml:space="preserve"> is used to refer to an item </w:t>
      </w:r>
      <w:r w:rsidR="002361B0">
        <w:t xml:space="preserve">that </w:t>
      </w:r>
      <w:r>
        <w:t>is not FDA-approved for marketing in the United States, or to an item that is being evaluated for a new and not-yet-approved indication, dosage, or formulation.</w:t>
      </w:r>
    </w:p>
    <w:p w14:paraId="0E0EA348" w14:textId="1A3A7EB4" w:rsidR="00B7316F" w:rsidRDefault="00B7316F" w:rsidP="00B7316F">
      <w:pPr>
        <w:pStyle w:val="Heading2"/>
      </w:pPr>
      <w:r>
        <w:rPr>
          <w:u w:val="single"/>
        </w:rPr>
        <w:lastRenderedPageBreak/>
        <w:t>Off-</w:t>
      </w:r>
      <w:r w:rsidRPr="002435DD">
        <w:rPr>
          <w:u w:val="single"/>
        </w:rPr>
        <w:t>label use</w:t>
      </w:r>
      <w:r w:rsidR="001B12FF">
        <w:t xml:space="preserve">: </w:t>
      </w:r>
      <w:r>
        <w:t>The clinical use of an FDA-approved drug, device or biologic for a purpose or population that has not been approved by the FDA, or in a route or dose that has</w:t>
      </w:r>
      <w:r w:rsidR="001B12FF">
        <w:t xml:space="preserve"> not been approved by the FDA. </w:t>
      </w:r>
      <w:r>
        <w:t>Off-label use is not regulated by the IRB or the FDA; it is subject only to any policies and procedures of the clinician’s institution.</w:t>
      </w:r>
    </w:p>
    <w:p w14:paraId="0E0EA349" w14:textId="46ED9F64" w:rsidR="00A0364A" w:rsidRDefault="00A0364A" w:rsidP="0016395D">
      <w:pPr>
        <w:pStyle w:val="Heading2"/>
      </w:pPr>
      <w:r>
        <w:rPr>
          <w:u w:val="single"/>
        </w:rPr>
        <w:t>Orphan drug</w:t>
      </w:r>
      <w:r w:rsidRPr="00A0364A">
        <w:t>:</w:t>
      </w:r>
      <w:r w:rsidR="001B12FF">
        <w:t xml:space="preserve"> </w:t>
      </w:r>
      <w:r>
        <w:t xml:space="preserve">A formal designation by the FDA for drugs </w:t>
      </w:r>
      <w:r w:rsidR="00AB42D8">
        <w:t xml:space="preserve">primarily </w:t>
      </w:r>
      <w:r>
        <w:t>intended to trea</w:t>
      </w:r>
      <w:r w:rsidR="001B12FF">
        <w:t xml:space="preserve">t a rare disease or condition. </w:t>
      </w:r>
      <w:r>
        <w:t>See the regulations at 21 CFR 316.</w:t>
      </w:r>
    </w:p>
    <w:p w14:paraId="0E0EA34A" w14:textId="501DB25A" w:rsidR="006E0776" w:rsidRDefault="006E0776" w:rsidP="006E0776">
      <w:pPr>
        <w:pStyle w:val="Heading2"/>
      </w:pPr>
      <w:r w:rsidRPr="000B1BC2">
        <w:rPr>
          <w:u w:val="single"/>
        </w:rPr>
        <w:t>Sponsor</w:t>
      </w:r>
      <w:r w:rsidR="001B12FF">
        <w:t xml:space="preserve">: </w:t>
      </w:r>
      <w:r>
        <w:t>The person, company, organization, or other entity that initiates and takes responsibility for a clinical investigatio</w:t>
      </w:r>
      <w:r w:rsidR="001B12FF">
        <w:t xml:space="preserve">n using an FDA-regulated item. </w:t>
      </w:r>
      <w:r>
        <w:t>The sponsor does not actually conduct the investigation unless the spon</w:t>
      </w:r>
      <w:r w:rsidR="001B12FF">
        <w:t xml:space="preserve">sor is a sponsor-investigator. </w:t>
      </w:r>
      <w:r>
        <w:t xml:space="preserve">The item is administered, dispense, or used under the immediate direction of another individual.  </w:t>
      </w:r>
    </w:p>
    <w:p w14:paraId="0E0EA34B" w14:textId="77777777" w:rsidR="006E0776" w:rsidRDefault="006E0776" w:rsidP="006E0776">
      <w:pPr>
        <w:pStyle w:val="Heading3"/>
      </w:pPr>
      <w:r>
        <w:t xml:space="preserve">The sponsor is almost always the holder of an IND or IDE when the research involves an item that the FDA considers investigational. </w:t>
      </w:r>
    </w:p>
    <w:p w14:paraId="0E0EA34C" w14:textId="77777777" w:rsidR="005928D8" w:rsidRPr="001C1072" w:rsidRDefault="005928D8" w:rsidP="005928D8">
      <w:pPr>
        <w:pStyle w:val="Heading1"/>
      </w:pPr>
      <w:r w:rsidRPr="001C1072">
        <w:t>RESPONSIBILITIES</w:t>
      </w:r>
    </w:p>
    <w:p w14:paraId="0E0EA34D" w14:textId="3ECE4E23" w:rsidR="007D358A" w:rsidRPr="00ED6395" w:rsidRDefault="00ED6395" w:rsidP="00ED6395">
      <w:pPr>
        <w:pStyle w:val="Heading2"/>
      </w:pPr>
      <w:r w:rsidRPr="00ED6395">
        <w:t>Specific responsibilities</w:t>
      </w:r>
      <w:r w:rsidR="00E67C46">
        <w:t xml:space="preserve"> for researchers, </w:t>
      </w:r>
      <w:r w:rsidR="001C1072">
        <w:t xml:space="preserve">HSD </w:t>
      </w:r>
      <w:r w:rsidR="00E67C46">
        <w:t>staff, and the UW IRB</w:t>
      </w:r>
      <w:r w:rsidRPr="00ED6395">
        <w:t xml:space="preserve"> are described throughout this document. </w:t>
      </w:r>
      <w:r w:rsidR="00E67C46">
        <w:t>However, the researcher responsibilities described here are limited to those associated</w:t>
      </w:r>
      <w:r w:rsidR="001B12FF">
        <w:t xml:space="preserve"> with IRB review and approval. </w:t>
      </w:r>
      <w:r w:rsidR="00E67C46">
        <w:t xml:space="preserve">Researcher responsibilities to the FDA (whether as a sponsor, an investigator, or an investigator sponsor) or to a sponsor are not described. </w:t>
      </w:r>
    </w:p>
    <w:p w14:paraId="0E0EA34E" w14:textId="72296B81" w:rsidR="00260275" w:rsidRDefault="001B12FF" w:rsidP="00ED123C">
      <w:pPr>
        <w:pStyle w:val="Heading1"/>
      </w:pPr>
      <w:r>
        <w:t xml:space="preserve">PROCEDURES: </w:t>
      </w:r>
      <w:r w:rsidR="00DD3205">
        <w:t>Clinician</w:t>
      </w:r>
      <w:r w:rsidR="006254D7">
        <w:t>s</w:t>
      </w:r>
    </w:p>
    <w:p w14:paraId="0E0EA34F" w14:textId="77777777" w:rsidR="009856E7" w:rsidRDefault="009856E7" w:rsidP="00260275">
      <w:pPr>
        <w:pStyle w:val="Heading2"/>
      </w:pPr>
      <w:r>
        <w:t xml:space="preserve">Clinicians are expected to comply with all UW Medicine policies and procedures, including any requirements to identify in advance who will pay for the investigational item and any associated tests and procedures. </w:t>
      </w:r>
    </w:p>
    <w:p w14:paraId="0E0EA350" w14:textId="1BD22CAB" w:rsidR="00DD3205" w:rsidRDefault="00DD3205" w:rsidP="00574036">
      <w:pPr>
        <w:pStyle w:val="Heading2"/>
      </w:pPr>
      <w:r>
        <w:t>For the following types of expanded access, refer to the specific document</w:t>
      </w:r>
      <w:r w:rsidR="00DB6683">
        <w:t>s</w:t>
      </w:r>
      <w:r>
        <w:t xml:space="preserve"> listed here</w:t>
      </w:r>
      <w:r w:rsidR="00A72D4D">
        <w:t xml:space="preserve"> and see </w:t>
      </w:r>
      <w:hyperlink r:id="rId11" w:history="1">
        <w:r w:rsidR="00A72D4D" w:rsidRPr="00A72D4D">
          <w:rPr>
            <w:rStyle w:val="Hyperlink"/>
          </w:rPr>
          <w:t>this webpage</w:t>
        </w:r>
      </w:hyperlink>
      <w:r>
        <w:t xml:space="preserve">. </w:t>
      </w:r>
      <w:r w:rsidR="00DB6683">
        <w:t xml:space="preserve">Use </w:t>
      </w:r>
      <w:r w:rsidR="00DB6683" w:rsidRPr="00D40BC7">
        <w:rPr>
          <w:b/>
          <w:bCs/>
        </w:rPr>
        <w:t>TEMPLATE Consent Form, Emergency or Compassionate Use</w:t>
      </w:r>
      <w:r w:rsidR="00DB6683" w:rsidRPr="00DB6683">
        <w:rPr>
          <w:b/>
          <w:bCs/>
        </w:rPr>
        <w:t xml:space="preserve"> </w:t>
      </w:r>
      <w:r w:rsidR="00DB6683">
        <w:t>for all types.</w:t>
      </w:r>
    </w:p>
    <w:p w14:paraId="0E0EA351" w14:textId="4A3F1FD5" w:rsidR="00DD3205" w:rsidRDefault="00DD3205" w:rsidP="00E73C40">
      <w:pPr>
        <w:pStyle w:val="Heading3"/>
      </w:pPr>
      <w:r w:rsidRPr="00DD3205">
        <w:rPr>
          <w:u w:val="single"/>
        </w:rPr>
        <w:t>Single patient emergency use</w:t>
      </w:r>
      <w:r>
        <w:t xml:space="preserve"> of a drug, device or biologic</w:t>
      </w:r>
      <w:r w:rsidR="00DB6683">
        <w:t>.</w:t>
      </w:r>
    </w:p>
    <w:p w14:paraId="0E0EA353" w14:textId="294A98E2" w:rsidR="00DD3205" w:rsidRPr="005603D5" w:rsidRDefault="001B12FF" w:rsidP="00DD3205">
      <w:pPr>
        <w:pStyle w:val="Heading4"/>
        <w:rPr>
          <w:rFonts w:asciiTheme="minorHAnsi" w:eastAsiaTheme="minorHAnsi" w:hAnsiTheme="minorHAnsi" w:cstheme="minorBidi"/>
          <w:b/>
          <w:iCs w:val="0"/>
          <w:szCs w:val="22"/>
        </w:rPr>
      </w:pPr>
      <w:r w:rsidRPr="005603D5">
        <w:rPr>
          <w:b/>
        </w:rPr>
        <w:t>INSTRUCTIONS and NOTIFICATION Emergency Use, Drug or Biologic</w:t>
      </w:r>
    </w:p>
    <w:p w14:paraId="0E0EA354" w14:textId="2DD7D8B7" w:rsidR="00DD3205" w:rsidRPr="005603D5" w:rsidRDefault="001B12FF" w:rsidP="00DD3205">
      <w:pPr>
        <w:pStyle w:val="Heading4"/>
        <w:rPr>
          <w:b/>
        </w:rPr>
      </w:pPr>
      <w:r w:rsidRPr="005603D5">
        <w:rPr>
          <w:b/>
        </w:rPr>
        <w:t>INSTRUCTIONS and NOTIFICATION Emergency Use, Device</w:t>
      </w:r>
    </w:p>
    <w:p w14:paraId="0E0EA356" w14:textId="10440246" w:rsidR="00DD3205" w:rsidRPr="00DD3205" w:rsidRDefault="00DD3205" w:rsidP="00DD3205">
      <w:pPr>
        <w:pStyle w:val="Heading3"/>
        <w:rPr>
          <w:u w:val="single"/>
        </w:rPr>
      </w:pPr>
      <w:r w:rsidRPr="00DD3205">
        <w:rPr>
          <w:u w:val="single"/>
        </w:rPr>
        <w:t>Compassionate (non-emergency) use of a device</w:t>
      </w:r>
    </w:p>
    <w:p w14:paraId="0E0EA358" w14:textId="1464F00B" w:rsidR="00DD3205" w:rsidRPr="005603D5" w:rsidRDefault="001B12FF" w:rsidP="00DD3205">
      <w:pPr>
        <w:pStyle w:val="Heading4"/>
        <w:rPr>
          <w:rFonts w:asciiTheme="minorHAnsi" w:eastAsiaTheme="minorHAnsi" w:hAnsiTheme="minorHAnsi" w:cstheme="minorBidi"/>
          <w:b/>
          <w:iCs w:val="0"/>
          <w:szCs w:val="22"/>
        </w:rPr>
      </w:pPr>
      <w:r w:rsidRPr="005603D5">
        <w:rPr>
          <w:b/>
        </w:rPr>
        <w:t>INSTRUCTIONS and NOTIFICATION Compassionate Use, Device</w:t>
      </w:r>
    </w:p>
    <w:p w14:paraId="0E0EA359" w14:textId="288423F1" w:rsidR="00DD3205" w:rsidRDefault="00DD3205" w:rsidP="00260275">
      <w:pPr>
        <w:pStyle w:val="Heading2"/>
      </w:pPr>
      <w:r>
        <w:t>For all other expanded access mechanisms</w:t>
      </w:r>
    </w:p>
    <w:p w14:paraId="0E0EA35A" w14:textId="77777777" w:rsidR="00DD3205" w:rsidRDefault="00DD3205" w:rsidP="00DD3205">
      <w:pPr>
        <w:pStyle w:val="Heading3"/>
      </w:pPr>
      <w:r>
        <w:t xml:space="preserve">Obtain approval from the FDA, typically as a type of IND or IDE. </w:t>
      </w:r>
    </w:p>
    <w:p w14:paraId="0E0EA35B" w14:textId="4C534030" w:rsidR="009856E7" w:rsidRDefault="00DD3205" w:rsidP="00DD3205">
      <w:pPr>
        <w:pStyle w:val="Heading3"/>
      </w:pPr>
      <w:r>
        <w:t>Submit a standard IRB application to the Human Subjects Division</w:t>
      </w:r>
      <w:r w:rsidR="006254D7">
        <w:t>, including all appropriate attachments (</w:t>
      </w:r>
      <w:r w:rsidR="001B12FF">
        <w:t>except as indicated in S</w:t>
      </w:r>
      <w:r w:rsidR="001B0E70">
        <w:t>ection 6</w:t>
      </w:r>
      <w:r w:rsidR="006254D7">
        <w:t>.3.2.4)</w:t>
      </w:r>
      <w:r>
        <w:t xml:space="preserve">. </w:t>
      </w:r>
    </w:p>
    <w:p w14:paraId="0E0EA35C" w14:textId="1965156C" w:rsidR="009856E7" w:rsidRDefault="009856E7" w:rsidP="009856E7">
      <w:pPr>
        <w:pStyle w:val="Heading4"/>
      </w:pPr>
      <w:r>
        <w:lastRenderedPageBreak/>
        <w:t>In the Purpose section, include the information that the application</w:t>
      </w:r>
      <w:r w:rsidR="001B12FF">
        <w:t xml:space="preserve"> is for an expanded access use.</w:t>
      </w:r>
      <w:r>
        <w:t xml:space="preserve"> Name the type of expanded access mechanis</w:t>
      </w:r>
      <w:r w:rsidR="001B12FF">
        <w:t xml:space="preserve">m. </w:t>
      </w:r>
      <w:r>
        <w:t xml:space="preserve">Attach documentation from the FDA with the FDA’s approval. </w:t>
      </w:r>
    </w:p>
    <w:p w14:paraId="0E0EA35D" w14:textId="77777777" w:rsidR="009856E7" w:rsidRDefault="009856E7" w:rsidP="009856E7">
      <w:pPr>
        <w:pStyle w:val="Heading4"/>
      </w:pPr>
      <w:r>
        <w:t xml:space="preserve">In the Consent Process section, include a description of how you ensure that the patients have an accurate understanding of the risks, likelihood of personal benefit, and other alternatives. </w:t>
      </w:r>
    </w:p>
    <w:p w14:paraId="0E0EA35E" w14:textId="52EB8B95" w:rsidR="00DD3205" w:rsidRDefault="009856E7" w:rsidP="009856E7">
      <w:pPr>
        <w:pStyle w:val="Heading4"/>
      </w:pPr>
      <w:r>
        <w:t xml:space="preserve">Use the standard UW consent </w:t>
      </w:r>
      <w:r w:rsidR="001B12FF">
        <w:t xml:space="preserve">template, adapting as needed. </w:t>
      </w:r>
      <w:r>
        <w:t>To ensure that all require</w:t>
      </w:r>
      <w:r w:rsidR="00365BFC">
        <w:t>d</w:t>
      </w:r>
      <w:r>
        <w:t xml:space="preserve"> elements of consent are included, see the</w:t>
      </w:r>
      <w:r w:rsidR="00365BFC">
        <w:t xml:space="preserve"> </w:t>
      </w:r>
      <w:r w:rsidR="00365BFC">
        <w:rPr>
          <w:b/>
          <w:bCs/>
        </w:rPr>
        <w:t xml:space="preserve">WORKSHEET Consent Requirements and </w:t>
      </w:r>
      <w:r w:rsidR="00FB448C">
        <w:rPr>
          <w:b/>
          <w:bCs/>
        </w:rPr>
        <w:t>W</w:t>
      </w:r>
      <w:r w:rsidR="00365BFC">
        <w:rPr>
          <w:b/>
          <w:bCs/>
        </w:rPr>
        <w:t>aivers</w:t>
      </w:r>
      <w:r>
        <w:t xml:space="preserve">. </w:t>
      </w:r>
    </w:p>
    <w:p w14:paraId="0E0EA35F" w14:textId="77777777" w:rsidR="006254D7" w:rsidRDefault="006254D7" w:rsidP="006254D7">
      <w:pPr>
        <w:pStyle w:val="Heading5"/>
      </w:pPr>
      <w:r>
        <w:t xml:space="preserve">The normally-required statement about registration of the activity at the federal ClinicalTrials.gov site should be omitted. </w:t>
      </w:r>
    </w:p>
    <w:p w14:paraId="0E0EA360" w14:textId="77777777" w:rsidR="006254D7" w:rsidRDefault="006254D7" w:rsidP="009856E7">
      <w:pPr>
        <w:pStyle w:val="Heading4"/>
      </w:pPr>
      <w:r>
        <w:t xml:space="preserve">Attachments that are </w:t>
      </w:r>
      <w:r w:rsidRPr="006254D7">
        <w:rPr>
          <w:u w:val="single"/>
        </w:rPr>
        <w:t>not</w:t>
      </w:r>
      <w:r>
        <w:t xml:space="preserve"> needed:</w:t>
      </w:r>
    </w:p>
    <w:p w14:paraId="0E0EA361" w14:textId="4D913BE9" w:rsidR="00DD3205" w:rsidRDefault="009856E7" w:rsidP="006254D7">
      <w:pPr>
        <w:pStyle w:val="Heading5"/>
      </w:pPr>
      <w:r>
        <w:t>HIPAA Authorization form</w:t>
      </w:r>
      <w:r w:rsidR="001B12FF">
        <w:t xml:space="preserve">. </w:t>
      </w:r>
      <w:r w:rsidR="006254D7">
        <w:t>T</w:t>
      </w:r>
      <w:r>
        <w:t xml:space="preserve">he UW IRB assumes </w:t>
      </w:r>
      <w:r w:rsidR="00A47729">
        <w:t xml:space="preserve">that </w:t>
      </w:r>
      <w:r>
        <w:t xml:space="preserve">you will have obtained </w:t>
      </w:r>
      <w:r w:rsidR="006254D7">
        <w:t xml:space="preserve">clinical </w:t>
      </w:r>
      <w:r>
        <w:t xml:space="preserve">HIPAA authorization </w:t>
      </w:r>
      <w:r w:rsidR="006254D7">
        <w:t>from the patients.</w:t>
      </w:r>
    </w:p>
    <w:p w14:paraId="0E0EA363" w14:textId="08F99868" w:rsidR="00260275" w:rsidRDefault="006254D7" w:rsidP="009856E7">
      <w:pPr>
        <w:pStyle w:val="Heading2"/>
      </w:pPr>
      <w:r>
        <w:t xml:space="preserve">For advice, contact </w:t>
      </w:r>
      <w:r w:rsidR="000B0764">
        <w:t>a Team Operations Lead</w:t>
      </w:r>
      <w:r w:rsidR="00466794">
        <w:t xml:space="preserve">. </w:t>
      </w:r>
      <w:r w:rsidR="00A47729">
        <w:t>See</w:t>
      </w:r>
      <w:r>
        <w:t xml:space="preserve"> the </w:t>
      </w:r>
      <w:hyperlink r:id="rId12" w:history="1">
        <w:r w:rsidRPr="00466794">
          <w:rPr>
            <w:rStyle w:val="Hyperlink"/>
          </w:rPr>
          <w:t>Contacts page</w:t>
        </w:r>
      </w:hyperlink>
      <w:r>
        <w:t xml:space="preserve"> for the Human Subjects Division. </w:t>
      </w:r>
    </w:p>
    <w:p w14:paraId="0E0EA364" w14:textId="527C8125" w:rsidR="00ED123C" w:rsidRDefault="00466794" w:rsidP="00ED123C">
      <w:pPr>
        <w:pStyle w:val="Heading1"/>
      </w:pPr>
      <w:r>
        <w:t>PROCEDURES:</w:t>
      </w:r>
      <w:r w:rsidR="006254D7">
        <w:t xml:space="preserve"> </w:t>
      </w:r>
      <w:r w:rsidR="00ED123C">
        <w:t>IRB Revie</w:t>
      </w:r>
      <w:r w:rsidR="006254D7">
        <w:t xml:space="preserve">w </w:t>
      </w:r>
    </w:p>
    <w:p w14:paraId="0E0EA365" w14:textId="77777777" w:rsidR="006254D7" w:rsidRDefault="006254D7" w:rsidP="00ED123C">
      <w:pPr>
        <w:pStyle w:val="Heading2"/>
      </w:pPr>
      <w:r>
        <w:t xml:space="preserve">The review requirements and procedures are </w:t>
      </w:r>
      <w:r w:rsidR="00C45E0C">
        <w:t xml:space="preserve">generally </w:t>
      </w:r>
      <w:r>
        <w:t xml:space="preserve">the same as for research clinical trials.  </w:t>
      </w:r>
    </w:p>
    <w:p w14:paraId="0E0EA366" w14:textId="290EA6A4" w:rsidR="006254D7" w:rsidRDefault="006254D7" w:rsidP="006254D7">
      <w:pPr>
        <w:pStyle w:val="Heading3"/>
      </w:pPr>
      <w:r>
        <w:t>Review must be cond</w:t>
      </w:r>
      <w:r w:rsidR="00466794">
        <w:t>ucted by the full convened IRB.</w:t>
      </w:r>
      <w:r>
        <w:t xml:space="preserve"> The expedited review process (“Minimal Risk”) cannot be used. </w:t>
      </w:r>
    </w:p>
    <w:p w14:paraId="0E0EA367" w14:textId="77777777" w:rsidR="006254D7" w:rsidRDefault="006254D7" w:rsidP="006254D7">
      <w:pPr>
        <w:pStyle w:val="Heading3"/>
      </w:pPr>
      <w:r>
        <w:t>See the following SOPs for details:</w:t>
      </w:r>
    </w:p>
    <w:p w14:paraId="0E0EA368" w14:textId="7F0133DC" w:rsidR="006254D7" w:rsidRPr="00195789" w:rsidRDefault="006254D7" w:rsidP="006254D7">
      <w:pPr>
        <w:pStyle w:val="Heading4"/>
        <w:rPr>
          <w:b/>
          <w:bCs/>
          <w:iCs w:val="0"/>
        </w:rPr>
      </w:pPr>
      <w:r w:rsidRPr="00195789">
        <w:rPr>
          <w:b/>
        </w:rPr>
        <w:t>SOP FDA-Regulated Research</w:t>
      </w:r>
    </w:p>
    <w:p w14:paraId="0E0EA369" w14:textId="770CCAD9" w:rsidR="006254D7" w:rsidRPr="00195789" w:rsidRDefault="006254D7" w:rsidP="0043107C">
      <w:pPr>
        <w:pStyle w:val="Heading4"/>
        <w:rPr>
          <w:b/>
        </w:rPr>
      </w:pPr>
      <w:r w:rsidRPr="00195789">
        <w:rPr>
          <w:b/>
        </w:rPr>
        <w:t>SOP IR</w:t>
      </w:r>
      <w:r w:rsidR="000C5935" w:rsidRPr="00195789">
        <w:rPr>
          <w:b/>
        </w:rPr>
        <w:t>B Review</w:t>
      </w:r>
    </w:p>
    <w:p w14:paraId="0E0EA36A" w14:textId="6C2F8BA3" w:rsidR="006254D7" w:rsidRDefault="00C45E0C" w:rsidP="00ED123C">
      <w:pPr>
        <w:pStyle w:val="Heading2"/>
      </w:pPr>
      <w:r>
        <w:t>Additional considerations</w:t>
      </w:r>
    </w:p>
    <w:p w14:paraId="0E0EA36B" w14:textId="77777777" w:rsidR="00C45E0C" w:rsidRDefault="00C45E0C" w:rsidP="00C45E0C">
      <w:pPr>
        <w:pStyle w:val="Heading3"/>
      </w:pPr>
      <w:r>
        <w:t xml:space="preserve">HSD staff may, at their discretion, provide the IRB members with descriptive information about the specific expanded access mechanism, its requirements, and the associated FDA process. </w:t>
      </w:r>
    </w:p>
    <w:p w14:paraId="0E0EA36C" w14:textId="77777777" w:rsidR="00C45E0C" w:rsidRDefault="00C45E0C" w:rsidP="00C45E0C">
      <w:pPr>
        <w:pStyle w:val="Heading3"/>
      </w:pPr>
      <w:r>
        <w:t>The FDA expects the IRB to be sensitive to the unique issues raised by expanded access activities</w:t>
      </w:r>
      <w:r w:rsidR="0043107C">
        <w:t>, including the following</w:t>
      </w:r>
      <w:r>
        <w:t>:</w:t>
      </w:r>
    </w:p>
    <w:p w14:paraId="0E0EA36D" w14:textId="77777777" w:rsidR="00C45E0C" w:rsidRDefault="00C45E0C" w:rsidP="00C45E0C">
      <w:pPr>
        <w:pStyle w:val="Heading4"/>
      </w:pPr>
      <w:r>
        <w:t>The activity is clinical care, not research.</w:t>
      </w:r>
    </w:p>
    <w:p w14:paraId="0E0EA36E" w14:textId="77777777" w:rsidR="00C45E0C" w:rsidRDefault="00C45E0C" w:rsidP="00C45E0C">
      <w:pPr>
        <w:pStyle w:val="Heading4"/>
      </w:pPr>
      <w:r>
        <w:t>The vulnerable n</w:t>
      </w:r>
      <w:r w:rsidR="000C5935">
        <w:t>ature of the patient population, who are typically seriously ill and have no other viable alternatives for treatment.</w:t>
      </w:r>
    </w:p>
    <w:p w14:paraId="0E0EA36F" w14:textId="77777777" w:rsidR="000C5935" w:rsidRDefault="000C5935" w:rsidP="00C45E0C">
      <w:pPr>
        <w:pStyle w:val="Heading4"/>
      </w:pPr>
      <w:r>
        <w:t>Ensuring full disclosure of risks.</w:t>
      </w:r>
    </w:p>
    <w:p w14:paraId="0E0EA370" w14:textId="2EC1FD19" w:rsidR="000C5935" w:rsidRDefault="000C5935" w:rsidP="00C45E0C">
      <w:pPr>
        <w:pStyle w:val="Heading4"/>
      </w:pPr>
      <w:r>
        <w:lastRenderedPageBreak/>
        <w:t xml:space="preserve">Ensuring that the consent process adequately manages expectations about the possible benefits of the investigational treatment, and makes clear what is unknown about the investigational item. </w:t>
      </w:r>
    </w:p>
    <w:p w14:paraId="0E0EA371" w14:textId="77777777" w:rsidR="00241336" w:rsidRDefault="00B419E8" w:rsidP="005928D8">
      <w:pPr>
        <w:pStyle w:val="Heading1"/>
      </w:pPr>
      <w:r>
        <w:t>MATERIALS</w:t>
      </w:r>
    </w:p>
    <w:p w14:paraId="52486358" w14:textId="71B15230" w:rsidR="00D27ABE" w:rsidRDefault="00D846C3" w:rsidP="00DB6683">
      <w:pPr>
        <w:pStyle w:val="Heading2"/>
        <w:rPr>
          <w:color w:val="0000FF"/>
          <w:u w:val="single"/>
        </w:rPr>
      </w:pPr>
      <w:hyperlink r:id="rId13" w:history="1">
        <w:r w:rsidR="00680F04" w:rsidRPr="00680F04">
          <w:rPr>
            <w:rStyle w:val="Hyperlink"/>
          </w:rPr>
          <w:t>INSTRUCTIONS and NOTIFICATION Compassionate Use, Device</w:t>
        </w:r>
      </w:hyperlink>
    </w:p>
    <w:p w14:paraId="4D7F862F" w14:textId="72B7D941" w:rsidR="00D27ABE" w:rsidRDefault="00D846C3" w:rsidP="00DB6683">
      <w:pPr>
        <w:pStyle w:val="Heading2"/>
        <w:rPr>
          <w:color w:val="0000FF"/>
          <w:u w:val="single"/>
        </w:rPr>
      </w:pPr>
      <w:hyperlink r:id="rId14" w:history="1">
        <w:r w:rsidR="00D27ABE" w:rsidRPr="00680F04">
          <w:rPr>
            <w:rStyle w:val="Hyperlink"/>
          </w:rPr>
          <w:t>INSTRUCTIONS and NOTIFICATION Emergency Use, Device</w:t>
        </w:r>
      </w:hyperlink>
    </w:p>
    <w:p w14:paraId="02B090CC" w14:textId="3148D07F" w:rsidR="00D27ABE" w:rsidRPr="00D40BC7" w:rsidRDefault="00D846C3" w:rsidP="00DB6683">
      <w:pPr>
        <w:pStyle w:val="Heading2"/>
        <w:rPr>
          <w:color w:val="0000FF"/>
          <w:u w:val="single"/>
        </w:rPr>
      </w:pPr>
      <w:hyperlink r:id="rId15" w:history="1">
        <w:r w:rsidR="00D27ABE" w:rsidRPr="00680F04">
          <w:rPr>
            <w:rStyle w:val="Hyperlink"/>
          </w:rPr>
          <w:t>INSTRUCTIONS and NOTIFICATION Emergency Use, Drug or Biologic</w:t>
        </w:r>
      </w:hyperlink>
    </w:p>
    <w:p w14:paraId="002A4A71" w14:textId="77777777" w:rsidR="00DB6683" w:rsidRPr="000B0764" w:rsidRDefault="00DB6683" w:rsidP="00DB6683">
      <w:pPr>
        <w:pStyle w:val="Heading2"/>
        <w:rPr>
          <w:rStyle w:val="Hyperlink"/>
        </w:rPr>
      </w:pPr>
      <w:r>
        <w:fldChar w:fldCharType="begin"/>
      </w:r>
      <w:r>
        <w:instrText xml:space="preserve"> HYPERLINK "https://www.washington.edu/research/policies/sop-fda-regulated-research-2/" </w:instrText>
      </w:r>
      <w:r>
        <w:fldChar w:fldCharType="separate"/>
      </w:r>
      <w:r w:rsidRPr="000B0764">
        <w:rPr>
          <w:rStyle w:val="Hyperlink"/>
        </w:rPr>
        <w:t>SOP FDA-Regulated Research</w:t>
      </w:r>
    </w:p>
    <w:p w14:paraId="0E0EA373" w14:textId="7FD92FBD" w:rsidR="000C5935" w:rsidRPr="000B0764" w:rsidRDefault="00DB6683" w:rsidP="00AC2668">
      <w:pPr>
        <w:pStyle w:val="Heading2"/>
        <w:rPr>
          <w:rStyle w:val="Hyperlink"/>
        </w:rPr>
      </w:pPr>
      <w:r>
        <w:fldChar w:fldCharType="end"/>
      </w:r>
      <w:r w:rsidR="000B0764">
        <w:fldChar w:fldCharType="begin"/>
      </w:r>
      <w:r w:rsidR="00680F04">
        <w:instrText>HYPERLINK "https://www.washington.edu/research/policies/sop-humanitarian-use-device/"</w:instrText>
      </w:r>
      <w:r w:rsidR="000B0764">
        <w:fldChar w:fldCharType="separate"/>
      </w:r>
      <w:r w:rsidR="000C5935" w:rsidRPr="000B0764">
        <w:rPr>
          <w:rStyle w:val="Hyperlink"/>
        </w:rPr>
        <w:t xml:space="preserve">SOP Humanitarian </w:t>
      </w:r>
      <w:r w:rsidR="00466794" w:rsidRPr="000B0764">
        <w:rPr>
          <w:rStyle w:val="Hyperlink"/>
        </w:rPr>
        <w:t xml:space="preserve">Use </w:t>
      </w:r>
      <w:r w:rsidR="000C5935" w:rsidRPr="000B0764">
        <w:rPr>
          <w:rStyle w:val="Hyperlink"/>
        </w:rPr>
        <w:t>Device</w:t>
      </w:r>
    </w:p>
    <w:p w14:paraId="0E0EA377" w14:textId="12F57FFC" w:rsidR="000C5935" w:rsidRPr="000B0764" w:rsidRDefault="000B0764" w:rsidP="00790DDF">
      <w:pPr>
        <w:pStyle w:val="Heading2"/>
        <w:rPr>
          <w:rStyle w:val="Hyperlink"/>
        </w:rPr>
      </w:pPr>
      <w:r>
        <w:fldChar w:fldCharType="end"/>
      </w:r>
      <w:r>
        <w:fldChar w:fldCharType="begin"/>
      </w:r>
      <w:r>
        <w:instrText xml:space="preserve"> HYPERLINK "https://www.washington.edu/research/policies/sop-irb-review-2/" </w:instrText>
      </w:r>
      <w:r>
        <w:fldChar w:fldCharType="separate"/>
      </w:r>
      <w:r w:rsidR="000C5935" w:rsidRPr="000B0764">
        <w:rPr>
          <w:rStyle w:val="Hyperlink"/>
        </w:rPr>
        <w:t>SOP IRB Review</w:t>
      </w:r>
    </w:p>
    <w:p w14:paraId="455C9C0A" w14:textId="4332C5DC" w:rsidR="00DB6683" w:rsidRPr="00FB448C" w:rsidRDefault="000B0764" w:rsidP="00C0686D">
      <w:pPr>
        <w:pStyle w:val="Heading2"/>
        <w:rPr>
          <w:sz w:val="20"/>
          <w:szCs w:val="20"/>
        </w:rPr>
      </w:pPr>
      <w:r>
        <w:fldChar w:fldCharType="end"/>
      </w:r>
      <w:r w:rsidR="00DB6683" w:rsidRPr="00195789">
        <w:t>SOP Single Patient Expanded Access</w:t>
      </w:r>
      <w:r w:rsidR="00365BFC">
        <w:t xml:space="preserve"> </w:t>
      </w:r>
      <w:r w:rsidR="00365BFC" w:rsidRPr="00FB448C">
        <w:rPr>
          <w:i/>
          <w:iCs/>
          <w:sz w:val="20"/>
          <w:szCs w:val="20"/>
        </w:rPr>
        <w:t xml:space="preserve">[HSD </w:t>
      </w:r>
      <w:r w:rsidR="00FB448C">
        <w:rPr>
          <w:i/>
          <w:iCs/>
          <w:sz w:val="20"/>
          <w:szCs w:val="20"/>
        </w:rPr>
        <w:t xml:space="preserve">staff </w:t>
      </w:r>
      <w:r w:rsidR="00365BFC" w:rsidRPr="00FB448C">
        <w:rPr>
          <w:i/>
          <w:iCs/>
          <w:sz w:val="20"/>
          <w:szCs w:val="20"/>
        </w:rPr>
        <w:t>access only]</w:t>
      </w:r>
    </w:p>
    <w:p w14:paraId="36F72539" w14:textId="536EF93E" w:rsidR="00365BFC" w:rsidRPr="00365BFC" w:rsidRDefault="00D846C3" w:rsidP="00DB6683">
      <w:pPr>
        <w:pStyle w:val="Heading2"/>
        <w:rPr>
          <w:color w:val="0000FF"/>
          <w:u w:val="single"/>
        </w:rPr>
      </w:pPr>
      <w:hyperlink r:id="rId16" w:history="1">
        <w:r w:rsidR="00365BFC" w:rsidRPr="00D846C3">
          <w:rPr>
            <w:rStyle w:val="Hyperlink"/>
          </w:rPr>
          <w:t>TEMPLATE Consent Form, Emergency or Compassionate Use</w:t>
        </w:r>
      </w:hyperlink>
    </w:p>
    <w:p w14:paraId="6E04D02A" w14:textId="519CFF4E" w:rsidR="00DB6683" w:rsidRPr="00365BFC" w:rsidRDefault="00D846C3" w:rsidP="00DB6683">
      <w:pPr>
        <w:pStyle w:val="Heading2"/>
      </w:pPr>
      <w:hyperlink r:id="rId17" w:history="1">
        <w:r w:rsidR="00365BFC" w:rsidRPr="00365BFC">
          <w:rPr>
            <w:rStyle w:val="Hyperlink"/>
          </w:rPr>
          <w:t>WORKSHEET Consent Requirements and Waivers</w:t>
        </w:r>
      </w:hyperlink>
    </w:p>
    <w:p w14:paraId="7B60A310" w14:textId="26335452" w:rsidR="00DB6683" w:rsidRDefault="00DB6683" w:rsidP="00D40BC7">
      <w:pPr>
        <w:pStyle w:val="Heading2"/>
        <w:numPr>
          <w:ilvl w:val="0"/>
          <w:numId w:val="0"/>
        </w:numPr>
      </w:pPr>
    </w:p>
    <w:p w14:paraId="0E0EA379" w14:textId="77777777" w:rsidR="005928D8" w:rsidRPr="00B419E8" w:rsidRDefault="005928D8" w:rsidP="003E52FD">
      <w:pPr>
        <w:pStyle w:val="Heading1"/>
        <w:spacing w:before="0"/>
      </w:pPr>
      <w:r>
        <w:t>REFE</w:t>
      </w:r>
      <w:r w:rsidRPr="00B419E8">
        <w:t>RENCES</w:t>
      </w:r>
    </w:p>
    <w:p w14:paraId="0E0EA37A" w14:textId="77777777" w:rsidR="00241336" w:rsidRDefault="00241336" w:rsidP="00241336">
      <w:pPr>
        <w:pStyle w:val="Heading2"/>
      </w:pPr>
      <w:r>
        <w:t>21 CFR 50</w:t>
      </w:r>
      <w:r w:rsidR="00925DEF">
        <w:t xml:space="preserve"> and 56</w:t>
      </w:r>
    </w:p>
    <w:p w14:paraId="0E0EA37B" w14:textId="77777777" w:rsidR="00925DEF" w:rsidRDefault="00925DEF" w:rsidP="00241336">
      <w:pPr>
        <w:pStyle w:val="Heading2"/>
      </w:pPr>
      <w:r>
        <w:t>21 CFR 312, Subpart I (expanded access to investigational drugs)</w:t>
      </w:r>
    </w:p>
    <w:p w14:paraId="0E0EA37C" w14:textId="77777777" w:rsidR="00A0364A" w:rsidRDefault="00A0364A" w:rsidP="00241336">
      <w:pPr>
        <w:pStyle w:val="Heading2"/>
      </w:pPr>
      <w:r>
        <w:t>21 CFR 316, Orphan Drugs</w:t>
      </w:r>
    </w:p>
    <w:p w14:paraId="0E0EA37D" w14:textId="77777777" w:rsidR="00A0364A" w:rsidRDefault="00A0364A" w:rsidP="00756735">
      <w:pPr>
        <w:pStyle w:val="Heading2"/>
      </w:pPr>
      <w:r>
        <w:t>21 CFR 812 Investigational Devices</w:t>
      </w:r>
    </w:p>
    <w:p w14:paraId="0E0EA37E" w14:textId="77777777" w:rsidR="00756735" w:rsidRDefault="00241336" w:rsidP="00756735">
      <w:pPr>
        <w:pStyle w:val="Heading2"/>
      </w:pPr>
      <w:r>
        <w:t>FDA, “Guidance for Institutional Review Boards and Clinical Investigators, 2006 Update, Medical Devices”</w:t>
      </w:r>
    </w:p>
    <w:p w14:paraId="0E0EA37F" w14:textId="3BFF7ED8" w:rsidR="00925DEF" w:rsidRPr="00D40BC7" w:rsidRDefault="00756735" w:rsidP="00756735">
      <w:pPr>
        <w:pStyle w:val="Heading2"/>
        <w:rPr>
          <w:rStyle w:val="Hyperlink"/>
          <w:color w:val="auto"/>
          <w:u w:val="none"/>
        </w:rPr>
      </w:pPr>
      <w:r>
        <w:t xml:space="preserve">FDA description of Device Expanded Access mechanisms, including how to obtain FDA approval </w:t>
      </w:r>
      <w:r w:rsidR="00D40BC7">
        <w:t>(</w:t>
      </w:r>
      <w:hyperlink r:id="rId18" w:history="1">
        <w:r w:rsidR="00D40BC7" w:rsidRPr="00D40BC7">
          <w:rPr>
            <w:rStyle w:val="Hyperlink"/>
          </w:rPr>
          <w:t>link</w:t>
        </w:r>
      </w:hyperlink>
      <w:r w:rsidR="00D40BC7">
        <w:t>)</w:t>
      </w:r>
    </w:p>
    <w:p w14:paraId="57B5B942" w14:textId="00518135" w:rsidR="0013171D" w:rsidRDefault="0013171D" w:rsidP="00756735">
      <w:pPr>
        <w:pStyle w:val="Heading2"/>
      </w:pPr>
      <w:r>
        <w:t xml:space="preserve">FDA Guidance “Institutional Review Board (IRB) Review of Individual Patient Expanded Access Requests for Investigational Drugs and Biological Products During the COVID-19 Public Health Emergency”, June 2020. </w:t>
      </w:r>
    </w:p>
    <w:p w14:paraId="10C966AC" w14:textId="77777777" w:rsidR="00365BFC" w:rsidRDefault="00365BFC" w:rsidP="00365BFC">
      <w:pPr>
        <w:tabs>
          <w:tab w:val="left" w:pos="1095"/>
        </w:tabs>
        <w:spacing w:after="0"/>
        <w:rPr>
          <w:b/>
          <w:bCs/>
        </w:rPr>
      </w:pPr>
    </w:p>
    <w:p w14:paraId="51D6876C" w14:textId="386B8B3D" w:rsidR="00365BFC" w:rsidRPr="00365BFC" w:rsidRDefault="00365BFC" w:rsidP="00FB448C">
      <w:pPr>
        <w:tabs>
          <w:tab w:val="left" w:pos="1095"/>
        </w:tabs>
        <w:spacing w:after="0"/>
      </w:pPr>
      <w:r>
        <w:rPr>
          <w:b/>
          <w:bCs/>
        </w:rPr>
        <w:t xml:space="preserve">Key Words: </w:t>
      </w:r>
      <w:r>
        <w:t>Expanded Access</w:t>
      </w:r>
      <w:r>
        <w:tab/>
      </w:r>
    </w:p>
    <w:sectPr w:rsidR="00365BFC" w:rsidRPr="00365BFC" w:rsidSect="00E544AE">
      <w:headerReference w:type="default" r:id="rId19"/>
      <w:footerReference w:type="default" r:id="rId20"/>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0EA382" w14:textId="77777777" w:rsidR="00746A1B" w:rsidRDefault="00746A1B" w:rsidP="00253E58">
      <w:pPr>
        <w:spacing w:after="0" w:line="240" w:lineRule="auto"/>
      </w:pPr>
      <w:r>
        <w:separator/>
      </w:r>
    </w:p>
  </w:endnote>
  <w:endnote w:type="continuationSeparator" w:id="0">
    <w:p w14:paraId="0E0EA383" w14:textId="77777777" w:rsidR="00746A1B" w:rsidRDefault="00746A1B" w:rsidP="00253E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Look w:val="04A0" w:firstRow="1" w:lastRow="0" w:firstColumn="1" w:lastColumn="0" w:noHBand="0" w:noVBand="1"/>
      <w:tblCaption w:val="Footer"/>
      <w:tblDescription w:val="Contains version, date, page number, document number"/>
    </w:tblPr>
    <w:tblGrid>
      <w:gridCol w:w="3325"/>
      <w:gridCol w:w="2968"/>
      <w:gridCol w:w="3057"/>
    </w:tblGrid>
    <w:tr w:rsidR="00253E58" w:rsidRPr="00934116" w14:paraId="0E0EA38C" w14:textId="77777777" w:rsidTr="00C8696D">
      <w:trPr>
        <w:trHeight w:val="263"/>
      </w:trPr>
      <w:tc>
        <w:tcPr>
          <w:tcW w:w="6655" w:type="dxa"/>
          <w:gridSpan w:val="2"/>
          <w:tcBorders>
            <w:right w:val="nil"/>
          </w:tcBorders>
          <w:vAlign w:val="center"/>
        </w:tcPr>
        <w:p w14:paraId="0E0EA38A" w14:textId="5985880C" w:rsidR="00253E58" w:rsidRPr="00934116" w:rsidRDefault="00E73C40" w:rsidP="00C8696D">
          <w:pPr>
            <w:pStyle w:val="Footer"/>
            <w:rPr>
              <w:rStyle w:val="PageNumber"/>
              <w:rFonts w:asciiTheme="minorHAnsi" w:hAnsiTheme="minorHAnsi" w:cstheme="minorHAnsi"/>
            </w:rPr>
          </w:pPr>
          <w:r>
            <w:rPr>
              <w:rFonts w:asciiTheme="minorHAnsi" w:hAnsiTheme="minorHAnsi" w:cstheme="minorHAnsi"/>
            </w:rPr>
            <w:t xml:space="preserve">Version </w:t>
          </w:r>
          <w:r w:rsidR="00CE7956">
            <w:rPr>
              <w:rFonts w:asciiTheme="minorHAnsi" w:hAnsiTheme="minorHAnsi" w:cstheme="minorHAnsi"/>
            </w:rPr>
            <w:t>2.0</w:t>
          </w:r>
          <w:r w:rsidR="00365BFC">
            <w:rPr>
              <w:rFonts w:asciiTheme="minorHAnsi" w:hAnsiTheme="minorHAnsi" w:cstheme="minorHAnsi"/>
            </w:rPr>
            <w:t>1</w:t>
          </w:r>
          <w:r w:rsidR="00CE7956">
            <w:rPr>
              <w:rFonts w:asciiTheme="minorHAnsi" w:hAnsiTheme="minorHAnsi" w:cstheme="minorHAnsi"/>
            </w:rPr>
            <w:t xml:space="preserve">              </w:t>
          </w:r>
        </w:p>
      </w:tc>
      <w:tc>
        <w:tcPr>
          <w:tcW w:w="3281" w:type="dxa"/>
          <w:tcBorders>
            <w:left w:val="nil"/>
          </w:tcBorders>
          <w:vAlign w:val="center"/>
        </w:tcPr>
        <w:p w14:paraId="0E0EA38B" w14:textId="111F834E" w:rsidR="00253E58" w:rsidRPr="00934116" w:rsidRDefault="00253E58" w:rsidP="000F43DC">
          <w:pPr>
            <w:pStyle w:val="Footer"/>
            <w:jc w:val="right"/>
            <w:rPr>
              <w:rFonts w:asciiTheme="minorHAnsi" w:hAnsiTheme="minorHAnsi" w:cstheme="minorHAnsi"/>
            </w:rPr>
          </w:pPr>
        </w:p>
      </w:tc>
    </w:tr>
    <w:tr w:rsidR="00253E58" w:rsidRPr="00934116" w14:paraId="0E0EA390" w14:textId="77777777" w:rsidTr="00C8696D">
      <w:trPr>
        <w:trHeight w:val="347"/>
      </w:trPr>
      <w:tc>
        <w:tcPr>
          <w:tcW w:w="3509" w:type="dxa"/>
          <w:tcBorders>
            <w:left w:val="nil"/>
            <w:bottom w:val="nil"/>
            <w:right w:val="nil"/>
          </w:tcBorders>
          <w:vAlign w:val="center"/>
        </w:tcPr>
        <w:p w14:paraId="0E0EA38D" w14:textId="5F7BF7C5" w:rsidR="00253E58" w:rsidRPr="00934116" w:rsidRDefault="000F43DC" w:rsidP="00453B77">
          <w:pPr>
            <w:pStyle w:val="Footer"/>
            <w:rPr>
              <w:rFonts w:asciiTheme="minorHAnsi" w:hAnsiTheme="minorHAnsi" w:cstheme="minorHAnsi"/>
            </w:rPr>
          </w:pPr>
          <w:r>
            <w:rPr>
              <w:rFonts w:asciiTheme="minorHAnsi" w:hAnsiTheme="minorHAnsi" w:cstheme="minorHAnsi"/>
            </w:rPr>
            <w:t>Implemented</w:t>
          </w:r>
          <w:r w:rsidR="00CE7956">
            <w:rPr>
              <w:rFonts w:asciiTheme="minorHAnsi" w:hAnsiTheme="minorHAnsi" w:cstheme="minorHAnsi"/>
            </w:rPr>
            <w:t xml:space="preserve"> </w:t>
          </w:r>
          <w:r w:rsidR="003E6E0D">
            <w:rPr>
              <w:rFonts w:asciiTheme="minorHAnsi" w:hAnsiTheme="minorHAnsi" w:cstheme="minorHAnsi"/>
            </w:rPr>
            <w:t>10/08</w:t>
          </w:r>
          <w:r w:rsidR="00365BFC">
            <w:rPr>
              <w:rFonts w:asciiTheme="minorHAnsi" w:hAnsiTheme="minorHAnsi" w:cstheme="minorHAnsi"/>
            </w:rPr>
            <w:t>/2021</w:t>
          </w:r>
        </w:p>
      </w:tc>
      <w:tc>
        <w:tcPr>
          <w:tcW w:w="3146" w:type="dxa"/>
          <w:tcBorders>
            <w:left w:val="nil"/>
            <w:bottom w:val="nil"/>
            <w:right w:val="nil"/>
          </w:tcBorders>
          <w:vAlign w:val="center"/>
        </w:tcPr>
        <w:p w14:paraId="0E0EA38E" w14:textId="1DF667B5" w:rsidR="00253E58" w:rsidRPr="00934116" w:rsidRDefault="00CE7956" w:rsidP="00E73C40">
          <w:pPr>
            <w:pStyle w:val="Footer"/>
            <w:jc w:val="center"/>
            <w:rPr>
              <w:rStyle w:val="PageNumber"/>
              <w:rFonts w:asciiTheme="minorHAnsi" w:hAnsiTheme="minorHAnsi" w:cstheme="minorHAnsi"/>
            </w:rPr>
          </w:pPr>
          <w:r>
            <w:rPr>
              <w:rFonts w:asciiTheme="minorHAnsi" w:hAnsiTheme="minorHAnsi" w:cstheme="minorHAnsi"/>
            </w:rPr>
            <w:t>SOP Expanded Access</w:t>
          </w:r>
        </w:p>
      </w:tc>
      <w:tc>
        <w:tcPr>
          <w:tcW w:w="3281" w:type="dxa"/>
          <w:tcBorders>
            <w:left w:val="nil"/>
            <w:bottom w:val="nil"/>
            <w:right w:val="nil"/>
          </w:tcBorders>
          <w:vAlign w:val="center"/>
        </w:tcPr>
        <w:p w14:paraId="0E0EA38F" w14:textId="77777777" w:rsidR="00253E58" w:rsidRPr="00934116" w:rsidRDefault="00253E58" w:rsidP="00C8696D">
          <w:pPr>
            <w:pStyle w:val="Footer"/>
            <w:jc w:val="right"/>
            <w:rPr>
              <w:rStyle w:val="PageNumber"/>
              <w:rFonts w:asciiTheme="minorHAnsi" w:hAnsiTheme="minorHAnsi" w:cstheme="minorHAnsi"/>
            </w:rPr>
          </w:pPr>
          <w:r w:rsidRPr="00934116">
            <w:rPr>
              <w:rFonts w:asciiTheme="minorHAnsi" w:hAnsiTheme="minorHAnsi" w:cstheme="minorHAnsi"/>
            </w:rPr>
            <w:t xml:space="preserve">Page </w:t>
          </w:r>
          <w:r w:rsidRPr="00934116">
            <w:rPr>
              <w:rStyle w:val="PageNumber"/>
              <w:rFonts w:cstheme="minorHAnsi"/>
            </w:rPr>
            <w:fldChar w:fldCharType="begin"/>
          </w:r>
          <w:r w:rsidRPr="00934116">
            <w:rPr>
              <w:rStyle w:val="PageNumber"/>
              <w:rFonts w:asciiTheme="minorHAnsi" w:hAnsiTheme="minorHAnsi" w:cstheme="minorHAnsi"/>
            </w:rPr>
            <w:instrText xml:space="preserve"> PAGE </w:instrText>
          </w:r>
          <w:r w:rsidRPr="00934116">
            <w:rPr>
              <w:rStyle w:val="PageNumber"/>
              <w:rFonts w:cstheme="minorHAnsi"/>
            </w:rPr>
            <w:fldChar w:fldCharType="separate"/>
          </w:r>
          <w:r w:rsidR="000B0764">
            <w:rPr>
              <w:rStyle w:val="PageNumber"/>
              <w:rFonts w:asciiTheme="minorHAnsi" w:hAnsiTheme="minorHAnsi" w:cstheme="minorHAnsi"/>
              <w:noProof/>
            </w:rPr>
            <w:t>1</w:t>
          </w:r>
          <w:r w:rsidRPr="00934116">
            <w:rPr>
              <w:rStyle w:val="PageNumber"/>
              <w:rFonts w:cstheme="minorHAnsi"/>
            </w:rPr>
            <w:fldChar w:fldCharType="end"/>
          </w:r>
          <w:r w:rsidRPr="00934116">
            <w:rPr>
              <w:rStyle w:val="PageNumber"/>
              <w:rFonts w:asciiTheme="minorHAnsi" w:hAnsiTheme="minorHAnsi" w:cstheme="minorHAnsi"/>
            </w:rPr>
            <w:t xml:space="preserve"> of </w:t>
          </w:r>
          <w:r w:rsidRPr="00934116">
            <w:rPr>
              <w:rStyle w:val="PageNumber"/>
              <w:rFonts w:cstheme="minorHAnsi"/>
            </w:rPr>
            <w:fldChar w:fldCharType="begin"/>
          </w:r>
          <w:r w:rsidRPr="00934116">
            <w:rPr>
              <w:rStyle w:val="PageNumber"/>
              <w:rFonts w:asciiTheme="minorHAnsi" w:hAnsiTheme="minorHAnsi" w:cstheme="minorHAnsi"/>
            </w:rPr>
            <w:instrText xml:space="preserve"> NUMPAGES </w:instrText>
          </w:r>
          <w:r w:rsidRPr="00934116">
            <w:rPr>
              <w:rStyle w:val="PageNumber"/>
              <w:rFonts w:cstheme="minorHAnsi"/>
            </w:rPr>
            <w:fldChar w:fldCharType="separate"/>
          </w:r>
          <w:r w:rsidR="000B0764">
            <w:rPr>
              <w:rStyle w:val="PageNumber"/>
              <w:rFonts w:asciiTheme="minorHAnsi" w:hAnsiTheme="minorHAnsi" w:cstheme="minorHAnsi"/>
              <w:noProof/>
            </w:rPr>
            <w:t>8</w:t>
          </w:r>
          <w:r w:rsidRPr="00934116">
            <w:rPr>
              <w:rStyle w:val="PageNumber"/>
              <w:rFonts w:cstheme="minorHAnsi"/>
            </w:rPr>
            <w:fldChar w:fldCharType="end"/>
          </w:r>
        </w:p>
      </w:tc>
    </w:tr>
  </w:tbl>
  <w:p w14:paraId="0E0EA391" w14:textId="77777777" w:rsidR="00253E58" w:rsidRDefault="00253E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0EA380" w14:textId="77777777" w:rsidR="00746A1B" w:rsidRDefault="00746A1B" w:rsidP="00253E58">
      <w:pPr>
        <w:spacing w:after="0" w:line="240" w:lineRule="auto"/>
      </w:pPr>
      <w:r>
        <w:separator/>
      </w:r>
    </w:p>
  </w:footnote>
  <w:footnote w:type="continuationSeparator" w:id="0">
    <w:p w14:paraId="0E0EA381" w14:textId="77777777" w:rsidR="00746A1B" w:rsidRDefault="00746A1B" w:rsidP="00253E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Look w:val="04A0" w:firstRow="1" w:lastRow="0" w:firstColumn="1" w:lastColumn="0" w:noHBand="0" w:noVBand="1"/>
      <w:tblCaption w:val="SOP Expanded Access"/>
      <w:tblDescription w:val="Header"/>
    </w:tblPr>
    <w:tblGrid>
      <w:gridCol w:w="5026"/>
      <w:gridCol w:w="4334"/>
    </w:tblGrid>
    <w:tr w:rsidR="00253E58" w14:paraId="0E0EA386" w14:textId="77777777" w:rsidTr="00C8696D">
      <w:trPr>
        <w:trHeight w:val="872"/>
      </w:trPr>
      <w:tc>
        <w:tcPr>
          <w:tcW w:w="5026" w:type="dxa"/>
          <w:tcBorders>
            <w:top w:val="nil"/>
            <w:left w:val="nil"/>
            <w:bottom w:val="nil"/>
            <w:right w:val="nil"/>
          </w:tcBorders>
          <w:vAlign w:val="center"/>
        </w:tcPr>
        <w:p w14:paraId="0E0EA384" w14:textId="77777777" w:rsidR="00253E58" w:rsidRDefault="00253E58" w:rsidP="00C8696D">
          <w:pPr>
            <w:tabs>
              <w:tab w:val="right" w:pos="9720"/>
            </w:tabs>
            <w:outlineLvl w:val="0"/>
            <w:rPr>
              <w:rFonts w:cs="Arial"/>
              <w:b/>
              <w:bCs/>
              <w:sz w:val="28"/>
              <w:szCs w:val="28"/>
            </w:rPr>
          </w:pPr>
          <w:r>
            <w:rPr>
              <w:noProof/>
            </w:rPr>
            <w:drawing>
              <wp:inline distT="0" distB="0" distL="0" distR="0" wp14:anchorId="0E0EA392" wp14:editId="411CAF5E">
                <wp:extent cx="3054350" cy="371475"/>
                <wp:effectExtent l="0" t="0" r="0" b="9525"/>
                <wp:docPr id="5" name="Picture 5" descr="Logo" title="University of Washington Human Subjects Di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SD graphic element - 300 dpi"/>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3054350" cy="371475"/>
                        </a:xfrm>
                        <a:prstGeom prst="rect">
                          <a:avLst/>
                        </a:prstGeom>
                        <a:noFill/>
                        <a:ln w="9525">
                          <a:noFill/>
                          <a:miter lim="800000"/>
                          <a:headEnd/>
                          <a:tailEnd/>
                        </a:ln>
                      </pic:spPr>
                    </pic:pic>
                  </a:graphicData>
                </a:graphic>
              </wp:inline>
            </w:drawing>
          </w:r>
        </w:p>
      </w:tc>
      <w:tc>
        <w:tcPr>
          <w:tcW w:w="4910" w:type="dxa"/>
          <w:tcBorders>
            <w:top w:val="nil"/>
            <w:left w:val="nil"/>
            <w:bottom w:val="nil"/>
            <w:right w:val="nil"/>
          </w:tcBorders>
          <w:vAlign w:val="center"/>
        </w:tcPr>
        <w:p w14:paraId="0E0EA385" w14:textId="77777777" w:rsidR="00253E58" w:rsidRPr="002C443C" w:rsidRDefault="00925DEF" w:rsidP="00B414A1">
          <w:pPr>
            <w:tabs>
              <w:tab w:val="right" w:pos="9720"/>
            </w:tabs>
            <w:jc w:val="right"/>
            <w:outlineLvl w:val="0"/>
            <w:rPr>
              <w:rFonts w:asciiTheme="minorHAnsi" w:hAnsiTheme="minorHAnsi" w:cstheme="minorHAnsi"/>
              <w:b/>
              <w:bCs/>
              <w:sz w:val="28"/>
              <w:szCs w:val="28"/>
            </w:rPr>
          </w:pPr>
          <w:r>
            <w:rPr>
              <w:rFonts w:asciiTheme="minorHAnsi" w:hAnsiTheme="minorHAnsi" w:cstheme="minorHAnsi"/>
              <w:b/>
              <w:bCs/>
              <w:sz w:val="28"/>
              <w:szCs w:val="28"/>
            </w:rPr>
            <w:t>Expanded Access</w:t>
          </w:r>
        </w:p>
      </w:tc>
    </w:tr>
  </w:tbl>
  <w:p w14:paraId="0E0EA387" w14:textId="77777777" w:rsidR="00253E58" w:rsidRDefault="00253E58">
    <w:pPr>
      <w:pStyle w:val="Header"/>
    </w:pPr>
  </w:p>
  <w:p w14:paraId="0E0EA388" w14:textId="77777777" w:rsidR="00253E58" w:rsidRDefault="00253E58" w:rsidP="00253E58">
    <w:pPr>
      <w:pStyle w:val="Header"/>
      <w:shd w:val="clear" w:color="auto" w:fill="39275B"/>
    </w:pPr>
  </w:p>
  <w:p w14:paraId="0E0EA389" w14:textId="77777777" w:rsidR="00586779" w:rsidRDefault="00586779" w:rsidP="005867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E4F0C"/>
    <w:multiLevelType w:val="multilevel"/>
    <w:tmpl w:val="ACC2F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D20F3E"/>
    <w:multiLevelType w:val="multilevel"/>
    <w:tmpl w:val="D5DC0158"/>
    <w:numStyleLink w:val="HSDSOPHeadings"/>
  </w:abstractNum>
  <w:abstractNum w:abstractNumId="2" w15:restartNumberingAfterBreak="0">
    <w:nsid w:val="11F9231D"/>
    <w:multiLevelType w:val="multilevel"/>
    <w:tmpl w:val="D5DC0158"/>
    <w:numStyleLink w:val="HSDSOPHeadings"/>
  </w:abstractNum>
  <w:abstractNum w:abstractNumId="3" w15:restartNumberingAfterBreak="0">
    <w:nsid w:val="1CE24AB0"/>
    <w:multiLevelType w:val="hybridMultilevel"/>
    <w:tmpl w:val="0B16A38E"/>
    <w:lvl w:ilvl="0" w:tplc="51AEE9BA">
      <w:start w:val="1"/>
      <w:numFmt w:val="bullet"/>
      <w:pStyle w:val="BulletPoin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D8187B"/>
    <w:multiLevelType w:val="multilevel"/>
    <w:tmpl w:val="A0544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C8362D"/>
    <w:multiLevelType w:val="multilevel"/>
    <w:tmpl w:val="49687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3E5F68"/>
    <w:multiLevelType w:val="multilevel"/>
    <w:tmpl w:val="B49C5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FD0471"/>
    <w:multiLevelType w:val="hybridMultilevel"/>
    <w:tmpl w:val="1C2AE8C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 w15:restartNumberingAfterBreak="0">
    <w:nsid w:val="332132CC"/>
    <w:multiLevelType w:val="multilevel"/>
    <w:tmpl w:val="D5DC0158"/>
    <w:numStyleLink w:val="HSDSOPHeadings"/>
  </w:abstractNum>
  <w:abstractNum w:abstractNumId="9" w15:restartNumberingAfterBreak="0">
    <w:nsid w:val="52B116CC"/>
    <w:multiLevelType w:val="multilevel"/>
    <w:tmpl w:val="D5DC0158"/>
    <w:styleLink w:val="HSDSOPHeadings"/>
    <w:lvl w:ilvl="0">
      <w:start w:val="1"/>
      <w:numFmt w:val="decimal"/>
      <w:pStyle w:val="Heading1"/>
      <w:lvlText w:val="%1"/>
      <w:lvlJc w:val="left"/>
      <w:pPr>
        <w:ind w:left="360" w:hanging="360"/>
      </w:pPr>
      <w:rPr>
        <w:rFonts w:hint="default"/>
      </w:rPr>
    </w:lvl>
    <w:lvl w:ilvl="1">
      <w:start w:val="1"/>
      <w:numFmt w:val="decimal"/>
      <w:pStyle w:val="Heading2"/>
      <w:lvlText w:val="%1.%2"/>
      <w:lvlJc w:val="left"/>
      <w:pPr>
        <w:ind w:left="864" w:hanging="504"/>
      </w:pPr>
      <w:rPr>
        <w:rFonts w:hint="default"/>
      </w:rPr>
    </w:lvl>
    <w:lvl w:ilvl="2">
      <w:start w:val="1"/>
      <w:numFmt w:val="decimal"/>
      <w:pStyle w:val="Heading3"/>
      <w:lvlText w:val="%1.%2.%3"/>
      <w:lvlJc w:val="left"/>
      <w:pPr>
        <w:ind w:left="1512" w:hanging="648"/>
      </w:pPr>
      <w:rPr>
        <w:rFonts w:hint="default"/>
      </w:rPr>
    </w:lvl>
    <w:lvl w:ilvl="3">
      <w:start w:val="1"/>
      <w:numFmt w:val="decimal"/>
      <w:pStyle w:val="Heading4"/>
      <w:lvlText w:val="%1.%2.%3.%4"/>
      <w:lvlJc w:val="left"/>
      <w:pPr>
        <w:tabs>
          <w:tab w:val="num" w:pos="1512"/>
        </w:tabs>
        <w:ind w:left="2376" w:hanging="864"/>
      </w:pPr>
      <w:rPr>
        <w:rFonts w:hint="default"/>
      </w:rPr>
    </w:lvl>
    <w:lvl w:ilvl="4">
      <w:start w:val="1"/>
      <w:numFmt w:val="decimal"/>
      <w:pStyle w:val="Heading5"/>
      <w:lvlText w:val="%1.%2.%3.%4.%5"/>
      <w:lvlJc w:val="left"/>
      <w:pPr>
        <w:tabs>
          <w:tab w:val="num" w:pos="2376"/>
        </w:tabs>
        <w:ind w:left="3456" w:hanging="1080"/>
      </w:pPr>
      <w:rPr>
        <w:rFonts w:hint="default"/>
      </w:rPr>
    </w:lvl>
    <w:lvl w:ilvl="5">
      <w:start w:val="1"/>
      <w:numFmt w:val="decimal"/>
      <w:pStyle w:val="Heading6"/>
      <w:lvlText w:val="%1.%2.%3.%4.%5.%6"/>
      <w:lvlJc w:val="left"/>
      <w:pPr>
        <w:tabs>
          <w:tab w:val="num" w:pos="3456"/>
        </w:tabs>
        <w:ind w:left="4680" w:hanging="1224"/>
      </w:pPr>
      <w:rPr>
        <w:rFonts w:hint="default"/>
      </w:rPr>
    </w:lvl>
    <w:lvl w:ilvl="6">
      <w:start w:val="1"/>
      <w:numFmt w:val="decimal"/>
      <w:pStyle w:val="Heading7"/>
      <w:lvlText w:val="%1.%2.%3.%4.%5.%6.%7"/>
      <w:lvlJc w:val="left"/>
      <w:pPr>
        <w:tabs>
          <w:tab w:val="num" w:pos="3672"/>
        </w:tabs>
        <w:ind w:left="5040" w:hanging="1368"/>
      </w:pPr>
      <w:rPr>
        <w:rFonts w:hint="default"/>
      </w:rPr>
    </w:lvl>
    <w:lvl w:ilvl="7">
      <w:start w:val="1"/>
      <w:numFmt w:val="decimal"/>
      <w:pStyle w:val="Heading8"/>
      <w:lvlText w:val="%1.%2.%3.%4.%5.%6.%7.%8"/>
      <w:lvlJc w:val="left"/>
      <w:pPr>
        <w:tabs>
          <w:tab w:val="num" w:pos="4176"/>
        </w:tabs>
        <w:ind w:left="5472" w:hanging="1512"/>
      </w:pPr>
      <w:rPr>
        <w:rFonts w:hint="default"/>
      </w:rPr>
    </w:lvl>
    <w:lvl w:ilvl="8">
      <w:start w:val="1"/>
      <w:numFmt w:val="decimal"/>
      <w:pStyle w:val="Heading9"/>
      <w:lvlText w:val="%1.%2.%3.%4.%5.%6.%7.%8.%9"/>
      <w:lvlJc w:val="left"/>
      <w:pPr>
        <w:ind w:left="6120" w:hanging="1800"/>
      </w:pPr>
      <w:rPr>
        <w:rFonts w:hint="default"/>
      </w:rPr>
    </w:lvl>
  </w:abstractNum>
  <w:abstractNum w:abstractNumId="10" w15:restartNumberingAfterBreak="0">
    <w:nsid w:val="5CD35EF0"/>
    <w:multiLevelType w:val="multilevel"/>
    <w:tmpl w:val="B56685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5A5C06"/>
    <w:multiLevelType w:val="multilevel"/>
    <w:tmpl w:val="D5DC0158"/>
    <w:numStyleLink w:val="HSDSOPHeadings"/>
  </w:abstractNum>
  <w:abstractNum w:abstractNumId="12" w15:restartNumberingAfterBreak="0">
    <w:nsid w:val="65925AD0"/>
    <w:multiLevelType w:val="multilevel"/>
    <w:tmpl w:val="D5DC0158"/>
    <w:numStyleLink w:val="HSDSOPHeadings"/>
  </w:abstractNum>
  <w:abstractNum w:abstractNumId="13" w15:restartNumberingAfterBreak="0">
    <w:nsid w:val="6F7E7B1F"/>
    <w:multiLevelType w:val="multilevel"/>
    <w:tmpl w:val="6B808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8"/>
  </w:num>
  <w:num w:numId="3">
    <w:abstractNumId w:val="1"/>
  </w:num>
  <w:num w:numId="4">
    <w:abstractNumId w:val="2"/>
  </w:num>
  <w:num w:numId="5">
    <w:abstractNumId w:val="11"/>
  </w:num>
  <w:num w:numId="6">
    <w:abstractNumId w:val="12"/>
    <w:lvlOverride w:ilvl="0">
      <w:lvl w:ilvl="0">
        <w:numFmt w:val="decimal"/>
        <w:pStyle w:val="Heading1"/>
        <w:lvlText w:val=""/>
        <w:lvlJc w:val="left"/>
      </w:lvl>
    </w:lvlOverride>
    <w:lvlOverride w:ilvl="1">
      <w:lvl w:ilvl="1">
        <w:start w:val="1"/>
        <w:numFmt w:val="decimal"/>
        <w:pStyle w:val="Heading2"/>
        <w:lvlText w:val="%1.%2"/>
        <w:lvlJc w:val="left"/>
        <w:pPr>
          <w:ind w:left="864" w:hanging="504"/>
        </w:pPr>
        <w:rPr>
          <w:rFonts w:hint="default"/>
          <w:color w:val="auto"/>
          <w:sz w:val="22"/>
          <w:szCs w:val="22"/>
        </w:rPr>
      </w:lvl>
    </w:lvlOverride>
    <w:lvlOverride w:ilvl="2">
      <w:lvl w:ilvl="2">
        <w:start w:val="1"/>
        <w:numFmt w:val="decimal"/>
        <w:pStyle w:val="Heading3"/>
        <w:lvlText w:val="%1.%2.%3"/>
        <w:lvlJc w:val="left"/>
        <w:pPr>
          <w:ind w:left="1512" w:hanging="648"/>
        </w:pPr>
        <w:rPr>
          <w:rFonts w:hint="default"/>
          <w:b w:val="0"/>
          <w:bCs w:val="0"/>
        </w:rPr>
      </w:lvl>
    </w:lvlOverride>
  </w:num>
  <w:num w:numId="7">
    <w:abstractNumId w:val="3"/>
  </w:num>
  <w:num w:numId="8">
    <w:abstractNumId w:val="4"/>
  </w:num>
  <w:num w:numId="9">
    <w:abstractNumId w:val="0"/>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num>
  <w:num w:numId="15">
    <w:abstractNumId w:val="5"/>
  </w:num>
  <w:num w:numId="16">
    <w:abstractNumId w:val="13"/>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9BF"/>
    <w:rsid w:val="000030A5"/>
    <w:rsid w:val="00013E5C"/>
    <w:rsid w:val="000202FF"/>
    <w:rsid w:val="000221FC"/>
    <w:rsid w:val="00027BF2"/>
    <w:rsid w:val="0005388C"/>
    <w:rsid w:val="00055AAC"/>
    <w:rsid w:val="000567A7"/>
    <w:rsid w:val="00060F1E"/>
    <w:rsid w:val="00064DE4"/>
    <w:rsid w:val="00090161"/>
    <w:rsid w:val="000A2379"/>
    <w:rsid w:val="000A67F3"/>
    <w:rsid w:val="000A762C"/>
    <w:rsid w:val="000B0764"/>
    <w:rsid w:val="000B127E"/>
    <w:rsid w:val="000B1BC2"/>
    <w:rsid w:val="000B3BB8"/>
    <w:rsid w:val="000C3270"/>
    <w:rsid w:val="000C5935"/>
    <w:rsid w:val="000F4027"/>
    <w:rsid w:val="000F43DC"/>
    <w:rsid w:val="000F67C4"/>
    <w:rsid w:val="001078D4"/>
    <w:rsid w:val="001106BE"/>
    <w:rsid w:val="00113C28"/>
    <w:rsid w:val="00114C51"/>
    <w:rsid w:val="0013171D"/>
    <w:rsid w:val="00133707"/>
    <w:rsid w:val="00136DE5"/>
    <w:rsid w:val="00142DBD"/>
    <w:rsid w:val="001452BF"/>
    <w:rsid w:val="00153F85"/>
    <w:rsid w:val="00154FF6"/>
    <w:rsid w:val="00157DCE"/>
    <w:rsid w:val="001604C8"/>
    <w:rsid w:val="0016395D"/>
    <w:rsid w:val="00166005"/>
    <w:rsid w:val="001756D2"/>
    <w:rsid w:val="00175DE6"/>
    <w:rsid w:val="00183775"/>
    <w:rsid w:val="001912E7"/>
    <w:rsid w:val="0019232B"/>
    <w:rsid w:val="00195789"/>
    <w:rsid w:val="001A21B7"/>
    <w:rsid w:val="001A2825"/>
    <w:rsid w:val="001A3297"/>
    <w:rsid w:val="001A6987"/>
    <w:rsid w:val="001B0E70"/>
    <w:rsid w:val="001B12FF"/>
    <w:rsid w:val="001B2DBF"/>
    <w:rsid w:val="001C1072"/>
    <w:rsid w:val="001C23FD"/>
    <w:rsid w:val="001C32CF"/>
    <w:rsid w:val="001C517C"/>
    <w:rsid w:val="001D1F41"/>
    <w:rsid w:val="001D2DAE"/>
    <w:rsid w:val="001D6EA8"/>
    <w:rsid w:val="001D79CB"/>
    <w:rsid w:val="001E4E47"/>
    <w:rsid w:val="001E50B8"/>
    <w:rsid w:val="001F0281"/>
    <w:rsid w:val="001F155A"/>
    <w:rsid w:val="0020201C"/>
    <w:rsid w:val="00202163"/>
    <w:rsid w:val="0020333F"/>
    <w:rsid w:val="00203B83"/>
    <w:rsid w:val="00203DEB"/>
    <w:rsid w:val="00214C62"/>
    <w:rsid w:val="00233A80"/>
    <w:rsid w:val="002361B0"/>
    <w:rsid w:val="00241336"/>
    <w:rsid w:val="00242A8C"/>
    <w:rsid w:val="00242E14"/>
    <w:rsid w:val="00251AB1"/>
    <w:rsid w:val="00253E58"/>
    <w:rsid w:val="00260275"/>
    <w:rsid w:val="0026339E"/>
    <w:rsid w:val="00270FB9"/>
    <w:rsid w:val="002904E0"/>
    <w:rsid w:val="0029791D"/>
    <w:rsid w:val="002A32ED"/>
    <w:rsid w:val="002C7EA8"/>
    <w:rsid w:val="002E1CFF"/>
    <w:rsid w:val="00311948"/>
    <w:rsid w:val="00324646"/>
    <w:rsid w:val="003277E0"/>
    <w:rsid w:val="003323D3"/>
    <w:rsid w:val="003333E4"/>
    <w:rsid w:val="0034239B"/>
    <w:rsid w:val="00344377"/>
    <w:rsid w:val="00355035"/>
    <w:rsid w:val="003565D9"/>
    <w:rsid w:val="00365BFC"/>
    <w:rsid w:val="00380574"/>
    <w:rsid w:val="00396424"/>
    <w:rsid w:val="003A186D"/>
    <w:rsid w:val="003A2790"/>
    <w:rsid w:val="003A2E50"/>
    <w:rsid w:val="003A721F"/>
    <w:rsid w:val="003B5D00"/>
    <w:rsid w:val="003E52FD"/>
    <w:rsid w:val="003E6E0D"/>
    <w:rsid w:val="003F40AC"/>
    <w:rsid w:val="004029C8"/>
    <w:rsid w:val="00402A35"/>
    <w:rsid w:val="00406131"/>
    <w:rsid w:val="004177F7"/>
    <w:rsid w:val="00423008"/>
    <w:rsid w:val="0043107C"/>
    <w:rsid w:val="00440A3D"/>
    <w:rsid w:val="004516E1"/>
    <w:rsid w:val="00453B77"/>
    <w:rsid w:val="004615FE"/>
    <w:rsid w:val="004621ED"/>
    <w:rsid w:val="00466794"/>
    <w:rsid w:val="004805BA"/>
    <w:rsid w:val="00480A40"/>
    <w:rsid w:val="00491140"/>
    <w:rsid w:val="00492E01"/>
    <w:rsid w:val="004A02D6"/>
    <w:rsid w:val="004A337E"/>
    <w:rsid w:val="004A53FB"/>
    <w:rsid w:val="004D2042"/>
    <w:rsid w:val="004D49F0"/>
    <w:rsid w:val="004D75FC"/>
    <w:rsid w:val="004E00C5"/>
    <w:rsid w:val="004E1A32"/>
    <w:rsid w:val="004F7D6F"/>
    <w:rsid w:val="005016E8"/>
    <w:rsid w:val="00502BE8"/>
    <w:rsid w:val="00511B8D"/>
    <w:rsid w:val="00511C63"/>
    <w:rsid w:val="005169DA"/>
    <w:rsid w:val="00516CC3"/>
    <w:rsid w:val="00525A3E"/>
    <w:rsid w:val="00554C2A"/>
    <w:rsid w:val="005603D5"/>
    <w:rsid w:val="00570965"/>
    <w:rsid w:val="00577128"/>
    <w:rsid w:val="00584372"/>
    <w:rsid w:val="00586779"/>
    <w:rsid w:val="005928D8"/>
    <w:rsid w:val="00595133"/>
    <w:rsid w:val="0059548F"/>
    <w:rsid w:val="005B7950"/>
    <w:rsid w:val="005C0AB4"/>
    <w:rsid w:val="005C1F45"/>
    <w:rsid w:val="005C4327"/>
    <w:rsid w:val="005C7B26"/>
    <w:rsid w:val="005F70DE"/>
    <w:rsid w:val="006254D7"/>
    <w:rsid w:val="006276A2"/>
    <w:rsid w:val="00631804"/>
    <w:rsid w:val="00653833"/>
    <w:rsid w:val="00680F04"/>
    <w:rsid w:val="00683A43"/>
    <w:rsid w:val="006A5C89"/>
    <w:rsid w:val="006B1827"/>
    <w:rsid w:val="006C3A66"/>
    <w:rsid w:val="006E0776"/>
    <w:rsid w:val="006F7317"/>
    <w:rsid w:val="0071652D"/>
    <w:rsid w:val="00716F82"/>
    <w:rsid w:val="0073628C"/>
    <w:rsid w:val="00746A1B"/>
    <w:rsid w:val="00756735"/>
    <w:rsid w:val="00765821"/>
    <w:rsid w:val="007658B9"/>
    <w:rsid w:val="0077672C"/>
    <w:rsid w:val="0078174A"/>
    <w:rsid w:val="007C24EE"/>
    <w:rsid w:val="007C28A2"/>
    <w:rsid w:val="007D358A"/>
    <w:rsid w:val="007E40EA"/>
    <w:rsid w:val="007F1D3E"/>
    <w:rsid w:val="00807CC2"/>
    <w:rsid w:val="008263A2"/>
    <w:rsid w:val="008330E4"/>
    <w:rsid w:val="00837A8F"/>
    <w:rsid w:val="00850EBD"/>
    <w:rsid w:val="0085679A"/>
    <w:rsid w:val="00882403"/>
    <w:rsid w:val="00893E5B"/>
    <w:rsid w:val="008A6E72"/>
    <w:rsid w:val="008B2165"/>
    <w:rsid w:val="008C7C96"/>
    <w:rsid w:val="008E74CC"/>
    <w:rsid w:val="00904064"/>
    <w:rsid w:val="00917C1D"/>
    <w:rsid w:val="00921AC5"/>
    <w:rsid w:val="00925DEF"/>
    <w:rsid w:val="0093175E"/>
    <w:rsid w:val="00937E4C"/>
    <w:rsid w:val="0095100E"/>
    <w:rsid w:val="00954F27"/>
    <w:rsid w:val="00961F39"/>
    <w:rsid w:val="00964CBD"/>
    <w:rsid w:val="00976602"/>
    <w:rsid w:val="00977BC0"/>
    <w:rsid w:val="0098497F"/>
    <w:rsid w:val="009856E7"/>
    <w:rsid w:val="00990398"/>
    <w:rsid w:val="0099707F"/>
    <w:rsid w:val="009A6182"/>
    <w:rsid w:val="009B5788"/>
    <w:rsid w:val="009F43B0"/>
    <w:rsid w:val="00A0127C"/>
    <w:rsid w:val="00A0364A"/>
    <w:rsid w:val="00A153EB"/>
    <w:rsid w:val="00A16296"/>
    <w:rsid w:val="00A27275"/>
    <w:rsid w:val="00A30C75"/>
    <w:rsid w:val="00A4487D"/>
    <w:rsid w:val="00A47650"/>
    <w:rsid w:val="00A47729"/>
    <w:rsid w:val="00A50C0B"/>
    <w:rsid w:val="00A55E70"/>
    <w:rsid w:val="00A57883"/>
    <w:rsid w:val="00A622FA"/>
    <w:rsid w:val="00A705B5"/>
    <w:rsid w:val="00A72D4D"/>
    <w:rsid w:val="00AB42D8"/>
    <w:rsid w:val="00AB4B8F"/>
    <w:rsid w:val="00AB5436"/>
    <w:rsid w:val="00AB67D3"/>
    <w:rsid w:val="00AC4059"/>
    <w:rsid w:val="00AC7AC9"/>
    <w:rsid w:val="00AD5D7C"/>
    <w:rsid w:val="00AE2004"/>
    <w:rsid w:val="00AE7403"/>
    <w:rsid w:val="00AF07A7"/>
    <w:rsid w:val="00AF4B78"/>
    <w:rsid w:val="00AF5A18"/>
    <w:rsid w:val="00B04B75"/>
    <w:rsid w:val="00B272E8"/>
    <w:rsid w:val="00B3401D"/>
    <w:rsid w:val="00B37DCA"/>
    <w:rsid w:val="00B41144"/>
    <w:rsid w:val="00B414A1"/>
    <w:rsid w:val="00B419E8"/>
    <w:rsid w:val="00B45227"/>
    <w:rsid w:val="00B54297"/>
    <w:rsid w:val="00B55396"/>
    <w:rsid w:val="00B63D48"/>
    <w:rsid w:val="00B7316F"/>
    <w:rsid w:val="00B74C45"/>
    <w:rsid w:val="00B754B5"/>
    <w:rsid w:val="00B87561"/>
    <w:rsid w:val="00BC2AB6"/>
    <w:rsid w:val="00BC2B3E"/>
    <w:rsid w:val="00BC3237"/>
    <w:rsid w:val="00BC650E"/>
    <w:rsid w:val="00BE61D0"/>
    <w:rsid w:val="00C02F02"/>
    <w:rsid w:val="00C100FC"/>
    <w:rsid w:val="00C131C2"/>
    <w:rsid w:val="00C2405C"/>
    <w:rsid w:val="00C2462D"/>
    <w:rsid w:val="00C275F6"/>
    <w:rsid w:val="00C41469"/>
    <w:rsid w:val="00C442D8"/>
    <w:rsid w:val="00C45E0C"/>
    <w:rsid w:val="00C64308"/>
    <w:rsid w:val="00C75F17"/>
    <w:rsid w:val="00C77DF1"/>
    <w:rsid w:val="00C868D4"/>
    <w:rsid w:val="00CA09BF"/>
    <w:rsid w:val="00CB0A45"/>
    <w:rsid w:val="00CB1366"/>
    <w:rsid w:val="00CB4D69"/>
    <w:rsid w:val="00CC2E69"/>
    <w:rsid w:val="00CC45A3"/>
    <w:rsid w:val="00CD07DA"/>
    <w:rsid w:val="00CD2C8C"/>
    <w:rsid w:val="00CD2F33"/>
    <w:rsid w:val="00CD6C83"/>
    <w:rsid w:val="00CE2B8D"/>
    <w:rsid w:val="00CE7956"/>
    <w:rsid w:val="00CF78B3"/>
    <w:rsid w:val="00CF7B89"/>
    <w:rsid w:val="00D079BD"/>
    <w:rsid w:val="00D255CF"/>
    <w:rsid w:val="00D27ABE"/>
    <w:rsid w:val="00D30EB4"/>
    <w:rsid w:val="00D3749C"/>
    <w:rsid w:val="00D40BC7"/>
    <w:rsid w:val="00D411BB"/>
    <w:rsid w:val="00D42A89"/>
    <w:rsid w:val="00D43C75"/>
    <w:rsid w:val="00D443F8"/>
    <w:rsid w:val="00D57452"/>
    <w:rsid w:val="00D64A9F"/>
    <w:rsid w:val="00D72216"/>
    <w:rsid w:val="00D72EDA"/>
    <w:rsid w:val="00D73042"/>
    <w:rsid w:val="00D82E1E"/>
    <w:rsid w:val="00D846C3"/>
    <w:rsid w:val="00D9456E"/>
    <w:rsid w:val="00D962CA"/>
    <w:rsid w:val="00DA4CB5"/>
    <w:rsid w:val="00DB6683"/>
    <w:rsid w:val="00DC05B2"/>
    <w:rsid w:val="00DD3205"/>
    <w:rsid w:val="00DE3BDC"/>
    <w:rsid w:val="00DE3DFF"/>
    <w:rsid w:val="00DE4CC6"/>
    <w:rsid w:val="00DF23B4"/>
    <w:rsid w:val="00DF3CF3"/>
    <w:rsid w:val="00DF6964"/>
    <w:rsid w:val="00E02EC5"/>
    <w:rsid w:val="00E130E9"/>
    <w:rsid w:val="00E217E5"/>
    <w:rsid w:val="00E22A1B"/>
    <w:rsid w:val="00E253FD"/>
    <w:rsid w:val="00E40D03"/>
    <w:rsid w:val="00E47935"/>
    <w:rsid w:val="00E544AE"/>
    <w:rsid w:val="00E56BAB"/>
    <w:rsid w:val="00E61F6A"/>
    <w:rsid w:val="00E676FD"/>
    <w:rsid w:val="00E67C46"/>
    <w:rsid w:val="00E73C40"/>
    <w:rsid w:val="00E83EC8"/>
    <w:rsid w:val="00E91563"/>
    <w:rsid w:val="00E92174"/>
    <w:rsid w:val="00EA3F30"/>
    <w:rsid w:val="00EA42D5"/>
    <w:rsid w:val="00EB041F"/>
    <w:rsid w:val="00EB39BE"/>
    <w:rsid w:val="00ED123C"/>
    <w:rsid w:val="00ED6395"/>
    <w:rsid w:val="00EE0163"/>
    <w:rsid w:val="00EE370A"/>
    <w:rsid w:val="00EE7FC3"/>
    <w:rsid w:val="00EF2C24"/>
    <w:rsid w:val="00EF376F"/>
    <w:rsid w:val="00EF7FF2"/>
    <w:rsid w:val="00F02F44"/>
    <w:rsid w:val="00F17057"/>
    <w:rsid w:val="00F427E8"/>
    <w:rsid w:val="00F6089A"/>
    <w:rsid w:val="00F740A3"/>
    <w:rsid w:val="00F74DAE"/>
    <w:rsid w:val="00F75B04"/>
    <w:rsid w:val="00F800FD"/>
    <w:rsid w:val="00F8666F"/>
    <w:rsid w:val="00F90506"/>
    <w:rsid w:val="00FA411B"/>
    <w:rsid w:val="00FA472F"/>
    <w:rsid w:val="00FB0898"/>
    <w:rsid w:val="00FB448C"/>
    <w:rsid w:val="00FB5393"/>
    <w:rsid w:val="00FB64EF"/>
    <w:rsid w:val="00FE7E21"/>
    <w:rsid w:val="00FF3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14:docId w14:val="0E0EA308"/>
  <w15:docId w15:val="{61047CE1-9AC1-4372-9F35-EEED922CF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link w:val="Heading1Char"/>
    <w:uiPriority w:val="9"/>
    <w:qFormat/>
    <w:rsid w:val="00586779"/>
    <w:pPr>
      <w:keepNext/>
      <w:keepLines/>
      <w:numPr>
        <w:numId w:val="6"/>
      </w:numPr>
      <w:spacing w:before="480" w:after="0"/>
      <w:outlineLvl w:val="0"/>
    </w:pPr>
    <w:rPr>
      <w:rFonts w:ascii="Calibri" w:eastAsiaTheme="majorEastAsia" w:hAnsi="Calibri" w:cstheme="majorBidi"/>
      <w:b/>
      <w:bCs/>
      <w:szCs w:val="28"/>
    </w:rPr>
  </w:style>
  <w:style w:type="paragraph" w:styleId="Heading2">
    <w:name w:val="heading 2"/>
    <w:basedOn w:val="Heading1"/>
    <w:link w:val="Heading2Char"/>
    <w:uiPriority w:val="9"/>
    <w:unhideWhenUsed/>
    <w:qFormat/>
    <w:rsid w:val="00586779"/>
    <w:pPr>
      <w:numPr>
        <w:ilvl w:val="1"/>
      </w:numPr>
      <w:spacing w:before="200" w:after="80" w:line="240" w:lineRule="auto"/>
      <w:outlineLvl w:val="1"/>
    </w:pPr>
    <w:rPr>
      <w:b w:val="0"/>
      <w:bCs w:val="0"/>
      <w:szCs w:val="26"/>
    </w:rPr>
  </w:style>
  <w:style w:type="paragraph" w:styleId="Heading3">
    <w:name w:val="heading 3"/>
    <w:basedOn w:val="Heading2"/>
    <w:link w:val="Heading3Char"/>
    <w:uiPriority w:val="9"/>
    <w:unhideWhenUsed/>
    <w:qFormat/>
    <w:rsid w:val="00E544AE"/>
    <w:pPr>
      <w:numPr>
        <w:ilvl w:val="2"/>
      </w:numPr>
      <w:spacing w:before="0"/>
      <w:outlineLvl w:val="2"/>
    </w:pPr>
    <w:rPr>
      <w:bCs/>
    </w:rPr>
  </w:style>
  <w:style w:type="paragraph" w:styleId="Heading4">
    <w:name w:val="heading 4"/>
    <w:basedOn w:val="Heading3"/>
    <w:link w:val="Heading4Char"/>
    <w:uiPriority w:val="9"/>
    <w:unhideWhenUsed/>
    <w:qFormat/>
    <w:rsid w:val="00E544AE"/>
    <w:pPr>
      <w:numPr>
        <w:ilvl w:val="3"/>
      </w:numPr>
      <w:outlineLvl w:val="3"/>
    </w:pPr>
    <w:rPr>
      <w:bCs w:val="0"/>
      <w:iCs/>
    </w:rPr>
  </w:style>
  <w:style w:type="paragraph" w:styleId="Heading5">
    <w:name w:val="heading 5"/>
    <w:basedOn w:val="Heading4"/>
    <w:link w:val="Heading5Char"/>
    <w:uiPriority w:val="9"/>
    <w:unhideWhenUsed/>
    <w:qFormat/>
    <w:rsid w:val="00E544AE"/>
    <w:pPr>
      <w:numPr>
        <w:ilvl w:val="4"/>
      </w:numPr>
      <w:outlineLvl w:val="4"/>
    </w:pPr>
  </w:style>
  <w:style w:type="paragraph" w:styleId="Heading6">
    <w:name w:val="heading 6"/>
    <w:basedOn w:val="Heading5"/>
    <w:link w:val="Heading6Char"/>
    <w:uiPriority w:val="9"/>
    <w:unhideWhenUsed/>
    <w:qFormat/>
    <w:rsid w:val="00E544AE"/>
    <w:pPr>
      <w:numPr>
        <w:ilvl w:val="5"/>
      </w:numPr>
      <w:outlineLvl w:val="5"/>
    </w:pPr>
    <w:rPr>
      <w:iCs w:val="0"/>
    </w:rPr>
  </w:style>
  <w:style w:type="paragraph" w:styleId="Heading7">
    <w:name w:val="heading 7"/>
    <w:basedOn w:val="Heading6"/>
    <w:link w:val="Heading7Char"/>
    <w:uiPriority w:val="9"/>
    <w:unhideWhenUsed/>
    <w:qFormat/>
    <w:rsid w:val="00E544AE"/>
    <w:pPr>
      <w:numPr>
        <w:ilvl w:val="6"/>
      </w:numPr>
      <w:outlineLvl w:val="6"/>
    </w:pPr>
    <w:rPr>
      <w:iCs/>
    </w:rPr>
  </w:style>
  <w:style w:type="paragraph" w:styleId="Heading8">
    <w:name w:val="heading 8"/>
    <w:basedOn w:val="Heading7"/>
    <w:link w:val="Heading8Char"/>
    <w:uiPriority w:val="9"/>
    <w:unhideWhenUsed/>
    <w:qFormat/>
    <w:rsid w:val="00E544AE"/>
    <w:pPr>
      <w:numPr>
        <w:ilvl w:val="7"/>
      </w:numPr>
      <w:outlineLvl w:val="7"/>
    </w:pPr>
    <w:rPr>
      <w:szCs w:val="20"/>
    </w:rPr>
  </w:style>
  <w:style w:type="paragraph" w:styleId="Heading9">
    <w:name w:val="heading 9"/>
    <w:basedOn w:val="Heading8"/>
    <w:link w:val="Heading9Char"/>
    <w:uiPriority w:val="9"/>
    <w:unhideWhenUsed/>
    <w:qFormat/>
    <w:rsid w:val="00E544AE"/>
    <w:pPr>
      <w:numPr>
        <w:ilvl w:val="8"/>
      </w:numPr>
      <w:outlineLvl w:val="8"/>
    </w:pPr>
    <w:rPr>
      <w:iCs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6779"/>
    <w:rPr>
      <w:rFonts w:ascii="Calibri" w:eastAsiaTheme="majorEastAsia" w:hAnsi="Calibri" w:cstheme="majorBidi"/>
      <w:b/>
      <w:bCs/>
      <w:szCs w:val="28"/>
    </w:rPr>
  </w:style>
  <w:style w:type="character" w:customStyle="1" w:styleId="Heading2Char">
    <w:name w:val="Heading 2 Char"/>
    <w:basedOn w:val="DefaultParagraphFont"/>
    <w:link w:val="Heading2"/>
    <w:uiPriority w:val="9"/>
    <w:rsid w:val="00586779"/>
    <w:rPr>
      <w:rFonts w:ascii="Calibri" w:eastAsiaTheme="majorEastAsia" w:hAnsi="Calibri" w:cstheme="majorBidi"/>
      <w:szCs w:val="26"/>
    </w:rPr>
  </w:style>
  <w:style w:type="character" w:customStyle="1" w:styleId="Heading3Char">
    <w:name w:val="Heading 3 Char"/>
    <w:basedOn w:val="DefaultParagraphFont"/>
    <w:link w:val="Heading3"/>
    <w:uiPriority w:val="9"/>
    <w:rsid w:val="00E544AE"/>
    <w:rPr>
      <w:rFonts w:ascii="Calibri" w:eastAsiaTheme="majorEastAsia" w:hAnsi="Calibri" w:cstheme="majorBidi"/>
      <w:bCs/>
      <w:szCs w:val="26"/>
    </w:rPr>
  </w:style>
  <w:style w:type="character" w:customStyle="1" w:styleId="Heading4Char">
    <w:name w:val="Heading 4 Char"/>
    <w:basedOn w:val="DefaultParagraphFont"/>
    <w:link w:val="Heading4"/>
    <w:uiPriority w:val="9"/>
    <w:rsid w:val="00E544AE"/>
    <w:rPr>
      <w:rFonts w:ascii="Calibri" w:eastAsiaTheme="majorEastAsia" w:hAnsi="Calibri" w:cstheme="majorBidi"/>
      <w:iCs/>
      <w:szCs w:val="26"/>
    </w:rPr>
  </w:style>
  <w:style w:type="character" w:customStyle="1" w:styleId="Heading5Char">
    <w:name w:val="Heading 5 Char"/>
    <w:basedOn w:val="DefaultParagraphFont"/>
    <w:link w:val="Heading5"/>
    <w:uiPriority w:val="9"/>
    <w:rsid w:val="00E544AE"/>
    <w:rPr>
      <w:rFonts w:ascii="Calibri" w:eastAsiaTheme="majorEastAsia" w:hAnsi="Calibri" w:cstheme="majorBidi"/>
      <w:iCs/>
      <w:szCs w:val="26"/>
    </w:rPr>
  </w:style>
  <w:style w:type="character" w:customStyle="1" w:styleId="Heading6Char">
    <w:name w:val="Heading 6 Char"/>
    <w:basedOn w:val="DefaultParagraphFont"/>
    <w:link w:val="Heading6"/>
    <w:uiPriority w:val="9"/>
    <w:rsid w:val="00E544AE"/>
    <w:rPr>
      <w:rFonts w:ascii="Calibri" w:eastAsiaTheme="majorEastAsia" w:hAnsi="Calibri" w:cstheme="majorBidi"/>
      <w:szCs w:val="26"/>
    </w:rPr>
  </w:style>
  <w:style w:type="character" w:customStyle="1" w:styleId="Heading7Char">
    <w:name w:val="Heading 7 Char"/>
    <w:basedOn w:val="DefaultParagraphFont"/>
    <w:link w:val="Heading7"/>
    <w:uiPriority w:val="9"/>
    <w:rsid w:val="00E544AE"/>
    <w:rPr>
      <w:rFonts w:ascii="Calibri" w:eastAsiaTheme="majorEastAsia" w:hAnsi="Calibri" w:cstheme="majorBidi"/>
      <w:iCs/>
      <w:szCs w:val="26"/>
    </w:rPr>
  </w:style>
  <w:style w:type="character" w:customStyle="1" w:styleId="Heading8Char">
    <w:name w:val="Heading 8 Char"/>
    <w:basedOn w:val="DefaultParagraphFont"/>
    <w:link w:val="Heading8"/>
    <w:uiPriority w:val="9"/>
    <w:rsid w:val="00E544AE"/>
    <w:rPr>
      <w:rFonts w:ascii="Calibri" w:eastAsiaTheme="majorEastAsia" w:hAnsi="Calibri" w:cstheme="majorBidi"/>
      <w:iCs/>
      <w:szCs w:val="20"/>
    </w:rPr>
  </w:style>
  <w:style w:type="character" w:customStyle="1" w:styleId="Heading9Char">
    <w:name w:val="Heading 9 Char"/>
    <w:basedOn w:val="DefaultParagraphFont"/>
    <w:link w:val="Heading9"/>
    <w:uiPriority w:val="9"/>
    <w:rsid w:val="00E544AE"/>
    <w:rPr>
      <w:rFonts w:ascii="Calibri" w:eastAsiaTheme="majorEastAsia" w:hAnsi="Calibri" w:cstheme="majorBidi"/>
      <w:szCs w:val="20"/>
    </w:rPr>
  </w:style>
  <w:style w:type="numbering" w:customStyle="1" w:styleId="HSDSOPHeadings">
    <w:name w:val="HSD SOP Headings"/>
    <w:uiPriority w:val="99"/>
    <w:rsid w:val="00E544AE"/>
    <w:pPr>
      <w:numPr>
        <w:numId w:val="1"/>
      </w:numPr>
    </w:pPr>
  </w:style>
  <w:style w:type="paragraph" w:styleId="Header">
    <w:name w:val="header"/>
    <w:basedOn w:val="Normal"/>
    <w:link w:val="HeaderChar"/>
    <w:uiPriority w:val="99"/>
    <w:unhideWhenUsed/>
    <w:rsid w:val="00253E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3E58"/>
  </w:style>
  <w:style w:type="paragraph" w:styleId="Footer">
    <w:name w:val="footer"/>
    <w:basedOn w:val="Normal"/>
    <w:link w:val="FooterChar"/>
    <w:unhideWhenUsed/>
    <w:rsid w:val="00253E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3E58"/>
  </w:style>
  <w:style w:type="table" w:styleId="TableGrid">
    <w:name w:val="Table Grid"/>
    <w:basedOn w:val="TableNormal"/>
    <w:rsid w:val="00253E5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3E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3E58"/>
    <w:rPr>
      <w:rFonts w:ascii="Tahoma" w:hAnsi="Tahoma" w:cs="Tahoma"/>
      <w:sz w:val="16"/>
      <w:szCs w:val="16"/>
    </w:rPr>
  </w:style>
  <w:style w:type="character" w:styleId="PageNumber">
    <w:name w:val="page number"/>
    <w:basedOn w:val="DefaultParagraphFont"/>
    <w:rsid w:val="00253E58"/>
  </w:style>
  <w:style w:type="paragraph" w:customStyle="1" w:styleId="BulletPoint">
    <w:name w:val="Bullet Point"/>
    <w:qFormat/>
    <w:rsid w:val="00586779"/>
    <w:pPr>
      <w:numPr>
        <w:numId w:val="7"/>
      </w:numPr>
      <w:spacing w:after="0"/>
      <w:ind w:left="2304" w:hanging="720"/>
    </w:pPr>
    <w:rPr>
      <w:rFonts w:ascii="Calibri" w:eastAsiaTheme="majorEastAsia" w:hAnsi="Calibri" w:cstheme="majorBidi"/>
      <w:bCs/>
      <w:szCs w:val="28"/>
    </w:rPr>
  </w:style>
  <w:style w:type="paragraph" w:styleId="NormalWeb">
    <w:name w:val="Normal (Web)"/>
    <w:basedOn w:val="Normal"/>
    <w:uiPriority w:val="99"/>
    <w:unhideWhenUsed/>
    <w:rsid w:val="008C7C96"/>
    <w:rPr>
      <w:rFonts w:ascii="Times New Roman" w:hAnsi="Times New Roman" w:cs="Times New Roman"/>
      <w:sz w:val="24"/>
      <w:szCs w:val="24"/>
    </w:rPr>
  </w:style>
  <w:style w:type="table" w:customStyle="1" w:styleId="TableGrid1">
    <w:name w:val="Table Grid1"/>
    <w:basedOn w:val="TableNormal"/>
    <w:next w:val="TableGrid"/>
    <w:uiPriority w:val="59"/>
    <w:rsid w:val="00D411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A5C89"/>
    <w:rPr>
      <w:color w:val="0000FF"/>
      <w:u w:val="single"/>
    </w:rPr>
  </w:style>
  <w:style w:type="character" w:styleId="FollowedHyperlink">
    <w:name w:val="FollowedHyperlink"/>
    <w:basedOn w:val="DefaultParagraphFont"/>
    <w:uiPriority w:val="99"/>
    <w:semiHidden/>
    <w:unhideWhenUsed/>
    <w:rsid w:val="000B0764"/>
    <w:rPr>
      <w:color w:val="800080" w:themeColor="followedHyperlink"/>
      <w:u w:val="single"/>
    </w:rPr>
  </w:style>
  <w:style w:type="character" w:styleId="CommentReference">
    <w:name w:val="annotation reference"/>
    <w:basedOn w:val="DefaultParagraphFont"/>
    <w:uiPriority w:val="99"/>
    <w:semiHidden/>
    <w:unhideWhenUsed/>
    <w:rsid w:val="00B63D48"/>
    <w:rPr>
      <w:sz w:val="16"/>
      <w:szCs w:val="16"/>
    </w:rPr>
  </w:style>
  <w:style w:type="paragraph" w:styleId="CommentText">
    <w:name w:val="annotation text"/>
    <w:basedOn w:val="Normal"/>
    <w:link w:val="CommentTextChar"/>
    <w:uiPriority w:val="99"/>
    <w:semiHidden/>
    <w:unhideWhenUsed/>
    <w:rsid w:val="00B63D48"/>
    <w:pPr>
      <w:spacing w:line="240" w:lineRule="auto"/>
    </w:pPr>
    <w:rPr>
      <w:sz w:val="20"/>
      <w:szCs w:val="20"/>
    </w:rPr>
  </w:style>
  <w:style w:type="character" w:customStyle="1" w:styleId="CommentTextChar">
    <w:name w:val="Comment Text Char"/>
    <w:basedOn w:val="DefaultParagraphFont"/>
    <w:link w:val="CommentText"/>
    <w:uiPriority w:val="99"/>
    <w:semiHidden/>
    <w:rsid w:val="00B63D48"/>
    <w:rPr>
      <w:sz w:val="20"/>
      <w:szCs w:val="20"/>
    </w:rPr>
  </w:style>
  <w:style w:type="paragraph" w:styleId="CommentSubject">
    <w:name w:val="annotation subject"/>
    <w:basedOn w:val="CommentText"/>
    <w:next w:val="CommentText"/>
    <w:link w:val="CommentSubjectChar"/>
    <w:uiPriority w:val="99"/>
    <w:semiHidden/>
    <w:unhideWhenUsed/>
    <w:rsid w:val="00B63D48"/>
    <w:rPr>
      <w:b/>
      <w:bCs/>
    </w:rPr>
  </w:style>
  <w:style w:type="character" w:customStyle="1" w:styleId="CommentSubjectChar">
    <w:name w:val="Comment Subject Char"/>
    <w:basedOn w:val="CommentTextChar"/>
    <w:link w:val="CommentSubject"/>
    <w:uiPriority w:val="99"/>
    <w:semiHidden/>
    <w:rsid w:val="00B63D48"/>
    <w:rPr>
      <w:b/>
      <w:bCs/>
      <w:sz w:val="20"/>
      <w:szCs w:val="20"/>
    </w:rPr>
  </w:style>
  <w:style w:type="character" w:styleId="UnresolvedMention">
    <w:name w:val="Unresolved Mention"/>
    <w:basedOn w:val="DefaultParagraphFont"/>
    <w:uiPriority w:val="99"/>
    <w:semiHidden/>
    <w:unhideWhenUsed/>
    <w:rsid w:val="00A72D4D"/>
    <w:rPr>
      <w:color w:val="605E5C"/>
      <w:shd w:val="clear" w:color="auto" w:fill="E1DFDD"/>
    </w:rPr>
  </w:style>
  <w:style w:type="paragraph" w:styleId="Revision">
    <w:name w:val="Revision"/>
    <w:hidden/>
    <w:uiPriority w:val="99"/>
    <w:semiHidden/>
    <w:rsid w:val="00365BF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35047">
      <w:bodyDiv w:val="1"/>
      <w:marLeft w:val="0"/>
      <w:marRight w:val="0"/>
      <w:marTop w:val="0"/>
      <w:marBottom w:val="0"/>
      <w:divBdr>
        <w:top w:val="none" w:sz="0" w:space="0" w:color="auto"/>
        <w:left w:val="none" w:sz="0" w:space="0" w:color="auto"/>
        <w:bottom w:val="none" w:sz="0" w:space="0" w:color="auto"/>
        <w:right w:val="none" w:sz="0" w:space="0" w:color="auto"/>
      </w:divBdr>
      <w:divsChild>
        <w:div w:id="192349935">
          <w:marLeft w:val="0"/>
          <w:marRight w:val="0"/>
          <w:marTop w:val="150"/>
          <w:marBottom w:val="150"/>
          <w:divBdr>
            <w:top w:val="single" w:sz="6" w:space="0" w:color="9B9A7A"/>
            <w:left w:val="single" w:sz="6" w:space="0" w:color="9B9A7A"/>
            <w:bottom w:val="single" w:sz="6" w:space="0" w:color="9B9A7A"/>
            <w:right w:val="single" w:sz="6" w:space="0" w:color="9B9A7A"/>
          </w:divBdr>
          <w:divsChild>
            <w:div w:id="1423138209">
              <w:marLeft w:val="0"/>
              <w:marRight w:val="0"/>
              <w:marTop w:val="0"/>
              <w:marBottom w:val="0"/>
              <w:divBdr>
                <w:top w:val="none" w:sz="0" w:space="0" w:color="auto"/>
                <w:left w:val="none" w:sz="0" w:space="0" w:color="auto"/>
                <w:bottom w:val="none" w:sz="0" w:space="0" w:color="auto"/>
                <w:right w:val="none" w:sz="0" w:space="0" w:color="auto"/>
              </w:divBdr>
              <w:divsChild>
                <w:div w:id="207301463">
                  <w:marLeft w:val="0"/>
                  <w:marRight w:val="0"/>
                  <w:marTop w:val="0"/>
                  <w:marBottom w:val="0"/>
                  <w:divBdr>
                    <w:top w:val="none" w:sz="0" w:space="0" w:color="auto"/>
                    <w:left w:val="none" w:sz="0" w:space="0" w:color="auto"/>
                    <w:bottom w:val="none" w:sz="0" w:space="0" w:color="auto"/>
                    <w:right w:val="none" w:sz="0" w:space="0" w:color="auto"/>
                  </w:divBdr>
                  <w:divsChild>
                    <w:div w:id="1800801368">
                      <w:blockQuote w:val="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14717944">
      <w:bodyDiv w:val="1"/>
      <w:marLeft w:val="0"/>
      <w:marRight w:val="0"/>
      <w:marTop w:val="0"/>
      <w:marBottom w:val="0"/>
      <w:divBdr>
        <w:top w:val="none" w:sz="0" w:space="0" w:color="auto"/>
        <w:left w:val="none" w:sz="0" w:space="0" w:color="auto"/>
        <w:bottom w:val="none" w:sz="0" w:space="0" w:color="auto"/>
        <w:right w:val="none" w:sz="0" w:space="0" w:color="auto"/>
      </w:divBdr>
      <w:divsChild>
        <w:div w:id="839930572">
          <w:marLeft w:val="0"/>
          <w:marRight w:val="0"/>
          <w:marTop w:val="0"/>
          <w:marBottom w:val="0"/>
          <w:divBdr>
            <w:top w:val="none" w:sz="0" w:space="0" w:color="auto"/>
            <w:left w:val="none" w:sz="0" w:space="0" w:color="auto"/>
            <w:bottom w:val="none" w:sz="0" w:space="0" w:color="auto"/>
            <w:right w:val="none" w:sz="0" w:space="0" w:color="auto"/>
          </w:divBdr>
          <w:divsChild>
            <w:div w:id="903952059">
              <w:marLeft w:val="0"/>
              <w:marRight w:val="0"/>
              <w:marTop w:val="0"/>
              <w:marBottom w:val="0"/>
              <w:divBdr>
                <w:top w:val="none" w:sz="0" w:space="0" w:color="auto"/>
                <w:left w:val="none" w:sz="0" w:space="0" w:color="auto"/>
                <w:bottom w:val="none" w:sz="0" w:space="0" w:color="auto"/>
                <w:right w:val="none" w:sz="0" w:space="0" w:color="auto"/>
              </w:divBdr>
              <w:divsChild>
                <w:div w:id="1368605268">
                  <w:marLeft w:val="0"/>
                  <w:marRight w:val="0"/>
                  <w:marTop w:val="0"/>
                  <w:marBottom w:val="0"/>
                  <w:divBdr>
                    <w:top w:val="none" w:sz="0" w:space="0" w:color="auto"/>
                    <w:left w:val="none" w:sz="0" w:space="0" w:color="auto"/>
                    <w:bottom w:val="none" w:sz="0" w:space="0" w:color="auto"/>
                    <w:right w:val="none" w:sz="0" w:space="0" w:color="auto"/>
                  </w:divBdr>
                  <w:divsChild>
                    <w:div w:id="1893810456">
                      <w:marLeft w:val="0"/>
                      <w:marRight w:val="0"/>
                      <w:marTop w:val="0"/>
                      <w:marBottom w:val="0"/>
                      <w:divBdr>
                        <w:top w:val="none" w:sz="0" w:space="0" w:color="auto"/>
                        <w:left w:val="none" w:sz="0" w:space="0" w:color="auto"/>
                        <w:bottom w:val="none" w:sz="0" w:space="0" w:color="auto"/>
                        <w:right w:val="none" w:sz="0" w:space="0" w:color="auto"/>
                      </w:divBdr>
                      <w:divsChild>
                        <w:div w:id="387654167">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691568">
      <w:bodyDiv w:val="1"/>
      <w:marLeft w:val="0"/>
      <w:marRight w:val="0"/>
      <w:marTop w:val="0"/>
      <w:marBottom w:val="0"/>
      <w:divBdr>
        <w:top w:val="none" w:sz="0" w:space="0" w:color="auto"/>
        <w:left w:val="none" w:sz="0" w:space="0" w:color="auto"/>
        <w:bottom w:val="none" w:sz="0" w:space="0" w:color="auto"/>
        <w:right w:val="none" w:sz="0" w:space="0" w:color="auto"/>
      </w:divBdr>
      <w:divsChild>
        <w:div w:id="1152913082">
          <w:marLeft w:val="0"/>
          <w:marRight w:val="0"/>
          <w:marTop w:val="0"/>
          <w:marBottom w:val="0"/>
          <w:divBdr>
            <w:top w:val="none" w:sz="0" w:space="0" w:color="auto"/>
            <w:left w:val="none" w:sz="0" w:space="0" w:color="auto"/>
            <w:bottom w:val="none" w:sz="0" w:space="0" w:color="auto"/>
            <w:right w:val="none" w:sz="0" w:space="0" w:color="auto"/>
          </w:divBdr>
          <w:divsChild>
            <w:div w:id="1038120720">
              <w:marLeft w:val="0"/>
              <w:marRight w:val="0"/>
              <w:marTop w:val="0"/>
              <w:marBottom w:val="0"/>
              <w:divBdr>
                <w:top w:val="none" w:sz="0" w:space="0" w:color="auto"/>
                <w:left w:val="none" w:sz="0" w:space="0" w:color="auto"/>
                <w:bottom w:val="none" w:sz="0" w:space="0" w:color="auto"/>
                <w:right w:val="none" w:sz="0" w:space="0" w:color="auto"/>
              </w:divBdr>
              <w:divsChild>
                <w:div w:id="841436787">
                  <w:marLeft w:val="0"/>
                  <w:marRight w:val="0"/>
                  <w:marTop w:val="0"/>
                  <w:marBottom w:val="0"/>
                  <w:divBdr>
                    <w:top w:val="none" w:sz="0" w:space="0" w:color="auto"/>
                    <w:left w:val="none" w:sz="0" w:space="0" w:color="auto"/>
                    <w:bottom w:val="none" w:sz="0" w:space="0" w:color="auto"/>
                    <w:right w:val="none" w:sz="0" w:space="0" w:color="auto"/>
                  </w:divBdr>
                  <w:divsChild>
                    <w:div w:id="99569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2364296">
      <w:bodyDiv w:val="1"/>
      <w:marLeft w:val="0"/>
      <w:marRight w:val="0"/>
      <w:marTop w:val="30"/>
      <w:marBottom w:val="750"/>
      <w:divBdr>
        <w:top w:val="none" w:sz="0" w:space="0" w:color="auto"/>
        <w:left w:val="none" w:sz="0" w:space="0" w:color="auto"/>
        <w:bottom w:val="none" w:sz="0" w:space="0" w:color="auto"/>
        <w:right w:val="none" w:sz="0" w:space="0" w:color="auto"/>
      </w:divBdr>
      <w:divsChild>
        <w:div w:id="1564097291">
          <w:marLeft w:val="0"/>
          <w:marRight w:val="0"/>
          <w:marTop w:val="0"/>
          <w:marBottom w:val="0"/>
          <w:divBdr>
            <w:top w:val="none" w:sz="0" w:space="0" w:color="auto"/>
            <w:left w:val="none" w:sz="0" w:space="0" w:color="auto"/>
            <w:bottom w:val="none" w:sz="0" w:space="0" w:color="auto"/>
            <w:right w:val="none" w:sz="0" w:space="0" w:color="auto"/>
          </w:divBdr>
        </w:div>
      </w:divsChild>
    </w:div>
    <w:div w:id="483938502">
      <w:bodyDiv w:val="1"/>
      <w:marLeft w:val="0"/>
      <w:marRight w:val="0"/>
      <w:marTop w:val="0"/>
      <w:marBottom w:val="0"/>
      <w:divBdr>
        <w:top w:val="none" w:sz="0" w:space="0" w:color="auto"/>
        <w:left w:val="none" w:sz="0" w:space="0" w:color="auto"/>
        <w:bottom w:val="none" w:sz="0" w:space="0" w:color="auto"/>
        <w:right w:val="none" w:sz="0" w:space="0" w:color="auto"/>
      </w:divBdr>
      <w:divsChild>
        <w:div w:id="781413081">
          <w:marLeft w:val="0"/>
          <w:marRight w:val="0"/>
          <w:marTop w:val="0"/>
          <w:marBottom w:val="0"/>
          <w:divBdr>
            <w:top w:val="none" w:sz="0" w:space="0" w:color="auto"/>
            <w:left w:val="none" w:sz="0" w:space="0" w:color="auto"/>
            <w:bottom w:val="none" w:sz="0" w:space="0" w:color="auto"/>
            <w:right w:val="none" w:sz="0" w:space="0" w:color="auto"/>
          </w:divBdr>
          <w:divsChild>
            <w:div w:id="520171381">
              <w:marLeft w:val="0"/>
              <w:marRight w:val="0"/>
              <w:marTop w:val="0"/>
              <w:marBottom w:val="0"/>
              <w:divBdr>
                <w:top w:val="none" w:sz="0" w:space="0" w:color="auto"/>
                <w:left w:val="none" w:sz="0" w:space="0" w:color="auto"/>
                <w:bottom w:val="none" w:sz="0" w:space="0" w:color="auto"/>
                <w:right w:val="none" w:sz="0" w:space="0" w:color="auto"/>
              </w:divBdr>
              <w:divsChild>
                <w:div w:id="814370719">
                  <w:marLeft w:val="0"/>
                  <w:marRight w:val="0"/>
                  <w:marTop w:val="0"/>
                  <w:marBottom w:val="0"/>
                  <w:divBdr>
                    <w:top w:val="none" w:sz="0" w:space="0" w:color="auto"/>
                    <w:left w:val="none" w:sz="0" w:space="0" w:color="auto"/>
                    <w:bottom w:val="none" w:sz="0" w:space="0" w:color="auto"/>
                    <w:right w:val="none" w:sz="0" w:space="0" w:color="auto"/>
                  </w:divBdr>
                  <w:divsChild>
                    <w:div w:id="138598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6907092">
      <w:bodyDiv w:val="1"/>
      <w:marLeft w:val="0"/>
      <w:marRight w:val="0"/>
      <w:marTop w:val="0"/>
      <w:marBottom w:val="0"/>
      <w:divBdr>
        <w:top w:val="none" w:sz="0" w:space="0" w:color="auto"/>
        <w:left w:val="none" w:sz="0" w:space="0" w:color="auto"/>
        <w:bottom w:val="none" w:sz="0" w:space="0" w:color="auto"/>
        <w:right w:val="none" w:sz="0" w:space="0" w:color="auto"/>
      </w:divBdr>
      <w:divsChild>
        <w:div w:id="1339045466">
          <w:marLeft w:val="0"/>
          <w:marRight w:val="0"/>
          <w:marTop w:val="0"/>
          <w:marBottom w:val="0"/>
          <w:divBdr>
            <w:top w:val="none" w:sz="0" w:space="0" w:color="auto"/>
            <w:left w:val="none" w:sz="0" w:space="0" w:color="auto"/>
            <w:bottom w:val="none" w:sz="0" w:space="0" w:color="auto"/>
            <w:right w:val="none" w:sz="0" w:space="0" w:color="auto"/>
          </w:divBdr>
          <w:divsChild>
            <w:div w:id="830176994">
              <w:marLeft w:val="0"/>
              <w:marRight w:val="0"/>
              <w:marTop w:val="0"/>
              <w:marBottom w:val="0"/>
              <w:divBdr>
                <w:top w:val="none" w:sz="0" w:space="0" w:color="auto"/>
                <w:left w:val="none" w:sz="0" w:space="0" w:color="auto"/>
                <w:bottom w:val="none" w:sz="0" w:space="0" w:color="auto"/>
                <w:right w:val="none" w:sz="0" w:space="0" w:color="auto"/>
              </w:divBdr>
              <w:divsChild>
                <w:div w:id="677541801">
                  <w:marLeft w:val="0"/>
                  <w:marRight w:val="0"/>
                  <w:marTop w:val="0"/>
                  <w:marBottom w:val="0"/>
                  <w:divBdr>
                    <w:top w:val="none" w:sz="0" w:space="0" w:color="auto"/>
                    <w:left w:val="none" w:sz="0" w:space="0" w:color="auto"/>
                    <w:bottom w:val="none" w:sz="0" w:space="0" w:color="auto"/>
                    <w:right w:val="none" w:sz="0" w:space="0" w:color="auto"/>
                  </w:divBdr>
                  <w:divsChild>
                    <w:div w:id="872428185">
                      <w:marLeft w:val="0"/>
                      <w:marRight w:val="0"/>
                      <w:marTop w:val="0"/>
                      <w:marBottom w:val="0"/>
                      <w:divBdr>
                        <w:top w:val="none" w:sz="0" w:space="0" w:color="auto"/>
                        <w:left w:val="none" w:sz="0" w:space="0" w:color="auto"/>
                        <w:bottom w:val="none" w:sz="0" w:space="0" w:color="auto"/>
                        <w:right w:val="none" w:sz="0" w:space="0" w:color="auto"/>
                      </w:divBdr>
                      <w:divsChild>
                        <w:div w:id="14771869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935360578">
      <w:bodyDiv w:val="1"/>
      <w:marLeft w:val="0"/>
      <w:marRight w:val="0"/>
      <w:marTop w:val="0"/>
      <w:marBottom w:val="0"/>
      <w:divBdr>
        <w:top w:val="none" w:sz="0" w:space="0" w:color="auto"/>
        <w:left w:val="none" w:sz="0" w:space="0" w:color="auto"/>
        <w:bottom w:val="none" w:sz="0" w:space="0" w:color="auto"/>
        <w:right w:val="none" w:sz="0" w:space="0" w:color="auto"/>
      </w:divBdr>
      <w:divsChild>
        <w:div w:id="1618566345">
          <w:marLeft w:val="0"/>
          <w:marRight w:val="0"/>
          <w:marTop w:val="0"/>
          <w:marBottom w:val="0"/>
          <w:divBdr>
            <w:top w:val="none" w:sz="0" w:space="0" w:color="auto"/>
            <w:left w:val="none" w:sz="0" w:space="0" w:color="auto"/>
            <w:bottom w:val="none" w:sz="0" w:space="0" w:color="auto"/>
            <w:right w:val="none" w:sz="0" w:space="0" w:color="auto"/>
          </w:divBdr>
          <w:divsChild>
            <w:div w:id="2069919368">
              <w:marLeft w:val="0"/>
              <w:marRight w:val="0"/>
              <w:marTop w:val="0"/>
              <w:marBottom w:val="0"/>
              <w:divBdr>
                <w:top w:val="none" w:sz="0" w:space="0" w:color="auto"/>
                <w:left w:val="none" w:sz="0" w:space="0" w:color="auto"/>
                <w:bottom w:val="none" w:sz="0" w:space="0" w:color="auto"/>
                <w:right w:val="none" w:sz="0" w:space="0" w:color="auto"/>
              </w:divBdr>
              <w:divsChild>
                <w:div w:id="3384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060794">
      <w:bodyDiv w:val="1"/>
      <w:marLeft w:val="0"/>
      <w:marRight w:val="0"/>
      <w:marTop w:val="0"/>
      <w:marBottom w:val="0"/>
      <w:divBdr>
        <w:top w:val="none" w:sz="0" w:space="0" w:color="auto"/>
        <w:left w:val="none" w:sz="0" w:space="0" w:color="auto"/>
        <w:bottom w:val="none" w:sz="0" w:space="0" w:color="auto"/>
        <w:right w:val="none" w:sz="0" w:space="0" w:color="auto"/>
      </w:divBdr>
      <w:divsChild>
        <w:div w:id="164439721">
          <w:marLeft w:val="0"/>
          <w:marRight w:val="0"/>
          <w:marTop w:val="150"/>
          <w:marBottom w:val="150"/>
          <w:divBdr>
            <w:top w:val="single" w:sz="6" w:space="0" w:color="9B9A7A"/>
            <w:left w:val="single" w:sz="6" w:space="0" w:color="9B9A7A"/>
            <w:bottom w:val="single" w:sz="6" w:space="0" w:color="9B9A7A"/>
            <w:right w:val="single" w:sz="6" w:space="0" w:color="9B9A7A"/>
          </w:divBdr>
          <w:divsChild>
            <w:div w:id="1868906327">
              <w:marLeft w:val="0"/>
              <w:marRight w:val="0"/>
              <w:marTop w:val="0"/>
              <w:marBottom w:val="0"/>
              <w:divBdr>
                <w:top w:val="none" w:sz="0" w:space="0" w:color="auto"/>
                <w:left w:val="none" w:sz="0" w:space="0" w:color="auto"/>
                <w:bottom w:val="none" w:sz="0" w:space="0" w:color="auto"/>
                <w:right w:val="none" w:sz="0" w:space="0" w:color="auto"/>
              </w:divBdr>
              <w:divsChild>
                <w:div w:id="1051809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7062785">
      <w:bodyDiv w:val="1"/>
      <w:marLeft w:val="0"/>
      <w:marRight w:val="0"/>
      <w:marTop w:val="0"/>
      <w:marBottom w:val="0"/>
      <w:divBdr>
        <w:top w:val="none" w:sz="0" w:space="0" w:color="auto"/>
        <w:left w:val="none" w:sz="0" w:space="0" w:color="auto"/>
        <w:bottom w:val="none" w:sz="0" w:space="0" w:color="auto"/>
        <w:right w:val="none" w:sz="0" w:space="0" w:color="auto"/>
      </w:divBdr>
      <w:divsChild>
        <w:div w:id="1763793698">
          <w:marLeft w:val="0"/>
          <w:marRight w:val="0"/>
          <w:marTop w:val="150"/>
          <w:marBottom w:val="150"/>
          <w:divBdr>
            <w:top w:val="single" w:sz="6" w:space="0" w:color="9B9A7A"/>
            <w:left w:val="single" w:sz="6" w:space="0" w:color="9B9A7A"/>
            <w:bottom w:val="single" w:sz="6" w:space="0" w:color="9B9A7A"/>
            <w:right w:val="single" w:sz="6" w:space="0" w:color="9B9A7A"/>
          </w:divBdr>
          <w:divsChild>
            <w:div w:id="1469592852">
              <w:marLeft w:val="0"/>
              <w:marRight w:val="0"/>
              <w:marTop w:val="0"/>
              <w:marBottom w:val="0"/>
              <w:divBdr>
                <w:top w:val="none" w:sz="0" w:space="0" w:color="auto"/>
                <w:left w:val="none" w:sz="0" w:space="0" w:color="auto"/>
                <w:bottom w:val="none" w:sz="0" w:space="0" w:color="auto"/>
                <w:right w:val="none" w:sz="0" w:space="0" w:color="auto"/>
              </w:divBdr>
              <w:divsChild>
                <w:div w:id="90148">
                  <w:marLeft w:val="0"/>
                  <w:marRight w:val="0"/>
                  <w:marTop w:val="0"/>
                  <w:marBottom w:val="0"/>
                  <w:divBdr>
                    <w:top w:val="none" w:sz="0" w:space="0" w:color="auto"/>
                    <w:left w:val="none" w:sz="0" w:space="0" w:color="auto"/>
                    <w:bottom w:val="none" w:sz="0" w:space="0" w:color="auto"/>
                    <w:right w:val="none" w:sz="0" w:space="0" w:color="auto"/>
                  </w:divBdr>
                  <w:divsChild>
                    <w:div w:id="487672627">
                      <w:blockQuote w:val="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683821706">
      <w:bodyDiv w:val="1"/>
      <w:marLeft w:val="0"/>
      <w:marRight w:val="0"/>
      <w:marTop w:val="0"/>
      <w:marBottom w:val="0"/>
      <w:divBdr>
        <w:top w:val="none" w:sz="0" w:space="0" w:color="auto"/>
        <w:left w:val="none" w:sz="0" w:space="0" w:color="auto"/>
        <w:bottom w:val="none" w:sz="0" w:space="0" w:color="auto"/>
        <w:right w:val="none" w:sz="0" w:space="0" w:color="auto"/>
      </w:divBdr>
      <w:divsChild>
        <w:div w:id="890338515">
          <w:marLeft w:val="0"/>
          <w:marRight w:val="0"/>
          <w:marTop w:val="0"/>
          <w:marBottom w:val="0"/>
          <w:divBdr>
            <w:top w:val="none" w:sz="0" w:space="0" w:color="auto"/>
            <w:left w:val="none" w:sz="0" w:space="0" w:color="auto"/>
            <w:bottom w:val="none" w:sz="0" w:space="0" w:color="auto"/>
            <w:right w:val="none" w:sz="0" w:space="0" w:color="auto"/>
          </w:divBdr>
          <w:divsChild>
            <w:div w:id="619840060">
              <w:marLeft w:val="0"/>
              <w:marRight w:val="0"/>
              <w:marTop w:val="0"/>
              <w:marBottom w:val="0"/>
              <w:divBdr>
                <w:top w:val="none" w:sz="0" w:space="0" w:color="auto"/>
                <w:left w:val="none" w:sz="0" w:space="0" w:color="auto"/>
                <w:bottom w:val="none" w:sz="0" w:space="0" w:color="auto"/>
                <w:right w:val="none" w:sz="0" w:space="0" w:color="auto"/>
              </w:divBdr>
              <w:divsChild>
                <w:div w:id="777020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9547235">
      <w:bodyDiv w:val="1"/>
      <w:marLeft w:val="0"/>
      <w:marRight w:val="0"/>
      <w:marTop w:val="0"/>
      <w:marBottom w:val="0"/>
      <w:divBdr>
        <w:top w:val="none" w:sz="0" w:space="0" w:color="auto"/>
        <w:left w:val="none" w:sz="0" w:space="0" w:color="auto"/>
        <w:bottom w:val="none" w:sz="0" w:space="0" w:color="auto"/>
        <w:right w:val="none" w:sz="0" w:space="0" w:color="auto"/>
      </w:divBdr>
      <w:divsChild>
        <w:div w:id="71398384">
          <w:marLeft w:val="0"/>
          <w:marRight w:val="0"/>
          <w:marTop w:val="0"/>
          <w:marBottom w:val="0"/>
          <w:divBdr>
            <w:top w:val="none" w:sz="0" w:space="0" w:color="auto"/>
            <w:left w:val="none" w:sz="0" w:space="0" w:color="auto"/>
            <w:bottom w:val="none" w:sz="0" w:space="0" w:color="auto"/>
            <w:right w:val="none" w:sz="0" w:space="0" w:color="auto"/>
          </w:divBdr>
          <w:divsChild>
            <w:div w:id="1398432888">
              <w:marLeft w:val="0"/>
              <w:marRight w:val="0"/>
              <w:marTop w:val="0"/>
              <w:marBottom w:val="0"/>
              <w:divBdr>
                <w:top w:val="none" w:sz="0" w:space="0" w:color="auto"/>
                <w:left w:val="none" w:sz="0" w:space="0" w:color="auto"/>
                <w:bottom w:val="none" w:sz="0" w:space="0" w:color="auto"/>
                <w:right w:val="none" w:sz="0" w:space="0" w:color="auto"/>
              </w:divBdr>
              <w:divsChild>
                <w:div w:id="279725493">
                  <w:marLeft w:val="0"/>
                  <w:marRight w:val="0"/>
                  <w:marTop w:val="0"/>
                  <w:marBottom w:val="0"/>
                  <w:divBdr>
                    <w:top w:val="none" w:sz="0" w:space="0" w:color="auto"/>
                    <w:left w:val="none" w:sz="0" w:space="0" w:color="auto"/>
                    <w:bottom w:val="none" w:sz="0" w:space="0" w:color="auto"/>
                    <w:right w:val="none" w:sz="0" w:space="0" w:color="auto"/>
                  </w:divBdr>
                  <w:divsChild>
                    <w:div w:id="52186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9671806">
      <w:bodyDiv w:val="1"/>
      <w:marLeft w:val="0"/>
      <w:marRight w:val="0"/>
      <w:marTop w:val="0"/>
      <w:marBottom w:val="0"/>
      <w:divBdr>
        <w:top w:val="none" w:sz="0" w:space="0" w:color="auto"/>
        <w:left w:val="none" w:sz="0" w:space="0" w:color="auto"/>
        <w:bottom w:val="none" w:sz="0" w:space="0" w:color="auto"/>
        <w:right w:val="none" w:sz="0" w:space="0" w:color="auto"/>
      </w:divBdr>
      <w:divsChild>
        <w:div w:id="406146440">
          <w:marLeft w:val="0"/>
          <w:marRight w:val="0"/>
          <w:marTop w:val="150"/>
          <w:marBottom w:val="150"/>
          <w:divBdr>
            <w:top w:val="single" w:sz="6" w:space="0" w:color="9B9A7A"/>
            <w:left w:val="single" w:sz="6" w:space="0" w:color="9B9A7A"/>
            <w:bottom w:val="single" w:sz="6" w:space="0" w:color="9B9A7A"/>
            <w:right w:val="single" w:sz="6" w:space="0" w:color="9B9A7A"/>
          </w:divBdr>
          <w:divsChild>
            <w:div w:id="899560722">
              <w:marLeft w:val="0"/>
              <w:marRight w:val="0"/>
              <w:marTop w:val="0"/>
              <w:marBottom w:val="0"/>
              <w:divBdr>
                <w:top w:val="none" w:sz="0" w:space="0" w:color="auto"/>
                <w:left w:val="none" w:sz="0" w:space="0" w:color="auto"/>
                <w:bottom w:val="none" w:sz="0" w:space="0" w:color="auto"/>
                <w:right w:val="none" w:sz="0" w:space="0" w:color="auto"/>
              </w:divBdr>
              <w:divsChild>
                <w:div w:id="1874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129117">
      <w:bodyDiv w:val="1"/>
      <w:marLeft w:val="0"/>
      <w:marRight w:val="0"/>
      <w:marTop w:val="30"/>
      <w:marBottom w:val="750"/>
      <w:divBdr>
        <w:top w:val="none" w:sz="0" w:space="0" w:color="auto"/>
        <w:left w:val="none" w:sz="0" w:space="0" w:color="auto"/>
        <w:bottom w:val="none" w:sz="0" w:space="0" w:color="auto"/>
        <w:right w:val="none" w:sz="0" w:space="0" w:color="auto"/>
      </w:divBdr>
      <w:divsChild>
        <w:div w:id="1471244542">
          <w:marLeft w:val="0"/>
          <w:marRight w:val="0"/>
          <w:marTop w:val="0"/>
          <w:marBottom w:val="0"/>
          <w:divBdr>
            <w:top w:val="none" w:sz="0" w:space="0" w:color="auto"/>
            <w:left w:val="none" w:sz="0" w:space="0" w:color="auto"/>
            <w:bottom w:val="none" w:sz="0" w:space="0" w:color="auto"/>
            <w:right w:val="none" w:sz="0" w:space="0" w:color="auto"/>
          </w:divBdr>
        </w:div>
      </w:divsChild>
    </w:div>
    <w:div w:id="2141342834">
      <w:bodyDiv w:val="1"/>
      <w:marLeft w:val="0"/>
      <w:marRight w:val="0"/>
      <w:marTop w:val="30"/>
      <w:marBottom w:val="750"/>
      <w:divBdr>
        <w:top w:val="none" w:sz="0" w:space="0" w:color="auto"/>
        <w:left w:val="none" w:sz="0" w:space="0" w:color="auto"/>
        <w:bottom w:val="none" w:sz="0" w:space="0" w:color="auto"/>
        <w:right w:val="none" w:sz="0" w:space="0" w:color="auto"/>
      </w:divBdr>
      <w:divsChild>
        <w:div w:id="18276270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ashington.edu/research/forms-and-templates/instructions-and-notification-compassionate-use-device/" TargetMode="External"/><Relationship Id="rId18" Type="http://schemas.openxmlformats.org/officeDocument/2006/relationships/hyperlink" Target="http://www.fda.gov/MedicalDevices/DeviceRegulationandGuidance/HowtoMarketYourDevice/InvestigationalDeviceExemptionIDE/ucm051345.ht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washington.edu/research/hsd/hsd-contact/" TargetMode="External"/><Relationship Id="rId17" Type="http://schemas.openxmlformats.org/officeDocument/2006/relationships/hyperlink" Target="https://www.washington.edu/research/forms-and-templates/worksheet-consent/" TargetMode="External"/><Relationship Id="rId2" Type="http://schemas.openxmlformats.org/officeDocument/2006/relationships/customXml" Target="../customXml/item2.xml"/><Relationship Id="rId16" Type="http://schemas.openxmlformats.org/officeDocument/2006/relationships/hyperlink" Target="https://www.washington.edu/research/forms-and-templates/template-consent-form-emergency-or-compassionate-use/"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washington.edu/research/hsd/single-patient-emergency-use/" TargetMode="External"/><Relationship Id="rId5" Type="http://schemas.openxmlformats.org/officeDocument/2006/relationships/numbering" Target="numbering.xml"/><Relationship Id="rId15" Type="http://schemas.openxmlformats.org/officeDocument/2006/relationships/hyperlink" Target="https://www.washington.edu/research/forms-and-templates/instructions-and-notification-emergency-use-drug-or-biologic/"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ashington.edu/research/forms-and-templates/instructions-and-notification-emergency-use-device/"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Audience xmlns="b525eb96-6d39-4779-a9a1-5944d6e51eac">
      <Value>HSD Staff</Value>
      <Value>IRB Members</Value>
      <Value>Researchers</Value>
    </Audience>
    <Original_x0020_Author_x0028_s_x0029_ xmlns="b525eb96-6d39-4779-a9a1-5944d6e51eac" xsi:nil="true"/>
    <Main_x0020_Topic_x0028_s_x0029_ xmlns="b525eb96-6d39-4779-a9a1-5944d6e51eac"/>
    <Sub_x0020_Topic_x0028_s_x0029_ xmlns="b525eb96-6d39-4779-a9a1-5944d6e51eac"/>
    <Document_x0020_Status xmlns="b525eb96-6d39-4779-a9a1-5944d6e51eac">Implemented</Document_x0020_Status>
    <HSD_x0020_Operations_x0020_Topic_x0028_s_x0029_ xmlns="b525eb96-6d39-4779-a9a1-5944d6e51eac"/>
    <Landing_x0020_Page_x0020_Abstract xmlns="b525eb96-6d39-4779-a9a1-5944d6e51eac" xsi:nil="true"/>
    <Audit_x0020_Date xmlns="b525eb96-6d39-4779-a9a1-5944d6e51eac">2015-01-01T08:00:00+00:00</Audit_x0020_Date>
    <Date_x0020_Created xmlns="b525eb96-6d39-4779-a9a1-5944d6e51eac">2014-02-19T08:00:00+00:00</Date_x0020_Created>
    <Change_x0020_Notes xmlns="b525eb96-6d39-4779-a9a1-5944d6e51eac" xsi:nil="true"/>
    <Current_x0020_Author_x002f_SME_x002a_ xmlns="b525eb96-6d39-4779-a9a1-5944d6e51eac">
      <Value>Karen Moe</Value>
    </Current_x0020_Author_x002f_SME_x002a_>
    <Comments xmlns="b525eb96-6d39-4779-a9a1-5944d6e51eac" xsi:nil="true"/>
    <Meetings xmlns="33f288ab-96a9-4a90-8335-7c1edcd7d576">Materials</Meetings>
    <Type_x0028_s_x0029_ xmlns="b525eb96-6d39-4779-a9a1-5944d6e51eac">
      <Value>Standard Operating Procedure</Value>
    </Type_x0028_s_x0029_>
    <Location_x0028_s_x0029_ xmlns="b525eb96-6d39-4779-a9a1-5944d6e51eac">
      <Value>Document Library</Value>
      <Value>HSD Public Web</Value>
    </Location_x0028_s_x0029_>
  </documentManagement>
</p:properties>
</file>

<file path=customXml/item2.xml><?xml version="1.0" encoding="utf-8"?>
<ct:contentTypeSchema xmlns:ct="http://schemas.microsoft.com/office/2006/metadata/contentType" xmlns:ma="http://schemas.microsoft.com/office/2006/metadata/properties/metaAttributes" ct:_="" ma:_="" ma:contentTypeName="HSD Generic Document" ma:contentTypeID="0x01010900918506D73F43C64ABD6D54F3159EE35900621D0BB93B95694D9FF5A740EFB2A827" ma:contentTypeVersion="2" ma:contentTypeDescription="" ma:contentTypeScope="" ma:versionID="55d702d3f653a28d729093bd59218842">
  <xsd:schema xmlns:xsd="http://www.w3.org/2001/XMLSchema" xmlns:p="http://schemas.microsoft.com/office/2006/metadata/properties" xmlns:ns3="b525eb96-6d39-4779-a9a1-5944d6e51eac" xmlns:ns4="33f288ab-96a9-4a90-8335-7c1edcd7d576" targetNamespace="http://schemas.microsoft.com/office/2006/metadata/properties" ma:root="true" ma:fieldsID="918566c17b983636ee15aa117edff18f" ns3:_="" ns4:_="">
    <xsd:import namespace="b525eb96-6d39-4779-a9a1-5944d6e51eac"/>
    <xsd:import namespace="33f288ab-96a9-4a90-8335-7c1edcd7d576"/>
    <xsd:element name="properties">
      <xsd:complexType>
        <xsd:sequence>
          <xsd:element name="documentManagement">
            <xsd:complexType>
              <xsd:all>
                <xsd:element ref="ns3:Current_x0020_Author_x002f_SME_x002a_" minOccurs="0"/>
                <xsd:element ref="ns3:Original_x0020_Author_x0028_s_x0029_" minOccurs="0"/>
                <xsd:element ref="ns3:Type_x0028_s_x0029_" minOccurs="0"/>
                <xsd:element ref="ns3:Audience" minOccurs="0"/>
                <xsd:element ref="ns3:Document_x0020_Status" minOccurs="0"/>
                <xsd:element ref="ns3:Location_x0028_s_x0029_" minOccurs="0"/>
                <xsd:element ref="ns3:Comments" minOccurs="0"/>
                <xsd:element ref="ns3:Change_x0020_Notes" minOccurs="0"/>
                <xsd:element ref="ns3:Landing_x0020_Page_x0020_Abstract" minOccurs="0"/>
                <xsd:element ref="ns3:Date_x0020_Created" minOccurs="0"/>
                <xsd:element ref="ns3:Audit_x0020_Date" minOccurs="0"/>
                <xsd:element ref="ns3:Main_x0020_Topic_x0028_s_x0029_" minOccurs="0"/>
                <xsd:element ref="ns3:Sub_x0020_Topic_x0028_s_x0029_" minOccurs="0"/>
                <xsd:element ref="ns3:HSD_x0020_Operations_x0020_Topic_x0028_s_x0029_" minOccurs="0"/>
                <xsd:element ref="ns4:Meetings" minOccurs="0"/>
              </xsd:all>
            </xsd:complexType>
          </xsd:element>
        </xsd:sequence>
      </xsd:complexType>
    </xsd:element>
  </xsd:schema>
  <xsd:schema xmlns:xsd="http://www.w3.org/2001/XMLSchema" xmlns:dms="http://schemas.microsoft.com/office/2006/documentManagement/types" targetNamespace="b525eb96-6d39-4779-a9a1-5944d6e51eac" elementFormDefault="qualified">
    <xsd:import namespace="http://schemas.microsoft.com/office/2006/documentManagement/types"/>
    <xsd:element name="Current_x0020_Author_x002f_SME_x002a_" ma:index="3" nillable="true" ma:displayName="Current Author(s)/SME*" ma:description="*Subject Matter Expert" ma:internalName="Current_x0020_Author_x002f_SME_x002a_">
      <xsd:complexType>
        <xsd:complexContent>
          <xsd:extension base="dms:MultiChoiceFillIn">
            <xsd:sequence>
              <xsd:element name="Value" maxOccurs="unbounded" minOccurs="0" nillable="true">
                <xsd:simpleType>
                  <xsd:union memberTypes="dms:Text">
                    <xsd:simpleType>
                      <xsd:restriction base="dms:Choice">
                        <xsd:enumeration value="Janet Bissonette"/>
                        <xsd:enumeration value="Sherry Edwards"/>
                        <xsd:enumeration value="Sarah Egan"/>
                        <xsd:enumeration value="Elizabeth Falsberg"/>
                        <xsd:enumeration value="Emily Guthrie"/>
                        <xsd:enumeration value="Jean Kang"/>
                        <xsd:enumeration value="Jason Malone"/>
                        <xsd:enumeration value="Adrienne Meyer"/>
                        <xsd:enumeration value="Karen Moe"/>
                        <xsd:enumeration value="Lisa Newmark"/>
                        <xsd:enumeration value="Gloria Park"/>
                        <xsd:enumeration value="Maria Savage"/>
                        <xsd:enumeration value="Megan Tedell-Hlady"/>
                      </xsd:restriction>
                    </xsd:simpleType>
                  </xsd:union>
                </xsd:simpleType>
              </xsd:element>
            </xsd:sequence>
          </xsd:extension>
        </xsd:complexContent>
      </xsd:complexType>
    </xsd:element>
    <xsd:element name="Original_x0020_Author_x0028_s_x0029_" ma:index="4" nillable="true" ma:displayName="Contibutor(s) or Previous Author(s)" ma:description="Contributors, or previous authors if known." ma:internalName="Original_x0020_Author_x0028_s_x0029_">
      <xsd:simpleType>
        <xsd:restriction base="dms:Note"/>
      </xsd:simpleType>
    </xsd:element>
    <xsd:element name="Type_x0028_s_x0029_" ma:index="5" nillable="true" ma:displayName="Doc Type(s)" ma:default="Policy" ma:description="Each document/item may be more than one type." ma:internalName="Type_x0028_s_x0029_">
      <xsd:complexType>
        <xsd:complexContent>
          <xsd:extension base="dms:MultiChoice">
            <xsd:sequence>
              <xsd:element name="Value" maxOccurs="unbounded" minOccurs="0" nillable="true">
                <xsd:simpleType>
                  <xsd:restriction base="dms:Choice">
                    <xsd:enumeration value="Policy"/>
                    <xsd:enumeration value="Procedure"/>
                    <xsd:enumeration value="Guidance"/>
                    <xsd:enumeration value="Form"/>
                    <xsd:enumeration value="Template"/>
                    <xsd:enumeration value="Instructions"/>
                    <xsd:enumeration value="Standard Operating Procedure"/>
                    <xsd:enumeration value="Training Materials"/>
                    <xsd:enumeration value="Education"/>
                    <xsd:enumeration value="Communication"/>
                    <xsd:enumeration value="Manual"/>
                    <xsd:enumeration value="Image"/>
                    <xsd:enumeration value="Chart/Diagram"/>
                  </xsd:restriction>
                </xsd:simpleType>
              </xsd:element>
            </xsd:sequence>
          </xsd:extension>
        </xsd:complexContent>
      </xsd:complexType>
    </xsd:element>
    <xsd:element name="Audience" ma:index="6" nillable="true" ma:displayName="Audience" ma:default="HSD Staff" ma:description="Audience to which the document/item is targeted." ma:internalName="Audience">
      <xsd:complexType>
        <xsd:complexContent>
          <xsd:extension base="dms:MultiChoice">
            <xsd:sequence>
              <xsd:element name="Value" maxOccurs="unbounded" minOccurs="0" nillable="true">
                <xsd:simpleType>
                  <xsd:restriction base="dms:Choice">
                    <xsd:enumeration value="HSD Staff"/>
                    <xsd:enumeration value="IRB Members"/>
                    <xsd:enumeration value="Researchers"/>
                    <xsd:enumeration value="Participants"/>
                  </xsd:restriction>
                </xsd:simpleType>
              </xsd:element>
            </xsd:sequence>
          </xsd:extension>
        </xsd:complexContent>
      </xsd:complexType>
    </xsd:element>
    <xsd:element name="Document_x0020_Status" ma:index="7" nillable="true" ma:displayName="Document Status" ma:default="Draft/In Revision" ma:description="The current state of the document/item." ma:format="RadioButtons" ma:internalName="Document_x0020_Status">
      <xsd:simpleType>
        <xsd:restriction base="dms:Choice">
          <xsd:enumeration value="Draft/In Revision"/>
          <xsd:enumeration value="Out for Comments"/>
          <xsd:enumeration value="Out for Approval"/>
          <xsd:enumeration value="Ready to be Implemented"/>
          <xsd:enumeration value="Implemented"/>
          <xsd:enumeration value="Expired"/>
        </xsd:restriction>
      </xsd:simpleType>
    </xsd:element>
    <xsd:element name="Location_x0028_s_x0029_" ma:index="8" nillable="true" ma:displayName="Location(s)" ma:default="Document Library" ma:description="Where is this document/item available? (Is it accessible to its primary audience from more than one place?)" ma:internalName="Location_x0028_s_x0029_">
      <xsd:complexType>
        <xsd:complexContent>
          <xsd:extension base="dms:MultiChoiceFillIn">
            <xsd:sequence>
              <xsd:element name="Value" maxOccurs="unbounded" minOccurs="0" nillable="true">
                <xsd:simpleType>
                  <xsd:union memberTypes="dms:Text">
                    <xsd:simpleType>
                      <xsd:restriction base="dms:Choice">
                        <xsd:enumeration value="Document Library"/>
                        <xsd:enumeration value="HSD Public Web"/>
                        <xsd:enumeration value="HSD Internal Web"/>
                      </xsd:restriction>
                    </xsd:simpleType>
                  </xsd:union>
                </xsd:simpleType>
              </xsd:element>
            </xsd:sequence>
          </xsd:extension>
        </xsd:complexContent>
      </xsd:complexType>
    </xsd:element>
    <xsd:element name="Comments" ma:index="9" nillable="true" ma:displayName="Comments" ma:description="Free form text box for any general comments." ma:internalName="Comments">
      <xsd:simpleType>
        <xsd:restriction base="dms:Note"/>
      </xsd:simpleType>
    </xsd:element>
    <xsd:element name="Change_x0020_Notes" ma:index="10" nillable="true" ma:displayName="Change Notes" ma:description="Simple note on what has changed for entry into the &quot;Change Notes&quot; on the document's landing page.  This column is only completed for documents/items that have been previously posted, and are ready to post anew." ma:internalName="Change_x0020_Notes">
      <xsd:simpleType>
        <xsd:restriction base="dms:Note"/>
      </xsd:simpleType>
    </xsd:element>
    <xsd:element name="Landing_x0020_Page_x0020_Abstract" ma:index="11" nillable="true" ma:displayName="Landing Page Abstract" ma:description="Brief description of the document/item to go on to the web landing page if it is to be posted to the web." ma:internalName="Landing_x0020_Page_x0020_Abstract">
      <xsd:simpleType>
        <xsd:restriction base="dms:Note"/>
      </xsd:simpleType>
    </xsd:element>
    <xsd:element name="Date_x0020_Created" ma:index="12" nillable="true" ma:displayName="Date Created" ma:default="[today]" ma:description="The date on which this resource was created.  Date on documents from old document library will be ported over as possible." ma:format="DateOnly" ma:internalName="Date_x0020_Created">
      <xsd:simpleType>
        <xsd:restriction base="dms:DateTime"/>
      </xsd:simpleType>
    </xsd:element>
    <xsd:element name="Audit_x0020_Date" ma:index="13" nillable="true" ma:displayName="Audit Date" ma:default="2015-01-01T00:00:00Z" ma:description="A future date that this document/item should be audited for accuracy." ma:format="DateOnly" ma:internalName="Audit_x0020_Date">
      <xsd:simpleType>
        <xsd:restriction base="dms:DateTime"/>
      </xsd:simpleType>
    </xsd:element>
    <xsd:element name="Main_x0020_Topic_x0028_s_x0029_" ma:index="14" nillable="true" ma:displayName="Main Topic(s)" ma:description="Main topic(s) of item. See heirarchy if more structure preferred." ma:internalName="Main_x0020_Topic_x0028_s_x0029_">
      <xsd:complexType>
        <xsd:complexContent>
          <xsd:extension base="dms:MultiChoice">
            <xsd:sequence>
              <xsd:element name="Value" maxOccurs="unbounded" minOccurs="0" nillable="true">
                <xsd:simpleType>
                  <xsd:restriction base="dms:Choice">
                    <xsd:enumeration value="Compliance"/>
                    <xsd:enumeration value="Criteria for IRB Approval of Research"/>
                    <xsd:enumeration value="Informed Consent and HIPAA Authorization"/>
                    <xsd:enumeration value="IRB Purpose, Responsibilities, and Authority"/>
                    <xsd:enumeration value="IRB Structure, Membership, and Operations"/>
                    <xsd:enumeration value="Post Approval Monitoring"/>
                    <xsd:enumeration value="Regulations Governing Human Research"/>
                    <xsd:enumeration value="Responsibilities of Conducting Human Subjects Research"/>
                    <xsd:enumeration value="Review of Research"/>
                    <xsd:enumeration value="Reviews/Procedures Requiring Special Consideration"/>
                  </xsd:restriction>
                </xsd:simpleType>
              </xsd:element>
            </xsd:sequence>
          </xsd:extension>
        </xsd:complexContent>
      </xsd:complexType>
    </xsd:element>
    <xsd:element name="Sub_x0020_Topic_x0028_s_x0029_" ma:index="15" nillable="true" ma:displayName="Sub Topic(s)" ma:description="Sub topic(s) of item.  See heirarchy if more structure is preferred." ma:internalName="Sub_x0020_Topic_x0028_s_x0029_">
      <xsd:complexType>
        <xsd:complexContent>
          <xsd:extension base="dms:MultiChoice">
            <xsd:sequence>
              <xsd:element name="Value" maxOccurs="unbounded" minOccurs="0" nillable="true">
                <xsd:simpleType>
                  <xsd:restriction base="dms:Choice">
                    <xsd:enumeration value="Activities Requiring IRB Review"/>
                    <xsd:enumeration value="Additional Safeguards for Protected and Vulnerable Populations as Needed"/>
                    <xsd:enumeration value="Adequate Protection of Subject Privacy and Confidentiality"/>
                    <xsd:enumeration value="Adequate Safety Monitoring Plan"/>
                    <xsd:enumeration value="Administrative Review and Distribution of Materials"/>
                    <xsd:enumeration value="All Consent Elements are Present"/>
                    <xsd:enumeration value="Assent of Children and Parental Permission"/>
                    <xsd:enumeration value="Audits by Regulatory Agencies"/>
                    <xsd:enumeration value="Biological Specimens"/>
                    <xsd:enumeration value="Categories of IRB Action"/>
                    <xsd:enumeration value="Children's Online Privacy Protection Act - COPPA"/>
                    <xsd:enumeration value="Co-Investigators and Research Staff"/>
                    <xsd:enumeration value="Composition of the IRB"/>
                    <xsd:enumeration value="Continuing Review"/>
                    <xsd:enumeration value="Coordinating Centers"/>
                    <xsd:enumeration value="Deception"/>
                    <xsd:enumeration value="Department Chairs"/>
                    <xsd:enumeration value="Department of Defense - DoD"/>
                    <xsd:enumeration value="Department of Justice - DOJ"/>
                    <xsd:enumeration value="Documentation"/>
                    <xsd:enumeration value="Documents and Document Management"/>
                    <xsd:enumeration value="Emergency Exception to Informed Consent"/>
                    <xsd:enumeration value="Emergency Use of Investigational Agents"/>
                    <xsd:enumeration value="Environmental Protection Agency - EPA"/>
                    <xsd:enumeration value="Exemptions and Waivers"/>
                    <xsd:enumeration value="Expanded Access Use of Investigational Agents"/>
                    <xsd:enumeration value="Faculty Sponsors"/>
                    <xsd:enumeration value="Family Educational Rights and Privacy Act - FERPA"/>
                    <xsd:enumeration value="FDA-Regulated Research"/>
                    <xsd:enumeration value="Food and Drug Administration - FDA"/>
                    <xsd:enumeration value="Gene Therapy or Human Embryonic Stem Cell Research"/>
                    <xsd:enumeration value="Genetics Research"/>
                    <xsd:enumeration value="Health Care Records"/>
                    <xsd:enumeration value="Health Care Records in Washington State"/>
                    <xsd:enumeration value="Health Insurance Portability and Accountability Act - HIPAA"/>
                    <xsd:enumeration value="Holders of an IND/IDE"/>
                    <xsd:enumeration value="HSD Internal Quality Assurance Program"/>
                    <xsd:enumeration value="Humanitarian Use Devices"/>
                    <xsd:enumeration value="Illegal Behaviors"/>
                    <xsd:enumeration value="Industry ClinicalTrials Registration"/>
                    <xsd:enumeration value="Initial Review"/>
                    <xsd:enumeration value="International Research"/>
                    <xsd:enumeration value="Internet/Social Media Research"/>
                    <xsd:enumeration value="IRB Assignment"/>
                    <xsd:enumeration value="IRB Authority"/>
                    <xsd:enumeration value="IRB Meeting Administration"/>
                    <xsd:enumeration value="IRB Members: Duties and Expectations"/>
                    <xsd:enumeration value="IRB Post Approval Monitoring"/>
                    <xsd:enumeration value="IRB Purpose and Responsibilities"/>
                    <xsd:enumeration value="Management of the IRB"/>
                    <xsd:enumeration value="Modification Review"/>
                    <xsd:enumeration value="Office for Human Research Protections - OHRP"/>
                    <xsd:enumeration value="Other Ethical and Compliance Issues"/>
                    <xsd:enumeration value="Other Events Requiring IRB Review"/>
                    <xsd:enumeration value="Overview"/>
                    <xsd:enumeration value="Principal Investigators"/>
                    <xsd:enumeration value="Protection of Pupil Rights Amendment - PPRA"/>
                    <xsd:enumeration value="Records from a Washington State Agency"/>
                    <xsd:enumeration value="Requirements"/>
                    <xsd:enumeration value="Risks are Reasonable Relative to Benefits"/>
                    <xsd:enumeration value="Risks to Subjects are Minimized"/>
                    <xsd:enumeration value="Self-Experimentation"/>
                    <xsd:enumeration value="Study Completion/Close Out"/>
                    <xsd:enumeration value="Subject Selection is Equitable"/>
                    <xsd:enumeration value="Surrogate Consent or Authorizations"/>
                    <xsd:enumeration value="Training Grants"/>
                    <xsd:enumeration value="Use of Radiation and Radioactively-Labeled Compounds"/>
                    <xsd:enumeration value="Vulnerable Populations"/>
                    <xsd:enumeration value="Washington State"/>
                    <xsd:enumeration value="Washington State Records"/>
                    <xsd:enumeration value="Written Informed Consent Obtained"/>
                  </xsd:restriction>
                </xsd:simpleType>
              </xsd:element>
            </xsd:sequence>
          </xsd:extension>
        </xsd:complexContent>
      </xsd:complexType>
    </xsd:element>
    <xsd:element name="HSD_x0020_Operations_x0020_Topic_x0028_s_x0029_" ma:index="16" nillable="true" ma:displayName="HSD Operations Topic(s)" ma:description="These topic headings are used mostly for internal facing items that don't fall within the scope of the Policy, Procedures, and Guidance organizational structure." ma:internalName="HSD_x0020_Operations_x0020_Topic_x0028_s_x0029_">
      <xsd:complexType>
        <xsd:complexContent>
          <xsd:extension base="dms:MultiChoice">
            <xsd:sequence>
              <xsd:element name="Value" maxOccurs="unbounded" minOccurs="0" nillable="true">
                <xsd:simpleType>
                  <xsd:restriction base="dms:Choice">
                    <xsd:enumeration value="Campus Communication"/>
                    <xsd:enumeration value="Continuing Education"/>
                    <xsd:enumeration value="Document Management"/>
                    <xsd:enumeration value="DORA"/>
                    <xsd:enumeration value="HSD Operations - General"/>
                    <xsd:enumeration value="Internal Communications"/>
                    <xsd:enumeration value="Human Resources"/>
                    <xsd:enumeration value="Metrics"/>
                    <xsd:enumeration value="New Staff On-Boarding"/>
                    <xsd:enumeration value="New Staff Training"/>
                    <xsd:enumeration value="Professional Development"/>
                    <xsd:enumeration value="Recruitment &amp; Hiring"/>
                    <xsd:enumeration value="Staff Meetings"/>
                    <xsd:enumeration value="Testing (Document, Forms, etc.)"/>
                    <xsd:enumeration value="Website"/>
                  </xsd:restriction>
                </xsd:simpleType>
              </xsd:element>
            </xsd:sequence>
          </xsd:extension>
        </xsd:complexContent>
      </xsd:complexType>
    </xsd:element>
  </xsd:schema>
  <xsd:schema xmlns:xsd="http://www.w3.org/2001/XMLSchema" xmlns:dms="http://schemas.microsoft.com/office/2006/documentManagement/types" targetNamespace="33f288ab-96a9-4a90-8335-7c1edcd7d576" elementFormDefault="qualified">
    <xsd:import namespace="http://schemas.microsoft.com/office/2006/documentManagement/types"/>
    <xsd:element name="Meetings" ma:index="17" nillable="true" ma:displayName="Meetings" ma:default="Materials" ma:format="Dropdown" ma:internalName="Meetings">
      <xsd:simpleType>
        <xsd:restriction base="dms:Choice">
          <xsd:enumeration value="Agenda"/>
          <xsd:enumeration value="Materials"/>
          <xsd:enumeration value="Minutes"/>
          <xsd:enumeration value="Presentation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xsd:element ref="dc:description" minOccurs="0" maxOccurs="1"/>
        <xsd:element name="keywords" minOccurs="0" maxOccurs="1" type="xsd:string" ma:index="2"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FAA203-8CB6-4A7A-88AD-D97439B6D1C3}">
  <ds:schemaRefs>
    <ds:schemaRef ds:uri="http://purl.org/dc/elements/1.1/"/>
    <ds:schemaRef ds:uri="http://schemas.microsoft.com/office/2006/documentManagement/types"/>
    <ds:schemaRef ds:uri="http://purl.org/dc/dcmitype/"/>
    <ds:schemaRef ds:uri="33f288ab-96a9-4a90-8335-7c1edcd7d576"/>
    <ds:schemaRef ds:uri="b525eb96-6d39-4779-a9a1-5944d6e51eac"/>
    <ds:schemaRef ds:uri="http://purl.org/dc/terms/"/>
    <ds:schemaRef ds:uri="http://schemas.microsoft.com/office/2006/metadata/propertie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0D2CBC1E-7FE1-4C3E-9DE8-CF1A7582C4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25eb96-6d39-4779-a9a1-5944d6e51eac"/>
    <ds:schemaRef ds:uri="33f288ab-96a9-4a90-8335-7c1edcd7d576"/>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30F96AFA-B2AF-407E-B4CA-49E8AA18A62C}">
  <ds:schemaRefs>
    <ds:schemaRef ds:uri="http://schemas.microsoft.com/sharepoint/v3/contenttype/forms"/>
  </ds:schemaRefs>
</ds:datastoreItem>
</file>

<file path=customXml/itemProps4.xml><?xml version="1.0" encoding="utf-8"?>
<ds:datastoreItem xmlns:ds="http://schemas.openxmlformats.org/officeDocument/2006/customXml" ds:itemID="{7FF74D03-ABF9-406B-94B8-8EA8AC1CDF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2789</Words>
  <Characters>15901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SOP Expanded Access</vt:lpstr>
    </vt:vector>
  </TitlesOfParts>
  <Company>University of Washington</Company>
  <LinksUpToDate>false</LinksUpToDate>
  <CharactersWithSpaces>18653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SOP Expanded Access</dc:title>
  <dc:creator>sherrye</dc:creator>
  <cp:keywords/>
  <cp:lastModifiedBy>Sherry Edwards</cp:lastModifiedBy>
  <cp:revision>5</cp:revision>
  <cp:lastPrinted>2013-08-19T19:54:00Z</cp:lastPrinted>
  <dcterms:created xsi:type="dcterms:W3CDTF">2021-08-31T23:18:00Z</dcterms:created>
  <dcterms:modified xsi:type="dcterms:W3CDTF">2021-10-08T21:52:00Z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0x01010900918506D73F43C64ABD6D54F3159EE35900621D0BB93B95694D9FF5A740EFB2A827</vt:lpwstr>
  </property>
</Properties>
</file>