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6A86" w14:textId="20B811B3" w:rsidR="00334740" w:rsidRDefault="00334740" w:rsidP="00334740">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53F95372" wp14:editId="1F03222B">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 Appeal of IRB or HSD Determination</w:t>
      </w:r>
    </w:p>
    <w:p w14:paraId="1C077B4D" w14:textId="77777777" w:rsidR="00334740" w:rsidRPr="005D37AA" w:rsidRDefault="00334740" w:rsidP="00334740">
      <w:pPr>
        <w:pStyle w:val="Header"/>
        <w:tabs>
          <w:tab w:val="clear" w:pos="4680"/>
          <w:tab w:val="clear" w:pos="9360"/>
          <w:tab w:val="right" w:pos="10800"/>
        </w:tabs>
        <w:jc w:val="right"/>
      </w:pPr>
    </w:p>
    <w:p w14:paraId="6792B5CB" w14:textId="5623CCC7" w:rsidR="009D39EC" w:rsidRPr="006B513A" w:rsidRDefault="009D39EC" w:rsidP="00CA0AE0">
      <w:pPr>
        <w:shd w:val="clear" w:color="auto" w:fill="33006F"/>
        <w:tabs>
          <w:tab w:val="right" w:pos="10080"/>
        </w:tabs>
        <w:rPr>
          <w:b/>
        </w:rPr>
      </w:pPr>
    </w:p>
    <w:p w14:paraId="6BF3CC1A" w14:textId="6C3334B7" w:rsidR="00BE1C70" w:rsidRPr="00B00AFA" w:rsidRDefault="00BE1C70" w:rsidP="00A71D4E">
      <w:pPr>
        <w:pStyle w:val="NoSpacing"/>
        <w:rPr>
          <w:color w:val="000000" w:themeColor="text1"/>
          <w:sz w:val="22"/>
          <w:szCs w:val="22"/>
        </w:rPr>
      </w:pPr>
    </w:p>
    <w:p w14:paraId="3BA5078F" w14:textId="1E6453F1" w:rsidR="00B00AFA" w:rsidRDefault="00BE1C70" w:rsidP="00BE1C70">
      <w:pPr>
        <w:pStyle w:val="NoSpacing"/>
        <w:ind w:left="360" w:hanging="360"/>
        <w:outlineLvl w:val="0"/>
        <w:rPr>
          <w:b/>
          <w:color w:val="auto"/>
          <w:sz w:val="22"/>
          <w:szCs w:val="22"/>
        </w:rPr>
      </w:pPr>
      <w:r>
        <w:rPr>
          <w:b/>
          <w:color w:val="auto"/>
          <w:sz w:val="22"/>
          <w:szCs w:val="22"/>
        </w:rPr>
        <w:t>1</w:t>
      </w:r>
      <w:r>
        <w:rPr>
          <w:b/>
          <w:color w:val="auto"/>
          <w:sz w:val="22"/>
          <w:szCs w:val="22"/>
        </w:rPr>
        <w:tab/>
      </w:r>
      <w:r w:rsidR="00B00AFA"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p>
    <w:p w14:paraId="1E18305C" w14:textId="77777777" w:rsidR="00BE1C70" w:rsidRDefault="00BE1C70" w:rsidP="00563AB2">
      <w:pPr>
        <w:pStyle w:val="NoSpacing"/>
        <w:ind w:left="360" w:hanging="360"/>
        <w:rPr>
          <w:color w:val="auto"/>
          <w:sz w:val="22"/>
          <w:szCs w:val="22"/>
        </w:rPr>
      </w:pPr>
    </w:p>
    <w:p w14:paraId="0DB307F0" w14:textId="7323D07B" w:rsidR="00BE1C70" w:rsidRDefault="003705EE" w:rsidP="00563AB2">
      <w:pPr>
        <w:pStyle w:val="NoSpacing"/>
        <w:tabs>
          <w:tab w:val="left" w:pos="360"/>
          <w:tab w:val="left" w:pos="720"/>
        </w:tabs>
        <w:ind w:left="360"/>
        <w:rPr>
          <w:color w:val="auto"/>
          <w:sz w:val="22"/>
          <w:szCs w:val="22"/>
        </w:rPr>
      </w:pPr>
      <w:r>
        <w:rPr>
          <w:color w:val="auto"/>
          <w:sz w:val="22"/>
          <w:szCs w:val="22"/>
        </w:rPr>
        <w:t xml:space="preserve">This document describes </w:t>
      </w:r>
      <w:r w:rsidR="0027658B">
        <w:rPr>
          <w:color w:val="auto"/>
          <w:sz w:val="22"/>
          <w:szCs w:val="22"/>
        </w:rPr>
        <w:t>the</w:t>
      </w:r>
      <w:r w:rsidR="00670873">
        <w:rPr>
          <w:color w:val="auto"/>
          <w:sz w:val="22"/>
          <w:szCs w:val="22"/>
        </w:rPr>
        <w:t xml:space="preserve"> </w:t>
      </w:r>
      <w:r>
        <w:rPr>
          <w:color w:val="auto"/>
          <w:sz w:val="22"/>
          <w:szCs w:val="22"/>
        </w:rPr>
        <w:t xml:space="preserve">procedures </w:t>
      </w:r>
      <w:r w:rsidR="0027658B">
        <w:rPr>
          <w:color w:val="auto"/>
          <w:sz w:val="22"/>
          <w:szCs w:val="22"/>
        </w:rPr>
        <w:t>by which researchers may</w:t>
      </w:r>
      <w:r>
        <w:rPr>
          <w:color w:val="auto"/>
          <w:sz w:val="22"/>
          <w:szCs w:val="22"/>
        </w:rPr>
        <w:t xml:space="preserve"> appeal a determination by </w:t>
      </w:r>
      <w:r w:rsidR="0027658B">
        <w:rPr>
          <w:color w:val="auto"/>
          <w:sz w:val="22"/>
          <w:szCs w:val="22"/>
        </w:rPr>
        <w:t xml:space="preserve">the Human Subjects Division (HSD) or </w:t>
      </w:r>
      <w:r>
        <w:rPr>
          <w:color w:val="auto"/>
          <w:sz w:val="22"/>
          <w:szCs w:val="22"/>
        </w:rPr>
        <w:t>the UW IRB</w:t>
      </w:r>
      <w:r w:rsidR="0027658B">
        <w:rPr>
          <w:color w:val="auto"/>
          <w:sz w:val="22"/>
          <w:szCs w:val="22"/>
        </w:rPr>
        <w:t>, and the HSD procedures for reviewing and resolving an appeal.</w:t>
      </w:r>
      <w:r>
        <w:rPr>
          <w:color w:val="auto"/>
          <w:sz w:val="22"/>
          <w:szCs w:val="22"/>
        </w:rPr>
        <w:t xml:space="preserve"> </w:t>
      </w:r>
    </w:p>
    <w:p w14:paraId="2558E63C" w14:textId="77777777" w:rsidR="00563AB2" w:rsidRPr="00B00AFA" w:rsidRDefault="00563AB2" w:rsidP="00563AB2">
      <w:pPr>
        <w:pStyle w:val="NoSpacing"/>
        <w:tabs>
          <w:tab w:val="left" w:pos="360"/>
          <w:tab w:val="left" w:pos="720"/>
        </w:tabs>
        <w:ind w:left="360"/>
        <w:rPr>
          <w:color w:val="auto"/>
          <w:sz w:val="22"/>
          <w:szCs w:val="22"/>
        </w:rPr>
      </w:pPr>
    </w:p>
    <w:p w14:paraId="0DEE0488" w14:textId="1A8C506C" w:rsidR="00A03C60" w:rsidRDefault="00AA2580" w:rsidP="00AA2580">
      <w:pPr>
        <w:pStyle w:val="NoSpacing"/>
        <w:ind w:left="360" w:hanging="360"/>
        <w:outlineLvl w:val="0"/>
        <w:rPr>
          <w:b/>
          <w:color w:val="auto"/>
          <w:sz w:val="22"/>
          <w:szCs w:val="22"/>
        </w:rPr>
      </w:pPr>
      <w:r>
        <w:rPr>
          <w:b/>
          <w:color w:val="auto"/>
          <w:sz w:val="22"/>
          <w:szCs w:val="22"/>
        </w:rPr>
        <w:t xml:space="preserve">2 </w:t>
      </w:r>
      <w:r>
        <w:rPr>
          <w:b/>
          <w:color w:val="auto"/>
          <w:sz w:val="22"/>
          <w:szCs w:val="22"/>
        </w:rPr>
        <w:tab/>
      </w:r>
      <w:r w:rsidR="00ED134C" w:rsidRPr="00CD274A">
        <w:rPr>
          <w:b/>
          <w:color w:val="auto"/>
          <w:sz w:val="22"/>
          <w:szCs w:val="22"/>
        </w:rPr>
        <w:t>CONTEXT</w:t>
      </w:r>
      <w:r w:rsidR="00A848AA" w:rsidRPr="00CD274A">
        <w:rPr>
          <w:b/>
          <w:color w:val="auto"/>
          <w:sz w:val="22"/>
          <w:szCs w:val="22"/>
        </w:rPr>
        <w:t xml:space="preserve"> </w:t>
      </w:r>
      <w:r w:rsidR="007E5000">
        <w:rPr>
          <w:b/>
          <w:color w:val="auto"/>
          <w:sz w:val="22"/>
          <w:szCs w:val="22"/>
        </w:rPr>
        <w:t>and POLICY</w:t>
      </w:r>
    </w:p>
    <w:p w14:paraId="254CC08E" w14:textId="5B985F47" w:rsidR="00AA2580" w:rsidRDefault="00AA2580" w:rsidP="00563AB2">
      <w:pPr>
        <w:pStyle w:val="NoSpacing"/>
        <w:ind w:left="360" w:hanging="360"/>
        <w:rPr>
          <w:color w:val="auto"/>
          <w:sz w:val="22"/>
          <w:szCs w:val="22"/>
        </w:rPr>
      </w:pPr>
    </w:p>
    <w:p w14:paraId="7093C265" w14:textId="6D03D41E" w:rsidR="007E5000" w:rsidRDefault="00691154" w:rsidP="00563AB2">
      <w:pPr>
        <w:pStyle w:val="NoSpacing"/>
        <w:ind w:left="360" w:hanging="360"/>
        <w:rPr>
          <w:color w:val="auto"/>
          <w:sz w:val="22"/>
          <w:szCs w:val="22"/>
        </w:rPr>
      </w:pPr>
      <w:r>
        <w:rPr>
          <w:color w:val="auto"/>
          <w:sz w:val="22"/>
          <w:szCs w:val="22"/>
        </w:rPr>
        <w:tab/>
        <w:t xml:space="preserve">An IRB may determine that some or all of a proposed research activity cannot be approved, or </w:t>
      </w:r>
      <w:r w:rsidR="001C6F6B">
        <w:rPr>
          <w:color w:val="auto"/>
          <w:sz w:val="22"/>
          <w:szCs w:val="22"/>
        </w:rPr>
        <w:t>that approval can be granted only if the researcher makes specific changes</w:t>
      </w:r>
      <w:r>
        <w:rPr>
          <w:color w:val="auto"/>
          <w:sz w:val="22"/>
          <w:szCs w:val="22"/>
        </w:rPr>
        <w:t xml:space="preserve"> to the research. </w:t>
      </w:r>
      <w:r w:rsidR="00F361D7">
        <w:rPr>
          <w:color w:val="auto"/>
          <w:sz w:val="22"/>
          <w:szCs w:val="22"/>
        </w:rPr>
        <w:t>F</w:t>
      </w:r>
      <w:r>
        <w:rPr>
          <w:color w:val="auto"/>
          <w:sz w:val="22"/>
          <w:szCs w:val="22"/>
        </w:rPr>
        <w:t>ederal regulations</w:t>
      </w:r>
      <w:r w:rsidR="00F361D7">
        <w:rPr>
          <w:color w:val="auto"/>
          <w:sz w:val="22"/>
          <w:szCs w:val="22"/>
        </w:rPr>
        <w:t xml:space="preserve"> do not allow any official or agency, including another IRB</w:t>
      </w:r>
      <w:r>
        <w:rPr>
          <w:color w:val="auto"/>
          <w:sz w:val="22"/>
          <w:szCs w:val="22"/>
        </w:rPr>
        <w:t>,</w:t>
      </w:r>
      <w:r w:rsidR="00F361D7">
        <w:rPr>
          <w:color w:val="auto"/>
          <w:sz w:val="22"/>
          <w:szCs w:val="22"/>
        </w:rPr>
        <w:t xml:space="preserve"> to reverse or overrule</w:t>
      </w:r>
      <w:r>
        <w:rPr>
          <w:color w:val="auto"/>
          <w:sz w:val="22"/>
          <w:szCs w:val="22"/>
        </w:rPr>
        <w:t xml:space="preserve"> IRB requirements and disapprovals that are consistent with regulations and policies</w:t>
      </w:r>
      <w:r w:rsidR="00F361D7">
        <w:rPr>
          <w:color w:val="auto"/>
          <w:sz w:val="22"/>
          <w:szCs w:val="22"/>
        </w:rPr>
        <w:t>.</w:t>
      </w:r>
      <w:r w:rsidR="00893A02">
        <w:rPr>
          <w:color w:val="auto"/>
          <w:sz w:val="22"/>
          <w:szCs w:val="22"/>
        </w:rPr>
        <w:t xml:space="preserve"> Similarly, </w:t>
      </w:r>
      <w:r w:rsidR="007911C7">
        <w:rPr>
          <w:color w:val="auto"/>
          <w:sz w:val="22"/>
          <w:szCs w:val="22"/>
        </w:rPr>
        <w:t xml:space="preserve">UW policy has given </w:t>
      </w:r>
      <w:r w:rsidR="00893A02">
        <w:rPr>
          <w:color w:val="auto"/>
          <w:sz w:val="22"/>
          <w:szCs w:val="22"/>
        </w:rPr>
        <w:t xml:space="preserve">HSD </w:t>
      </w:r>
      <w:r w:rsidR="007911C7">
        <w:rPr>
          <w:color w:val="auto"/>
          <w:sz w:val="22"/>
          <w:szCs w:val="22"/>
        </w:rPr>
        <w:t xml:space="preserve">the sole authority to </w:t>
      </w:r>
      <w:r w:rsidR="00893A02">
        <w:rPr>
          <w:color w:val="auto"/>
          <w:sz w:val="22"/>
          <w:szCs w:val="22"/>
        </w:rPr>
        <w:t xml:space="preserve">make </w:t>
      </w:r>
      <w:r w:rsidR="007911C7">
        <w:rPr>
          <w:color w:val="auto"/>
          <w:sz w:val="22"/>
          <w:szCs w:val="22"/>
        </w:rPr>
        <w:t xml:space="preserve">specific </w:t>
      </w:r>
      <w:r w:rsidR="00893A02">
        <w:rPr>
          <w:color w:val="auto"/>
          <w:sz w:val="22"/>
          <w:szCs w:val="22"/>
        </w:rPr>
        <w:t>determinations about UW research (e.g., exempt status)</w:t>
      </w:r>
      <w:r w:rsidR="007911C7">
        <w:rPr>
          <w:color w:val="auto"/>
          <w:sz w:val="22"/>
          <w:szCs w:val="22"/>
        </w:rPr>
        <w:t xml:space="preserve"> which cannot be overruled.</w:t>
      </w:r>
    </w:p>
    <w:p w14:paraId="5A7FC5A0" w14:textId="77777777" w:rsidR="007E5000" w:rsidRDefault="007E5000" w:rsidP="00563AB2">
      <w:pPr>
        <w:pStyle w:val="NoSpacing"/>
        <w:ind w:left="360" w:hanging="360"/>
        <w:rPr>
          <w:color w:val="auto"/>
          <w:sz w:val="22"/>
          <w:szCs w:val="22"/>
        </w:rPr>
      </w:pPr>
    </w:p>
    <w:p w14:paraId="1076EE20" w14:textId="0324CA50" w:rsidR="0027658B" w:rsidRDefault="00F328C7" w:rsidP="00563AB2">
      <w:pPr>
        <w:pStyle w:val="NoSpacing"/>
        <w:ind w:left="360"/>
        <w:rPr>
          <w:color w:val="auto"/>
          <w:sz w:val="22"/>
          <w:szCs w:val="22"/>
        </w:rPr>
      </w:pPr>
      <w:r>
        <w:rPr>
          <w:color w:val="auto"/>
          <w:sz w:val="22"/>
          <w:szCs w:val="22"/>
        </w:rPr>
        <w:t xml:space="preserve">However, </w:t>
      </w:r>
      <w:r w:rsidR="007E5000">
        <w:rPr>
          <w:color w:val="auto"/>
          <w:sz w:val="22"/>
          <w:szCs w:val="22"/>
        </w:rPr>
        <w:t xml:space="preserve">UW policy allows </w:t>
      </w:r>
      <w:r>
        <w:rPr>
          <w:color w:val="auto"/>
          <w:sz w:val="22"/>
          <w:szCs w:val="22"/>
        </w:rPr>
        <w:t xml:space="preserve">a researcher </w:t>
      </w:r>
      <w:r w:rsidR="007E5000">
        <w:rPr>
          <w:color w:val="auto"/>
          <w:sz w:val="22"/>
          <w:szCs w:val="22"/>
        </w:rPr>
        <w:t>to</w:t>
      </w:r>
      <w:r>
        <w:rPr>
          <w:color w:val="auto"/>
          <w:sz w:val="22"/>
          <w:szCs w:val="22"/>
        </w:rPr>
        <w:t xml:space="preserve"> appeal to the Human Subjects Division (HSD) for a formal review of a decision</w:t>
      </w:r>
      <w:r w:rsidR="00F04249">
        <w:rPr>
          <w:color w:val="auto"/>
          <w:sz w:val="22"/>
          <w:szCs w:val="22"/>
        </w:rPr>
        <w:t xml:space="preserve"> (i.e., requirements or disapproval)</w:t>
      </w:r>
      <w:r w:rsidR="0027658B">
        <w:rPr>
          <w:color w:val="auto"/>
          <w:sz w:val="22"/>
          <w:szCs w:val="22"/>
        </w:rPr>
        <w:t xml:space="preserve"> in recognition of the reality that there can be honest </w:t>
      </w:r>
      <w:r w:rsidR="00AA0007">
        <w:rPr>
          <w:color w:val="auto"/>
          <w:sz w:val="22"/>
          <w:szCs w:val="22"/>
        </w:rPr>
        <w:t xml:space="preserve">mis-communications, </w:t>
      </w:r>
      <w:r w:rsidR="0027658B">
        <w:rPr>
          <w:color w:val="auto"/>
          <w:sz w:val="22"/>
          <w:szCs w:val="22"/>
        </w:rPr>
        <w:t>mis-understandings</w:t>
      </w:r>
      <w:r w:rsidR="00AA0007">
        <w:rPr>
          <w:color w:val="auto"/>
          <w:sz w:val="22"/>
          <w:szCs w:val="22"/>
        </w:rPr>
        <w:t>,</w:t>
      </w:r>
      <w:r w:rsidR="0027658B">
        <w:rPr>
          <w:color w:val="auto"/>
          <w:sz w:val="22"/>
          <w:szCs w:val="22"/>
        </w:rPr>
        <w:t xml:space="preserve"> or mistakes by any of the individuals or entities involved in applying for and conducting IRB review. </w:t>
      </w:r>
    </w:p>
    <w:p w14:paraId="593C9702" w14:textId="77777777" w:rsidR="0027658B" w:rsidRDefault="0027658B" w:rsidP="00563AB2">
      <w:pPr>
        <w:pStyle w:val="NoSpacing"/>
        <w:ind w:left="360"/>
        <w:rPr>
          <w:color w:val="auto"/>
          <w:sz w:val="22"/>
          <w:szCs w:val="22"/>
        </w:rPr>
      </w:pPr>
    </w:p>
    <w:p w14:paraId="500EE2A6" w14:textId="77777777" w:rsidR="002E6E80" w:rsidRDefault="0027658B" w:rsidP="00563AB2">
      <w:pPr>
        <w:pStyle w:val="NoSpacing"/>
        <w:ind w:left="360"/>
        <w:rPr>
          <w:color w:val="auto"/>
          <w:sz w:val="22"/>
          <w:szCs w:val="22"/>
        </w:rPr>
      </w:pPr>
      <w:r>
        <w:rPr>
          <w:color w:val="auto"/>
          <w:sz w:val="22"/>
          <w:szCs w:val="22"/>
        </w:rPr>
        <w:t>Appeal requests are accepted only</w:t>
      </w:r>
      <w:r w:rsidR="00260199">
        <w:rPr>
          <w:color w:val="auto"/>
          <w:sz w:val="22"/>
          <w:szCs w:val="22"/>
        </w:rPr>
        <w:t xml:space="preserve"> if there have been multiple unsuccessful efforts by the researcher and the IRB to resolve a disagreement</w:t>
      </w:r>
      <w:r w:rsidR="002E6E80">
        <w:rPr>
          <w:color w:val="auto"/>
          <w:sz w:val="22"/>
          <w:szCs w:val="22"/>
        </w:rPr>
        <w:t>,</w:t>
      </w:r>
      <w:r w:rsidR="00260199">
        <w:rPr>
          <w:color w:val="auto"/>
          <w:sz w:val="22"/>
          <w:szCs w:val="22"/>
        </w:rPr>
        <w:t xml:space="preserve"> and the researcher believes that the IRB’s decision is due to</w:t>
      </w:r>
      <w:r w:rsidR="002E6E80">
        <w:rPr>
          <w:color w:val="auto"/>
          <w:sz w:val="22"/>
          <w:szCs w:val="22"/>
        </w:rPr>
        <w:t>:</w:t>
      </w:r>
    </w:p>
    <w:p w14:paraId="5054F162" w14:textId="2E0E60A9" w:rsidR="002E6E80" w:rsidRDefault="002E6E80" w:rsidP="00563AB2">
      <w:pPr>
        <w:pStyle w:val="NoSpacing"/>
        <w:numPr>
          <w:ilvl w:val="0"/>
          <w:numId w:val="43"/>
        </w:numPr>
        <w:rPr>
          <w:color w:val="auto"/>
          <w:sz w:val="22"/>
          <w:szCs w:val="22"/>
        </w:rPr>
      </w:pPr>
      <w:r>
        <w:rPr>
          <w:color w:val="auto"/>
          <w:sz w:val="22"/>
          <w:szCs w:val="22"/>
        </w:rPr>
        <w:t>I</w:t>
      </w:r>
      <w:r w:rsidR="00260199">
        <w:rPr>
          <w:color w:val="auto"/>
          <w:sz w:val="22"/>
          <w:szCs w:val="22"/>
        </w:rPr>
        <w:t>naccurate understanding of the IRB application materials</w:t>
      </w:r>
      <w:r>
        <w:rPr>
          <w:color w:val="auto"/>
          <w:sz w:val="22"/>
          <w:szCs w:val="22"/>
        </w:rPr>
        <w:t>,</w:t>
      </w:r>
    </w:p>
    <w:p w14:paraId="311D3C86" w14:textId="1EEABAD6" w:rsidR="002E6E80" w:rsidRDefault="002E6E80" w:rsidP="00563AB2">
      <w:pPr>
        <w:pStyle w:val="NoSpacing"/>
        <w:numPr>
          <w:ilvl w:val="0"/>
          <w:numId w:val="43"/>
        </w:numPr>
        <w:rPr>
          <w:color w:val="auto"/>
          <w:sz w:val="22"/>
          <w:szCs w:val="22"/>
        </w:rPr>
      </w:pPr>
      <w:r>
        <w:rPr>
          <w:color w:val="auto"/>
          <w:sz w:val="22"/>
          <w:szCs w:val="22"/>
        </w:rPr>
        <w:t>I</w:t>
      </w:r>
      <w:r w:rsidR="00260199">
        <w:rPr>
          <w:color w:val="auto"/>
          <w:sz w:val="22"/>
          <w:szCs w:val="22"/>
        </w:rPr>
        <w:t>nappropriate interpretation of the information in the IRB application</w:t>
      </w:r>
      <w:r>
        <w:rPr>
          <w:color w:val="auto"/>
          <w:sz w:val="22"/>
          <w:szCs w:val="22"/>
        </w:rPr>
        <w:t>, and/or</w:t>
      </w:r>
    </w:p>
    <w:p w14:paraId="221F2EE4" w14:textId="6B0EC9C8" w:rsidR="00260199" w:rsidRDefault="002E6E80" w:rsidP="00563AB2">
      <w:pPr>
        <w:pStyle w:val="NoSpacing"/>
        <w:numPr>
          <w:ilvl w:val="0"/>
          <w:numId w:val="43"/>
        </w:numPr>
        <w:rPr>
          <w:color w:val="auto"/>
          <w:sz w:val="22"/>
          <w:szCs w:val="22"/>
        </w:rPr>
      </w:pPr>
      <w:r>
        <w:rPr>
          <w:color w:val="auto"/>
          <w:sz w:val="22"/>
          <w:szCs w:val="22"/>
        </w:rPr>
        <w:t>I</w:t>
      </w:r>
      <w:r w:rsidR="00260199">
        <w:rPr>
          <w:color w:val="auto"/>
          <w:sz w:val="22"/>
          <w:szCs w:val="22"/>
        </w:rPr>
        <w:t>RB noncompliance with regulations, state law, or University policy</w:t>
      </w:r>
      <w:r>
        <w:rPr>
          <w:color w:val="auto"/>
          <w:sz w:val="22"/>
          <w:szCs w:val="22"/>
        </w:rPr>
        <w:t>.</w:t>
      </w:r>
    </w:p>
    <w:p w14:paraId="72462C94" w14:textId="77777777" w:rsidR="00260199" w:rsidRDefault="00260199" w:rsidP="00563AB2">
      <w:pPr>
        <w:pStyle w:val="NoSpacing"/>
        <w:ind w:left="360"/>
        <w:rPr>
          <w:color w:val="auto"/>
          <w:sz w:val="22"/>
          <w:szCs w:val="22"/>
        </w:rPr>
      </w:pPr>
    </w:p>
    <w:p w14:paraId="4E7126E0" w14:textId="442674EF" w:rsidR="00260199" w:rsidRDefault="00260199" w:rsidP="00563AB2">
      <w:pPr>
        <w:pStyle w:val="NoSpacing"/>
        <w:ind w:left="360"/>
        <w:rPr>
          <w:color w:val="auto"/>
          <w:sz w:val="22"/>
          <w:szCs w:val="22"/>
        </w:rPr>
      </w:pPr>
      <w:r>
        <w:rPr>
          <w:color w:val="auto"/>
          <w:sz w:val="22"/>
          <w:szCs w:val="22"/>
        </w:rPr>
        <w:t>The appeals process is rarely fast. In HSD’s experience, many disagreements are based on differing interpretations of a specific regulation, state law, or institutional policy. Clarity and resolution</w:t>
      </w:r>
      <w:r w:rsidR="002E6E80">
        <w:rPr>
          <w:color w:val="auto"/>
          <w:sz w:val="22"/>
          <w:szCs w:val="22"/>
        </w:rPr>
        <w:t xml:space="preserve"> may require</w:t>
      </w:r>
      <w:r>
        <w:rPr>
          <w:color w:val="auto"/>
          <w:sz w:val="22"/>
          <w:szCs w:val="22"/>
        </w:rPr>
        <w:t xml:space="preserve"> involvement of the UW Division of the Washington State Attorney General’s office, UW Medicine compliance attorneys, or UW Medicine leadership. </w:t>
      </w:r>
    </w:p>
    <w:p w14:paraId="486BB553" w14:textId="67180FB6" w:rsidR="00260199" w:rsidRDefault="00260199" w:rsidP="00563AB2">
      <w:pPr>
        <w:pStyle w:val="NoSpacing"/>
        <w:ind w:left="360"/>
        <w:rPr>
          <w:color w:val="auto"/>
          <w:sz w:val="22"/>
          <w:szCs w:val="22"/>
        </w:rPr>
      </w:pPr>
    </w:p>
    <w:p w14:paraId="54A8C36A" w14:textId="1BF2D002" w:rsidR="00260199" w:rsidRDefault="00260199" w:rsidP="00563AB2">
      <w:pPr>
        <w:pStyle w:val="NoSpacing"/>
        <w:ind w:left="360"/>
        <w:rPr>
          <w:color w:val="auto"/>
          <w:sz w:val="22"/>
          <w:szCs w:val="22"/>
        </w:rPr>
      </w:pPr>
      <w:r>
        <w:rPr>
          <w:color w:val="auto"/>
          <w:sz w:val="22"/>
          <w:szCs w:val="22"/>
        </w:rPr>
        <w:t xml:space="preserve">Only the HSD Director or another </w:t>
      </w:r>
      <w:r w:rsidR="00427B67">
        <w:rPr>
          <w:color w:val="auto"/>
          <w:sz w:val="22"/>
          <w:szCs w:val="22"/>
        </w:rPr>
        <w:t xml:space="preserve">member of </w:t>
      </w:r>
      <w:r>
        <w:rPr>
          <w:color w:val="auto"/>
          <w:sz w:val="22"/>
          <w:szCs w:val="22"/>
        </w:rPr>
        <w:t xml:space="preserve">HSD </w:t>
      </w:r>
      <w:r w:rsidR="00427B67">
        <w:rPr>
          <w:color w:val="auto"/>
          <w:sz w:val="22"/>
          <w:szCs w:val="22"/>
        </w:rPr>
        <w:t>Leadership</w:t>
      </w:r>
      <w:r>
        <w:rPr>
          <w:color w:val="auto"/>
          <w:sz w:val="22"/>
          <w:szCs w:val="22"/>
        </w:rPr>
        <w:t xml:space="preserve"> has the authority to decide whether an appeal request will be accepted. Only one appeal is allowed for a specific issue; the concluding determination is final and not subject to further appeal. </w:t>
      </w:r>
    </w:p>
    <w:p w14:paraId="703FA764" w14:textId="77777777" w:rsidR="00142909" w:rsidRPr="00B00AFA" w:rsidRDefault="00142909" w:rsidP="00563AB2">
      <w:pPr>
        <w:pStyle w:val="NoSpacing"/>
        <w:rPr>
          <w:color w:val="auto"/>
          <w:sz w:val="22"/>
          <w:szCs w:val="22"/>
        </w:rPr>
      </w:pPr>
    </w:p>
    <w:p w14:paraId="44B26576" w14:textId="77777777" w:rsidR="00EB7601" w:rsidRDefault="00142909" w:rsidP="00EB7601">
      <w:pPr>
        <w:pStyle w:val="NoSpacing"/>
        <w:ind w:left="360" w:hanging="360"/>
        <w:outlineLvl w:val="0"/>
        <w:rPr>
          <w:b/>
          <w:color w:val="auto"/>
          <w:sz w:val="22"/>
          <w:szCs w:val="22"/>
        </w:rPr>
      </w:pPr>
      <w:r w:rsidRPr="00590473">
        <w:rPr>
          <w:b/>
          <w:color w:val="auto"/>
          <w:sz w:val="22"/>
          <w:szCs w:val="22"/>
        </w:rPr>
        <w:t xml:space="preserve">3 </w:t>
      </w:r>
      <w:r w:rsidRPr="00590473">
        <w:rPr>
          <w:b/>
          <w:color w:val="auto"/>
          <w:sz w:val="22"/>
          <w:szCs w:val="22"/>
        </w:rPr>
        <w:tab/>
        <w:t xml:space="preserve">PROCEDURES </w:t>
      </w:r>
    </w:p>
    <w:p w14:paraId="7BB01654" w14:textId="09A73AFB" w:rsidR="00EB7601" w:rsidRDefault="00EB7601" w:rsidP="00563AB2">
      <w:pPr>
        <w:pStyle w:val="NoSpacing"/>
        <w:ind w:left="360" w:hanging="360"/>
        <w:rPr>
          <w:b/>
          <w:color w:val="auto"/>
          <w:sz w:val="22"/>
          <w:szCs w:val="22"/>
        </w:rPr>
      </w:pPr>
    </w:p>
    <w:p w14:paraId="6F8E698D" w14:textId="4329C832" w:rsidR="0027658B" w:rsidRDefault="0027658B" w:rsidP="00563AB2">
      <w:pPr>
        <w:pStyle w:val="NoSpacing"/>
        <w:ind w:left="810" w:hanging="450"/>
        <w:rPr>
          <w:bCs/>
          <w:color w:val="auto"/>
          <w:sz w:val="22"/>
          <w:szCs w:val="22"/>
        </w:rPr>
      </w:pPr>
      <w:r w:rsidRPr="002E6E80">
        <w:rPr>
          <w:bCs/>
          <w:color w:val="auto"/>
          <w:sz w:val="22"/>
          <w:szCs w:val="22"/>
        </w:rPr>
        <w:t>3.1</w:t>
      </w:r>
      <w:r w:rsidRPr="002E6E80">
        <w:rPr>
          <w:bCs/>
          <w:color w:val="auto"/>
          <w:sz w:val="22"/>
          <w:szCs w:val="22"/>
        </w:rPr>
        <w:tab/>
      </w:r>
      <w:r w:rsidRPr="002E6E80">
        <w:rPr>
          <w:b/>
          <w:color w:val="auto"/>
          <w:sz w:val="22"/>
          <w:szCs w:val="22"/>
        </w:rPr>
        <w:t>Requesting an appeal</w:t>
      </w:r>
      <w:r w:rsidRPr="002E6E80">
        <w:rPr>
          <w:bCs/>
          <w:color w:val="auto"/>
          <w:sz w:val="22"/>
          <w:szCs w:val="22"/>
        </w:rPr>
        <w:t>.</w:t>
      </w:r>
      <w:r>
        <w:rPr>
          <w:bCs/>
          <w:color w:val="auto"/>
          <w:sz w:val="22"/>
          <w:szCs w:val="22"/>
        </w:rPr>
        <w:t xml:space="preserve"> The researcher requests an appeal by emailing </w:t>
      </w:r>
      <w:hyperlink r:id="rId12" w:history="1">
        <w:r w:rsidRPr="00734BE2">
          <w:rPr>
            <w:rStyle w:val="Hyperlink"/>
            <w:bCs/>
            <w:sz w:val="22"/>
            <w:szCs w:val="22"/>
          </w:rPr>
          <w:t>hsdinfo@uw.edu</w:t>
        </w:r>
      </w:hyperlink>
      <w:r>
        <w:rPr>
          <w:bCs/>
          <w:color w:val="auto"/>
          <w:sz w:val="22"/>
          <w:szCs w:val="22"/>
        </w:rPr>
        <w:t>, the HSD Director</w:t>
      </w:r>
      <w:r w:rsidR="002E6E80">
        <w:rPr>
          <w:bCs/>
          <w:color w:val="auto"/>
          <w:sz w:val="22"/>
          <w:szCs w:val="22"/>
        </w:rPr>
        <w:t>,</w:t>
      </w:r>
      <w:r>
        <w:rPr>
          <w:bCs/>
          <w:color w:val="auto"/>
          <w:sz w:val="22"/>
          <w:szCs w:val="22"/>
        </w:rPr>
        <w:t xml:space="preserve"> or other member of HSD </w:t>
      </w:r>
      <w:r w:rsidR="00197B75">
        <w:rPr>
          <w:bCs/>
          <w:color w:val="auto"/>
          <w:sz w:val="22"/>
          <w:szCs w:val="22"/>
        </w:rPr>
        <w:t>Leadership</w:t>
      </w:r>
      <w:r>
        <w:rPr>
          <w:bCs/>
          <w:color w:val="auto"/>
          <w:sz w:val="22"/>
          <w:szCs w:val="22"/>
        </w:rPr>
        <w:t xml:space="preserve">. The request must be made within 30 days of the most recent HSD or IRB correspondence to the researcher concerning the decision that is being appealed. </w:t>
      </w:r>
      <w:r w:rsidR="002E6E80">
        <w:rPr>
          <w:bCs/>
          <w:color w:val="auto"/>
          <w:sz w:val="22"/>
          <w:szCs w:val="22"/>
        </w:rPr>
        <w:t xml:space="preserve">The email must include the following information: </w:t>
      </w:r>
    </w:p>
    <w:p w14:paraId="568FB5F5" w14:textId="0AC9BCCC" w:rsidR="002E6E80" w:rsidRDefault="002E6E80" w:rsidP="00563AB2">
      <w:pPr>
        <w:pStyle w:val="NoSpacing"/>
        <w:ind w:left="810" w:hanging="450"/>
        <w:rPr>
          <w:bCs/>
          <w:color w:val="auto"/>
          <w:sz w:val="22"/>
          <w:szCs w:val="22"/>
        </w:rPr>
      </w:pPr>
      <w:r>
        <w:rPr>
          <w:bCs/>
          <w:color w:val="auto"/>
          <w:sz w:val="22"/>
          <w:szCs w:val="22"/>
        </w:rPr>
        <w:tab/>
        <w:t>3.1.1</w:t>
      </w:r>
      <w:r>
        <w:rPr>
          <w:bCs/>
          <w:color w:val="auto"/>
          <w:sz w:val="22"/>
          <w:szCs w:val="22"/>
        </w:rPr>
        <w:tab/>
        <w:t>Name of the principal investigator on the IRB application</w:t>
      </w:r>
    </w:p>
    <w:p w14:paraId="785C8751" w14:textId="14CCCA11" w:rsidR="002E6E80" w:rsidRDefault="002E6E80" w:rsidP="00563AB2">
      <w:pPr>
        <w:pStyle w:val="NoSpacing"/>
        <w:ind w:left="810" w:hanging="450"/>
        <w:rPr>
          <w:bCs/>
          <w:color w:val="auto"/>
          <w:sz w:val="22"/>
          <w:szCs w:val="22"/>
        </w:rPr>
      </w:pPr>
      <w:r>
        <w:rPr>
          <w:bCs/>
          <w:color w:val="auto"/>
          <w:sz w:val="22"/>
          <w:szCs w:val="22"/>
        </w:rPr>
        <w:tab/>
        <w:t>3.1.2</w:t>
      </w:r>
      <w:r>
        <w:rPr>
          <w:bCs/>
          <w:color w:val="auto"/>
          <w:sz w:val="22"/>
          <w:szCs w:val="22"/>
        </w:rPr>
        <w:tab/>
        <w:t>The HSD number assigned to the IRB application (e.g., the Zipline study number)</w:t>
      </w:r>
    </w:p>
    <w:p w14:paraId="0F70A22E" w14:textId="0CF7574A" w:rsidR="002E6E80" w:rsidRDefault="002E6E80" w:rsidP="00563AB2">
      <w:pPr>
        <w:pStyle w:val="NoSpacing"/>
        <w:ind w:left="810" w:hanging="450"/>
        <w:rPr>
          <w:bCs/>
          <w:color w:val="auto"/>
          <w:sz w:val="22"/>
          <w:szCs w:val="22"/>
        </w:rPr>
      </w:pPr>
      <w:r>
        <w:rPr>
          <w:bCs/>
          <w:color w:val="auto"/>
          <w:sz w:val="22"/>
          <w:szCs w:val="22"/>
        </w:rPr>
        <w:tab/>
        <w:t>3.1.3</w:t>
      </w:r>
      <w:r>
        <w:rPr>
          <w:bCs/>
          <w:color w:val="auto"/>
          <w:sz w:val="22"/>
          <w:szCs w:val="22"/>
        </w:rPr>
        <w:tab/>
        <w:t>The title of the IRB application</w:t>
      </w:r>
    </w:p>
    <w:p w14:paraId="07DC59AC" w14:textId="126984CF" w:rsidR="002E6E80" w:rsidRDefault="002E6E80" w:rsidP="00563AB2">
      <w:pPr>
        <w:pStyle w:val="NoSpacing"/>
        <w:ind w:left="810" w:hanging="450"/>
        <w:rPr>
          <w:bCs/>
          <w:color w:val="auto"/>
          <w:sz w:val="22"/>
          <w:szCs w:val="22"/>
        </w:rPr>
      </w:pPr>
      <w:r>
        <w:rPr>
          <w:bCs/>
          <w:color w:val="auto"/>
          <w:sz w:val="22"/>
          <w:szCs w:val="22"/>
        </w:rPr>
        <w:tab/>
        <w:t>3.1.4</w:t>
      </w:r>
      <w:r>
        <w:rPr>
          <w:bCs/>
          <w:color w:val="auto"/>
          <w:sz w:val="22"/>
          <w:szCs w:val="22"/>
        </w:rPr>
        <w:tab/>
        <w:t>A short paragraph summarizing the issue and the reason(s) for the appeal</w:t>
      </w:r>
    </w:p>
    <w:p w14:paraId="4A142A0A" w14:textId="029D940F" w:rsidR="0027658B" w:rsidRDefault="0027658B" w:rsidP="00563AB2">
      <w:pPr>
        <w:pStyle w:val="NoSpacing"/>
        <w:ind w:left="810" w:hanging="450"/>
        <w:rPr>
          <w:bCs/>
          <w:color w:val="auto"/>
          <w:sz w:val="22"/>
          <w:szCs w:val="22"/>
        </w:rPr>
      </w:pPr>
    </w:p>
    <w:p w14:paraId="6416FC4C" w14:textId="7C3356E9" w:rsidR="00AA310F" w:rsidRDefault="0027658B" w:rsidP="00563AB2">
      <w:pPr>
        <w:pStyle w:val="NoSpacing"/>
        <w:ind w:left="810" w:hanging="450"/>
        <w:rPr>
          <w:bCs/>
          <w:color w:val="auto"/>
          <w:sz w:val="22"/>
          <w:szCs w:val="22"/>
        </w:rPr>
      </w:pPr>
      <w:r>
        <w:rPr>
          <w:bCs/>
          <w:color w:val="auto"/>
          <w:sz w:val="22"/>
          <w:szCs w:val="22"/>
        </w:rPr>
        <w:t>3.2</w:t>
      </w:r>
      <w:r>
        <w:rPr>
          <w:bCs/>
          <w:color w:val="auto"/>
          <w:sz w:val="22"/>
          <w:szCs w:val="22"/>
        </w:rPr>
        <w:tab/>
      </w:r>
      <w:r w:rsidRPr="002E6E80">
        <w:rPr>
          <w:b/>
          <w:color w:val="auto"/>
          <w:sz w:val="22"/>
          <w:szCs w:val="22"/>
        </w:rPr>
        <w:t>Receipt and assignment of appeal request</w:t>
      </w:r>
      <w:r>
        <w:rPr>
          <w:bCs/>
          <w:color w:val="auto"/>
          <w:sz w:val="22"/>
          <w:szCs w:val="22"/>
        </w:rPr>
        <w:t xml:space="preserve">. </w:t>
      </w:r>
      <w:r w:rsidR="002E6E80">
        <w:rPr>
          <w:bCs/>
          <w:color w:val="auto"/>
          <w:sz w:val="22"/>
          <w:szCs w:val="22"/>
        </w:rPr>
        <w:t xml:space="preserve">The HSD Manager who receives the request determines whether they are </w:t>
      </w:r>
      <w:r w:rsidR="00AA310F">
        <w:rPr>
          <w:bCs/>
          <w:color w:val="auto"/>
          <w:sz w:val="22"/>
          <w:szCs w:val="22"/>
        </w:rPr>
        <w:t xml:space="preserve">the most appropriate person to handle the appeal request based </w:t>
      </w:r>
      <w:proofErr w:type="gramStart"/>
      <w:r w:rsidR="00AA310F">
        <w:rPr>
          <w:bCs/>
          <w:color w:val="auto"/>
          <w:sz w:val="22"/>
          <w:szCs w:val="22"/>
        </w:rPr>
        <w:t>on:</w:t>
      </w:r>
      <w:proofErr w:type="gramEnd"/>
      <w:r w:rsidR="00AA310F">
        <w:rPr>
          <w:bCs/>
          <w:color w:val="auto"/>
          <w:sz w:val="22"/>
          <w:szCs w:val="22"/>
        </w:rPr>
        <w:t xml:space="preserve"> the nature of the research, who conducted the review/determination in question, the nature of the appeal, and the manager’s areas of expertise.</w:t>
      </w:r>
      <w:r w:rsidR="00DD271A">
        <w:rPr>
          <w:bCs/>
          <w:color w:val="auto"/>
          <w:sz w:val="22"/>
          <w:szCs w:val="22"/>
        </w:rPr>
        <w:t xml:space="preserve"> If appropriate, the appeal is assigned to another Manager. The Manager responds to the researcher within three business days, to acknowledges receipt of the appeal request and to schedule a time for an initial conversation about the contested decision.</w:t>
      </w:r>
    </w:p>
    <w:p w14:paraId="65EC7D2E" w14:textId="0DBB4371" w:rsidR="0027658B" w:rsidRDefault="00AA310F" w:rsidP="00563AB2">
      <w:pPr>
        <w:pStyle w:val="NoSpacing"/>
        <w:ind w:left="810" w:hanging="450"/>
        <w:rPr>
          <w:bCs/>
          <w:color w:val="auto"/>
          <w:sz w:val="22"/>
          <w:szCs w:val="22"/>
        </w:rPr>
      </w:pPr>
      <w:r>
        <w:rPr>
          <w:bCs/>
          <w:color w:val="auto"/>
          <w:sz w:val="22"/>
          <w:szCs w:val="22"/>
        </w:rPr>
        <w:t xml:space="preserve"> </w:t>
      </w:r>
    </w:p>
    <w:p w14:paraId="29974730" w14:textId="44F082BA" w:rsidR="00DD271A" w:rsidRDefault="0027658B" w:rsidP="00563AB2">
      <w:pPr>
        <w:pStyle w:val="NoSpacing"/>
        <w:ind w:left="810" w:hanging="450"/>
        <w:rPr>
          <w:bCs/>
          <w:color w:val="auto"/>
          <w:sz w:val="22"/>
          <w:szCs w:val="22"/>
        </w:rPr>
      </w:pPr>
      <w:r>
        <w:rPr>
          <w:bCs/>
          <w:color w:val="auto"/>
          <w:sz w:val="22"/>
          <w:szCs w:val="22"/>
        </w:rPr>
        <w:t>3.3.</w:t>
      </w:r>
      <w:r>
        <w:rPr>
          <w:bCs/>
          <w:color w:val="auto"/>
          <w:sz w:val="22"/>
          <w:szCs w:val="22"/>
        </w:rPr>
        <w:tab/>
      </w:r>
      <w:r w:rsidR="00411DC3">
        <w:rPr>
          <w:b/>
          <w:color w:val="auto"/>
          <w:sz w:val="22"/>
          <w:szCs w:val="22"/>
        </w:rPr>
        <w:t xml:space="preserve">Background and context. </w:t>
      </w:r>
      <w:r w:rsidR="00411DC3">
        <w:rPr>
          <w:bCs/>
          <w:color w:val="auto"/>
          <w:sz w:val="22"/>
          <w:szCs w:val="22"/>
        </w:rPr>
        <w:t>Before the initial conversation with the researcher, the Manager</w:t>
      </w:r>
      <w:r w:rsidR="00F320A9">
        <w:rPr>
          <w:bCs/>
          <w:color w:val="auto"/>
          <w:sz w:val="22"/>
          <w:szCs w:val="22"/>
        </w:rPr>
        <w:t xml:space="preserve"> develops an initial understanding of the specific issue(s) by</w:t>
      </w:r>
      <w:r w:rsidR="00893A02">
        <w:rPr>
          <w:bCs/>
          <w:color w:val="auto"/>
          <w:sz w:val="22"/>
          <w:szCs w:val="22"/>
        </w:rPr>
        <w:t>:</w:t>
      </w:r>
      <w:r w:rsidR="00F320A9">
        <w:rPr>
          <w:bCs/>
          <w:color w:val="auto"/>
          <w:sz w:val="22"/>
          <w:szCs w:val="22"/>
        </w:rPr>
        <w:t xml:space="preserve"> </w:t>
      </w:r>
    </w:p>
    <w:p w14:paraId="036C0CFE" w14:textId="005FACE4" w:rsidR="00411DC3" w:rsidRDefault="00411DC3" w:rsidP="00563AB2">
      <w:pPr>
        <w:pStyle w:val="NoSpacing"/>
        <w:numPr>
          <w:ilvl w:val="0"/>
          <w:numId w:val="45"/>
        </w:numPr>
        <w:rPr>
          <w:bCs/>
          <w:color w:val="auto"/>
          <w:sz w:val="22"/>
          <w:szCs w:val="22"/>
        </w:rPr>
      </w:pPr>
      <w:r>
        <w:rPr>
          <w:bCs/>
          <w:color w:val="auto"/>
          <w:sz w:val="22"/>
          <w:szCs w:val="22"/>
        </w:rPr>
        <w:t>Read</w:t>
      </w:r>
      <w:r w:rsidR="00F320A9">
        <w:rPr>
          <w:bCs/>
          <w:color w:val="auto"/>
          <w:sz w:val="22"/>
          <w:szCs w:val="22"/>
        </w:rPr>
        <w:t>ing</w:t>
      </w:r>
      <w:r>
        <w:rPr>
          <w:bCs/>
          <w:color w:val="auto"/>
          <w:sz w:val="22"/>
          <w:szCs w:val="22"/>
        </w:rPr>
        <w:t xml:space="preserve"> the relevant IRB application </w:t>
      </w:r>
      <w:r w:rsidR="00F320A9">
        <w:rPr>
          <w:bCs/>
          <w:color w:val="auto"/>
          <w:sz w:val="22"/>
          <w:szCs w:val="22"/>
        </w:rPr>
        <w:t xml:space="preserve">and review </w:t>
      </w:r>
      <w:r>
        <w:rPr>
          <w:bCs/>
          <w:color w:val="auto"/>
          <w:sz w:val="22"/>
          <w:szCs w:val="22"/>
        </w:rPr>
        <w:t>materials</w:t>
      </w:r>
      <w:r w:rsidR="00F320A9">
        <w:rPr>
          <w:bCs/>
          <w:color w:val="auto"/>
          <w:sz w:val="22"/>
          <w:szCs w:val="22"/>
        </w:rPr>
        <w:t>, including any correspondence</w:t>
      </w:r>
    </w:p>
    <w:p w14:paraId="190B6B5F" w14:textId="0D58FCBE" w:rsidR="00411DC3" w:rsidRPr="00F320A9" w:rsidRDefault="00F320A9" w:rsidP="00563AB2">
      <w:pPr>
        <w:pStyle w:val="NoSpacing"/>
        <w:numPr>
          <w:ilvl w:val="0"/>
          <w:numId w:val="45"/>
        </w:numPr>
        <w:rPr>
          <w:bCs/>
          <w:color w:val="auto"/>
          <w:sz w:val="22"/>
          <w:szCs w:val="22"/>
        </w:rPr>
      </w:pPr>
      <w:r>
        <w:rPr>
          <w:bCs/>
          <w:color w:val="auto"/>
          <w:sz w:val="22"/>
          <w:szCs w:val="22"/>
        </w:rPr>
        <w:t>C</w:t>
      </w:r>
      <w:r w:rsidRPr="00F320A9">
        <w:rPr>
          <w:bCs/>
          <w:color w:val="auto"/>
          <w:sz w:val="22"/>
          <w:szCs w:val="22"/>
        </w:rPr>
        <w:t>onsulting with</w:t>
      </w:r>
      <w:r w:rsidR="002979A2">
        <w:rPr>
          <w:bCs/>
          <w:color w:val="auto"/>
          <w:sz w:val="22"/>
          <w:szCs w:val="22"/>
        </w:rPr>
        <w:t xml:space="preserve"> </w:t>
      </w:r>
      <w:r w:rsidR="00411DC3" w:rsidRPr="00F320A9">
        <w:rPr>
          <w:bCs/>
          <w:color w:val="auto"/>
          <w:sz w:val="22"/>
          <w:szCs w:val="22"/>
        </w:rPr>
        <w:t>the HSD staff</w:t>
      </w:r>
      <w:r w:rsidRPr="00F320A9">
        <w:rPr>
          <w:bCs/>
          <w:color w:val="auto"/>
          <w:sz w:val="22"/>
          <w:szCs w:val="22"/>
        </w:rPr>
        <w:t xml:space="preserve"> person(s) managing the IRB application and if appropriate, the relevant </w:t>
      </w:r>
      <w:r w:rsidR="00411DC3" w:rsidRPr="00F320A9">
        <w:rPr>
          <w:bCs/>
          <w:color w:val="auto"/>
          <w:sz w:val="22"/>
          <w:szCs w:val="22"/>
        </w:rPr>
        <w:t xml:space="preserve">primary IRB reviewer </w:t>
      </w:r>
      <w:r w:rsidRPr="00F320A9">
        <w:rPr>
          <w:bCs/>
          <w:color w:val="auto"/>
          <w:sz w:val="22"/>
          <w:szCs w:val="22"/>
        </w:rPr>
        <w:t>and/or IRB Chair</w:t>
      </w:r>
      <w:r w:rsidR="002979A2">
        <w:rPr>
          <w:bCs/>
          <w:color w:val="auto"/>
          <w:sz w:val="22"/>
          <w:szCs w:val="22"/>
        </w:rPr>
        <w:t>.</w:t>
      </w:r>
    </w:p>
    <w:p w14:paraId="5A22230A" w14:textId="6AA71D5B" w:rsidR="0027658B" w:rsidRDefault="0027658B" w:rsidP="00563AB2">
      <w:pPr>
        <w:pStyle w:val="NoSpacing"/>
        <w:ind w:left="810" w:hanging="450"/>
        <w:rPr>
          <w:bCs/>
          <w:color w:val="auto"/>
          <w:sz w:val="22"/>
          <w:szCs w:val="22"/>
        </w:rPr>
      </w:pPr>
    </w:p>
    <w:p w14:paraId="281E2D63" w14:textId="12E908A3" w:rsidR="0027658B" w:rsidRDefault="0027658B" w:rsidP="00563AB2">
      <w:pPr>
        <w:pStyle w:val="NoSpacing"/>
        <w:ind w:left="810" w:hanging="450"/>
        <w:rPr>
          <w:bCs/>
          <w:color w:val="auto"/>
          <w:sz w:val="22"/>
          <w:szCs w:val="22"/>
        </w:rPr>
      </w:pPr>
      <w:r>
        <w:rPr>
          <w:bCs/>
          <w:color w:val="auto"/>
          <w:sz w:val="22"/>
          <w:szCs w:val="22"/>
        </w:rPr>
        <w:t>3.4</w:t>
      </w:r>
      <w:r>
        <w:rPr>
          <w:bCs/>
          <w:color w:val="auto"/>
          <w:sz w:val="22"/>
          <w:szCs w:val="22"/>
        </w:rPr>
        <w:tab/>
      </w:r>
      <w:r w:rsidR="00F320A9" w:rsidRPr="00F320A9">
        <w:rPr>
          <w:b/>
          <w:color w:val="auto"/>
          <w:sz w:val="22"/>
          <w:szCs w:val="22"/>
        </w:rPr>
        <w:t>Initial conversation</w:t>
      </w:r>
      <w:r w:rsidR="002E6E80">
        <w:rPr>
          <w:bCs/>
          <w:color w:val="auto"/>
          <w:sz w:val="22"/>
          <w:szCs w:val="22"/>
        </w:rPr>
        <w:t>.</w:t>
      </w:r>
      <w:r w:rsidR="00F320A9">
        <w:rPr>
          <w:bCs/>
          <w:color w:val="auto"/>
          <w:sz w:val="22"/>
          <w:szCs w:val="22"/>
        </w:rPr>
        <w:t xml:space="preserve"> Th</w:t>
      </w:r>
      <w:r w:rsidR="002979A2">
        <w:rPr>
          <w:bCs/>
          <w:color w:val="auto"/>
          <w:sz w:val="22"/>
          <w:szCs w:val="22"/>
        </w:rPr>
        <w:t xml:space="preserve">is is </w:t>
      </w:r>
      <w:r w:rsidR="00F320A9">
        <w:rPr>
          <w:bCs/>
          <w:color w:val="auto"/>
          <w:sz w:val="22"/>
          <w:szCs w:val="22"/>
        </w:rPr>
        <w:t xml:space="preserve">an informal activity to elicit </w:t>
      </w:r>
      <w:r w:rsidR="00046A2A">
        <w:rPr>
          <w:bCs/>
          <w:color w:val="auto"/>
          <w:sz w:val="22"/>
          <w:szCs w:val="22"/>
        </w:rPr>
        <w:t xml:space="preserve">the </w:t>
      </w:r>
      <w:r w:rsidR="002979A2">
        <w:rPr>
          <w:bCs/>
          <w:color w:val="auto"/>
          <w:sz w:val="22"/>
          <w:szCs w:val="22"/>
        </w:rPr>
        <w:t xml:space="preserve">researcher’s </w:t>
      </w:r>
      <w:r w:rsidR="00046A2A">
        <w:rPr>
          <w:bCs/>
          <w:color w:val="auto"/>
          <w:sz w:val="22"/>
          <w:szCs w:val="22"/>
        </w:rPr>
        <w:t xml:space="preserve">specific concerns and requests.  </w:t>
      </w:r>
      <w:r w:rsidR="002979A2">
        <w:rPr>
          <w:bCs/>
          <w:color w:val="auto"/>
          <w:sz w:val="22"/>
          <w:szCs w:val="22"/>
        </w:rPr>
        <w:t>Conversation n</w:t>
      </w:r>
      <w:r w:rsidR="00046A2A">
        <w:rPr>
          <w:bCs/>
          <w:color w:val="auto"/>
          <w:sz w:val="22"/>
          <w:szCs w:val="22"/>
        </w:rPr>
        <w:t xml:space="preserve">otes are considered part of an interim work process. Depending upon the </w:t>
      </w:r>
      <w:r w:rsidR="002979A2">
        <w:rPr>
          <w:bCs/>
          <w:color w:val="auto"/>
          <w:sz w:val="22"/>
          <w:szCs w:val="22"/>
        </w:rPr>
        <w:t xml:space="preserve">appeal </w:t>
      </w:r>
      <w:r w:rsidR="00046A2A">
        <w:rPr>
          <w:bCs/>
          <w:color w:val="auto"/>
          <w:sz w:val="22"/>
          <w:szCs w:val="22"/>
        </w:rPr>
        <w:t xml:space="preserve">resolution, the notes may </w:t>
      </w:r>
      <w:r w:rsidR="007D0D33">
        <w:rPr>
          <w:bCs/>
          <w:color w:val="auto"/>
          <w:sz w:val="22"/>
          <w:szCs w:val="22"/>
        </w:rPr>
        <w:t xml:space="preserve">or may not </w:t>
      </w:r>
      <w:r w:rsidR="00046A2A">
        <w:rPr>
          <w:bCs/>
          <w:color w:val="auto"/>
          <w:sz w:val="22"/>
          <w:szCs w:val="22"/>
        </w:rPr>
        <w:t xml:space="preserve">be formalized and saved as a permanent </w:t>
      </w:r>
      <w:r w:rsidR="007D0D33">
        <w:rPr>
          <w:bCs/>
          <w:color w:val="auto"/>
          <w:sz w:val="22"/>
          <w:szCs w:val="22"/>
        </w:rPr>
        <w:t>part of the study file</w:t>
      </w:r>
      <w:r w:rsidR="00046A2A">
        <w:rPr>
          <w:bCs/>
          <w:color w:val="auto"/>
          <w:sz w:val="22"/>
          <w:szCs w:val="22"/>
        </w:rPr>
        <w:t xml:space="preserve">. </w:t>
      </w:r>
    </w:p>
    <w:p w14:paraId="3FE26A65" w14:textId="6C1875E9" w:rsidR="002E6E80" w:rsidRDefault="002E6E80" w:rsidP="00563AB2">
      <w:pPr>
        <w:pStyle w:val="NoSpacing"/>
        <w:ind w:left="810" w:hanging="450"/>
        <w:rPr>
          <w:bCs/>
          <w:color w:val="auto"/>
          <w:sz w:val="22"/>
          <w:szCs w:val="22"/>
        </w:rPr>
      </w:pPr>
    </w:p>
    <w:p w14:paraId="0C59CDB9" w14:textId="55222E98" w:rsidR="00AA0007" w:rsidRDefault="002E6E80" w:rsidP="00563AB2">
      <w:pPr>
        <w:pStyle w:val="NoSpacing"/>
        <w:ind w:left="810" w:hanging="450"/>
        <w:rPr>
          <w:bCs/>
          <w:color w:val="auto"/>
          <w:sz w:val="22"/>
          <w:szCs w:val="22"/>
        </w:rPr>
      </w:pPr>
      <w:r>
        <w:rPr>
          <w:bCs/>
          <w:color w:val="auto"/>
          <w:sz w:val="22"/>
          <w:szCs w:val="22"/>
        </w:rPr>
        <w:t>3.5</w:t>
      </w:r>
      <w:r>
        <w:rPr>
          <w:bCs/>
          <w:color w:val="auto"/>
          <w:sz w:val="22"/>
          <w:szCs w:val="22"/>
        </w:rPr>
        <w:tab/>
      </w:r>
      <w:r w:rsidR="00046A2A" w:rsidRPr="00AA0007">
        <w:rPr>
          <w:b/>
          <w:color w:val="auto"/>
          <w:sz w:val="22"/>
          <w:szCs w:val="22"/>
        </w:rPr>
        <w:t>Investigation</w:t>
      </w:r>
      <w:r w:rsidR="00046A2A">
        <w:rPr>
          <w:bCs/>
          <w:color w:val="auto"/>
          <w:sz w:val="22"/>
          <w:szCs w:val="22"/>
        </w:rPr>
        <w:t xml:space="preserve">. </w:t>
      </w:r>
      <w:r w:rsidR="00AA0007">
        <w:rPr>
          <w:bCs/>
          <w:color w:val="auto"/>
          <w:sz w:val="22"/>
          <w:szCs w:val="22"/>
        </w:rPr>
        <w:t>The Manager</w:t>
      </w:r>
      <w:r w:rsidR="00F72F31">
        <w:rPr>
          <w:bCs/>
          <w:color w:val="auto"/>
          <w:sz w:val="22"/>
          <w:szCs w:val="22"/>
        </w:rPr>
        <w:t xml:space="preserve"> conducts an investigation.</w:t>
      </w:r>
    </w:p>
    <w:p w14:paraId="1B625B7B" w14:textId="77777777" w:rsidR="00B01B4D" w:rsidRDefault="00B01B4D" w:rsidP="00563AB2">
      <w:pPr>
        <w:pStyle w:val="NoSpacing"/>
        <w:ind w:left="810" w:hanging="450"/>
        <w:rPr>
          <w:bCs/>
          <w:color w:val="auto"/>
          <w:sz w:val="22"/>
          <w:szCs w:val="22"/>
        </w:rPr>
      </w:pPr>
    </w:p>
    <w:p w14:paraId="5334FAF2" w14:textId="42994397" w:rsidR="00F72F31" w:rsidRDefault="00F72F31" w:rsidP="00563AB2">
      <w:pPr>
        <w:pStyle w:val="NoSpacing"/>
        <w:ind w:left="1440" w:hanging="630"/>
        <w:rPr>
          <w:bCs/>
          <w:color w:val="auto"/>
          <w:sz w:val="22"/>
          <w:szCs w:val="22"/>
        </w:rPr>
      </w:pPr>
      <w:r>
        <w:rPr>
          <w:bCs/>
          <w:color w:val="auto"/>
          <w:sz w:val="22"/>
          <w:szCs w:val="22"/>
        </w:rPr>
        <w:t>3.5.1</w:t>
      </w:r>
      <w:r>
        <w:rPr>
          <w:bCs/>
          <w:color w:val="auto"/>
          <w:sz w:val="22"/>
          <w:szCs w:val="22"/>
        </w:rPr>
        <w:tab/>
      </w:r>
      <w:r w:rsidRPr="00F72F31">
        <w:rPr>
          <w:b/>
          <w:color w:val="auto"/>
          <w:sz w:val="22"/>
          <w:szCs w:val="22"/>
        </w:rPr>
        <w:t>Purpose</w:t>
      </w:r>
      <w:r>
        <w:rPr>
          <w:bCs/>
          <w:color w:val="auto"/>
          <w:sz w:val="22"/>
          <w:szCs w:val="22"/>
        </w:rPr>
        <w:t>. The purpose of the investigation is to identify:</w:t>
      </w:r>
    </w:p>
    <w:p w14:paraId="378FBE7D" w14:textId="5E6A8ECE" w:rsidR="00F72F31" w:rsidRDefault="00F72F31" w:rsidP="00563AB2">
      <w:pPr>
        <w:pStyle w:val="NoSpacing"/>
        <w:numPr>
          <w:ilvl w:val="0"/>
          <w:numId w:val="47"/>
        </w:numPr>
        <w:ind w:left="2070"/>
        <w:rPr>
          <w:bCs/>
          <w:color w:val="auto"/>
          <w:sz w:val="22"/>
          <w:szCs w:val="22"/>
        </w:rPr>
      </w:pPr>
      <w:r>
        <w:rPr>
          <w:bCs/>
          <w:color w:val="auto"/>
          <w:sz w:val="22"/>
          <w:szCs w:val="22"/>
        </w:rPr>
        <w:t>The specific issue(s) at the heart of the problem</w:t>
      </w:r>
    </w:p>
    <w:p w14:paraId="38F5618F" w14:textId="1307ED68" w:rsidR="00F72F31" w:rsidRDefault="00F72F31" w:rsidP="00563AB2">
      <w:pPr>
        <w:pStyle w:val="NoSpacing"/>
        <w:numPr>
          <w:ilvl w:val="0"/>
          <w:numId w:val="47"/>
        </w:numPr>
        <w:ind w:left="2070"/>
        <w:rPr>
          <w:bCs/>
          <w:color w:val="auto"/>
          <w:sz w:val="22"/>
          <w:szCs w:val="22"/>
        </w:rPr>
      </w:pPr>
      <w:r>
        <w:rPr>
          <w:bCs/>
          <w:color w:val="auto"/>
          <w:sz w:val="22"/>
          <w:szCs w:val="22"/>
        </w:rPr>
        <w:t>Which individuals and/or entities are involved</w:t>
      </w:r>
    </w:p>
    <w:p w14:paraId="322B7B6F" w14:textId="275C447E" w:rsidR="00F72F31" w:rsidRDefault="00F72F31" w:rsidP="00563AB2">
      <w:pPr>
        <w:pStyle w:val="NoSpacing"/>
        <w:numPr>
          <w:ilvl w:val="0"/>
          <w:numId w:val="47"/>
        </w:numPr>
        <w:ind w:left="2070"/>
        <w:rPr>
          <w:bCs/>
          <w:color w:val="auto"/>
          <w:sz w:val="22"/>
          <w:szCs w:val="22"/>
        </w:rPr>
      </w:pPr>
      <w:r>
        <w:rPr>
          <w:bCs/>
          <w:color w:val="auto"/>
          <w:sz w:val="22"/>
          <w:szCs w:val="22"/>
        </w:rPr>
        <w:t>How to resolve the issue</w:t>
      </w:r>
    </w:p>
    <w:p w14:paraId="19BC6234" w14:textId="77777777" w:rsidR="00B01B4D" w:rsidRDefault="00B01B4D" w:rsidP="00563AB2">
      <w:pPr>
        <w:pStyle w:val="NoSpacing"/>
        <w:ind w:left="1710"/>
        <w:rPr>
          <w:bCs/>
          <w:color w:val="auto"/>
          <w:sz w:val="22"/>
          <w:szCs w:val="22"/>
        </w:rPr>
      </w:pPr>
    </w:p>
    <w:p w14:paraId="5A308019" w14:textId="2D6D6AA4" w:rsidR="00F72F31" w:rsidRDefault="00F72F31" w:rsidP="00563AB2">
      <w:pPr>
        <w:pStyle w:val="NoSpacing"/>
        <w:ind w:left="1440" w:hanging="630"/>
        <w:rPr>
          <w:bCs/>
          <w:color w:val="auto"/>
          <w:sz w:val="22"/>
          <w:szCs w:val="22"/>
        </w:rPr>
      </w:pPr>
      <w:r>
        <w:rPr>
          <w:bCs/>
          <w:color w:val="auto"/>
          <w:sz w:val="22"/>
          <w:szCs w:val="22"/>
        </w:rPr>
        <w:t>3.5.2</w:t>
      </w:r>
      <w:r>
        <w:rPr>
          <w:bCs/>
          <w:color w:val="auto"/>
          <w:sz w:val="22"/>
          <w:szCs w:val="22"/>
        </w:rPr>
        <w:tab/>
      </w:r>
      <w:r w:rsidRPr="00F72F31">
        <w:rPr>
          <w:b/>
          <w:color w:val="auto"/>
          <w:sz w:val="22"/>
          <w:szCs w:val="22"/>
        </w:rPr>
        <w:t>Common focus areas</w:t>
      </w:r>
      <w:r>
        <w:rPr>
          <w:b/>
          <w:color w:val="auto"/>
          <w:sz w:val="22"/>
          <w:szCs w:val="22"/>
        </w:rPr>
        <w:t xml:space="preserve"> for investigation</w:t>
      </w:r>
      <w:r>
        <w:rPr>
          <w:bCs/>
          <w:color w:val="auto"/>
          <w:sz w:val="22"/>
          <w:szCs w:val="22"/>
        </w:rPr>
        <w:t xml:space="preserve">. These specific issues are always investigated, as HSD experience suggests that they are </w:t>
      </w:r>
      <w:r w:rsidR="00B01B4D">
        <w:rPr>
          <w:bCs/>
          <w:color w:val="auto"/>
          <w:sz w:val="22"/>
          <w:szCs w:val="22"/>
        </w:rPr>
        <w:t>most often</w:t>
      </w:r>
      <w:r>
        <w:rPr>
          <w:bCs/>
          <w:color w:val="auto"/>
          <w:sz w:val="22"/>
          <w:szCs w:val="22"/>
        </w:rPr>
        <w:t xml:space="preserve"> the source of the problem. </w:t>
      </w:r>
    </w:p>
    <w:p w14:paraId="4D0C5667" w14:textId="5DFA3A9B" w:rsidR="00F72F31" w:rsidRDefault="00F72F31" w:rsidP="00563AB2">
      <w:pPr>
        <w:pStyle w:val="NoSpacing"/>
        <w:numPr>
          <w:ilvl w:val="0"/>
          <w:numId w:val="48"/>
        </w:numPr>
        <w:ind w:left="2070"/>
        <w:rPr>
          <w:bCs/>
          <w:color w:val="auto"/>
          <w:sz w:val="22"/>
          <w:szCs w:val="22"/>
        </w:rPr>
      </w:pPr>
      <w:r>
        <w:rPr>
          <w:bCs/>
          <w:color w:val="auto"/>
          <w:sz w:val="22"/>
          <w:szCs w:val="22"/>
        </w:rPr>
        <w:t>Lack of shared understanding between the researcher and HSD/IRB about</w:t>
      </w:r>
    </w:p>
    <w:p w14:paraId="63A73189" w14:textId="0B280EEA" w:rsidR="00F72F31" w:rsidRDefault="00F72F31" w:rsidP="00563AB2">
      <w:pPr>
        <w:pStyle w:val="NoSpacing"/>
        <w:numPr>
          <w:ilvl w:val="1"/>
          <w:numId w:val="48"/>
        </w:numPr>
        <w:ind w:left="2880"/>
        <w:rPr>
          <w:bCs/>
          <w:color w:val="auto"/>
          <w:sz w:val="22"/>
          <w:szCs w:val="22"/>
        </w:rPr>
      </w:pPr>
      <w:r>
        <w:rPr>
          <w:bCs/>
          <w:color w:val="auto"/>
          <w:sz w:val="22"/>
          <w:szCs w:val="22"/>
        </w:rPr>
        <w:t>Which procedures are research versus “not research”</w:t>
      </w:r>
    </w:p>
    <w:p w14:paraId="482E22E6" w14:textId="07B2B242" w:rsidR="00F72F31" w:rsidRDefault="00B01B4D" w:rsidP="00563AB2">
      <w:pPr>
        <w:pStyle w:val="NoSpacing"/>
        <w:numPr>
          <w:ilvl w:val="1"/>
          <w:numId w:val="48"/>
        </w:numPr>
        <w:ind w:left="2880"/>
        <w:rPr>
          <w:bCs/>
          <w:color w:val="auto"/>
          <w:sz w:val="22"/>
          <w:szCs w:val="22"/>
        </w:rPr>
      </w:pPr>
      <w:r>
        <w:rPr>
          <w:bCs/>
          <w:color w:val="auto"/>
          <w:sz w:val="22"/>
          <w:szCs w:val="22"/>
        </w:rPr>
        <w:t>Who are the subjects in the research</w:t>
      </w:r>
    </w:p>
    <w:p w14:paraId="6D6D47BE" w14:textId="1AD0CF19" w:rsidR="00B01B4D" w:rsidRDefault="00B01B4D" w:rsidP="00563AB2">
      <w:pPr>
        <w:pStyle w:val="NoSpacing"/>
        <w:numPr>
          <w:ilvl w:val="1"/>
          <w:numId w:val="48"/>
        </w:numPr>
        <w:ind w:left="2880"/>
        <w:rPr>
          <w:bCs/>
          <w:color w:val="auto"/>
          <w:sz w:val="22"/>
          <w:szCs w:val="22"/>
        </w:rPr>
      </w:pPr>
      <w:r>
        <w:rPr>
          <w:bCs/>
          <w:color w:val="auto"/>
          <w:sz w:val="22"/>
          <w:szCs w:val="22"/>
        </w:rPr>
        <w:t>The nature, magnitude, and probability of the research risks</w:t>
      </w:r>
    </w:p>
    <w:p w14:paraId="161E2BFF" w14:textId="14605388" w:rsidR="00B01B4D" w:rsidRPr="00B01B4D" w:rsidRDefault="00B01B4D" w:rsidP="00563AB2">
      <w:pPr>
        <w:pStyle w:val="NoSpacing"/>
        <w:numPr>
          <w:ilvl w:val="1"/>
          <w:numId w:val="48"/>
        </w:numPr>
        <w:ind w:left="2880"/>
        <w:rPr>
          <w:bCs/>
          <w:color w:val="auto"/>
          <w:sz w:val="22"/>
          <w:szCs w:val="22"/>
        </w:rPr>
      </w:pPr>
      <w:r>
        <w:rPr>
          <w:bCs/>
          <w:color w:val="auto"/>
          <w:sz w:val="22"/>
          <w:szCs w:val="22"/>
        </w:rPr>
        <w:t xml:space="preserve">The meaning of </w:t>
      </w:r>
      <w:r w:rsidR="002979A2">
        <w:rPr>
          <w:bCs/>
          <w:color w:val="auto"/>
          <w:sz w:val="22"/>
          <w:szCs w:val="22"/>
        </w:rPr>
        <w:t>specific</w:t>
      </w:r>
      <w:r>
        <w:rPr>
          <w:bCs/>
          <w:color w:val="auto"/>
          <w:sz w:val="22"/>
          <w:szCs w:val="22"/>
        </w:rPr>
        <w:t xml:space="preserve"> regulatory terms </w:t>
      </w:r>
      <w:r w:rsidR="002979A2">
        <w:rPr>
          <w:bCs/>
          <w:color w:val="auto"/>
          <w:sz w:val="22"/>
          <w:szCs w:val="22"/>
        </w:rPr>
        <w:t>(e.g. waiver of consent vs waiver of documentation of consent)</w:t>
      </w:r>
      <w:r>
        <w:rPr>
          <w:bCs/>
          <w:color w:val="auto"/>
          <w:sz w:val="22"/>
          <w:szCs w:val="22"/>
        </w:rPr>
        <w:t xml:space="preserve"> </w:t>
      </w:r>
    </w:p>
    <w:p w14:paraId="26936134" w14:textId="70F9CE9F" w:rsidR="00B01B4D" w:rsidRPr="002979A2" w:rsidRDefault="00B01B4D" w:rsidP="00563AB2">
      <w:pPr>
        <w:pStyle w:val="NoSpacing"/>
        <w:numPr>
          <w:ilvl w:val="0"/>
          <w:numId w:val="48"/>
        </w:numPr>
        <w:ind w:left="2070"/>
        <w:rPr>
          <w:bCs/>
          <w:color w:val="auto"/>
          <w:sz w:val="22"/>
          <w:szCs w:val="22"/>
        </w:rPr>
      </w:pPr>
      <w:r>
        <w:rPr>
          <w:bCs/>
          <w:color w:val="auto"/>
          <w:sz w:val="22"/>
          <w:szCs w:val="22"/>
        </w:rPr>
        <w:t xml:space="preserve">Missing details about </w:t>
      </w:r>
      <w:r w:rsidR="002979A2">
        <w:rPr>
          <w:bCs/>
          <w:color w:val="auto"/>
          <w:sz w:val="22"/>
          <w:szCs w:val="22"/>
        </w:rPr>
        <w:t>specific research procedures, the rationale for the study, or who will conduct which specific research procedures and in which settings</w:t>
      </w:r>
    </w:p>
    <w:p w14:paraId="4D493E58" w14:textId="6B1022DB" w:rsidR="00F72F31" w:rsidRDefault="00B01B4D" w:rsidP="00563AB2">
      <w:pPr>
        <w:pStyle w:val="NoSpacing"/>
        <w:numPr>
          <w:ilvl w:val="0"/>
          <w:numId w:val="48"/>
        </w:numPr>
        <w:ind w:left="2070"/>
        <w:rPr>
          <w:bCs/>
          <w:color w:val="auto"/>
          <w:sz w:val="22"/>
          <w:szCs w:val="22"/>
        </w:rPr>
      </w:pPr>
      <w:r>
        <w:rPr>
          <w:bCs/>
          <w:color w:val="auto"/>
          <w:sz w:val="22"/>
          <w:szCs w:val="22"/>
        </w:rPr>
        <w:t>Identification &amp; interpretation of applicable regulations, state law, or University  policies</w:t>
      </w:r>
    </w:p>
    <w:p w14:paraId="65160DB6" w14:textId="77777777" w:rsidR="00B01B4D" w:rsidRPr="00B01B4D" w:rsidRDefault="00B01B4D" w:rsidP="00563AB2">
      <w:pPr>
        <w:pStyle w:val="NoSpacing"/>
        <w:ind w:left="2070"/>
        <w:rPr>
          <w:bCs/>
          <w:color w:val="auto"/>
          <w:sz w:val="22"/>
          <w:szCs w:val="22"/>
        </w:rPr>
      </w:pPr>
    </w:p>
    <w:p w14:paraId="304B8BCD" w14:textId="06861DDC" w:rsidR="00F72F31" w:rsidRDefault="00F72F31" w:rsidP="00563AB2">
      <w:pPr>
        <w:pStyle w:val="NoSpacing"/>
        <w:ind w:left="1440" w:hanging="630"/>
        <w:rPr>
          <w:bCs/>
          <w:color w:val="auto"/>
          <w:sz w:val="22"/>
          <w:szCs w:val="22"/>
        </w:rPr>
      </w:pPr>
      <w:r>
        <w:rPr>
          <w:bCs/>
          <w:color w:val="auto"/>
          <w:sz w:val="22"/>
          <w:szCs w:val="22"/>
        </w:rPr>
        <w:t xml:space="preserve"> 3.5.3</w:t>
      </w:r>
      <w:r>
        <w:rPr>
          <w:bCs/>
          <w:color w:val="auto"/>
          <w:sz w:val="22"/>
          <w:szCs w:val="22"/>
        </w:rPr>
        <w:tab/>
      </w:r>
      <w:r w:rsidRPr="00B01B4D">
        <w:rPr>
          <w:b/>
          <w:color w:val="auto"/>
          <w:sz w:val="22"/>
          <w:szCs w:val="22"/>
        </w:rPr>
        <w:t>Investigation activities</w:t>
      </w:r>
      <w:r>
        <w:rPr>
          <w:bCs/>
          <w:color w:val="auto"/>
          <w:sz w:val="22"/>
          <w:szCs w:val="22"/>
        </w:rPr>
        <w:t xml:space="preserve"> may include but are not limited to:</w:t>
      </w:r>
    </w:p>
    <w:p w14:paraId="43564BEF" w14:textId="134E0521" w:rsidR="00AA0007" w:rsidRDefault="00F72F31" w:rsidP="00563AB2">
      <w:pPr>
        <w:pStyle w:val="NoSpacing"/>
        <w:numPr>
          <w:ilvl w:val="0"/>
          <w:numId w:val="46"/>
        </w:numPr>
        <w:ind w:left="2070"/>
        <w:rPr>
          <w:bCs/>
          <w:color w:val="auto"/>
          <w:sz w:val="22"/>
          <w:szCs w:val="22"/>
        </w:rPr>
      </w:pPr>
      <w:r>
        <w:rPr>
          <w:bCs/>
          <w:color w:val="auto"/>
          <w:sz w:val="22"/>
          <w:szCs w:val="22"/>
        </w:rPr>
        <w:t>Additional conversations with HSD staff and IRB members</w:t>
      </w:r>
    </w:p>
    <w:p w14:paraId="332776EA" w14:textId="131D8C7E" w:rsidR="00F72F31" w:rsidRDefault="00F72F31" w:rsidP="00563AB2">
      <w:pPr>
        <w:pStyle w:val="NoSpacing"/>
        <w:numPr>
          <w:ilvl w:val="0"/>
          <w:numId w:val="46"/>
        </w:numPr>
        <w:ind w:left="2070"/>
        <w:rPr>
          <w:bCs/>
          <w:color w:val="auto"/>
          <w:sz w:val="22"/>
          <w:szCs w:val="22"/>
        </w:rPr>
      </w:pPr>
      <w:r>
        <w:rPr>
          <w:bCs/>
          <w:color w:val="auto"/>
          <w:sz w:val="22"/>
          <w:szCs w:val="22"/>
        </w:rPr>
        <w:t>Additional conversations with the researcher</w:t>
      </w:r>
    </w:p>
    <w:p w14:paraId="6FA3778A" w14:textId="408A12C6" w:rsidR="00F72F31" w:rsidRDefault="00F72F31" w:rsidP="00563AB2">
      <w:pPr>
        <w:pStyle w:val="NoSpacing"/>
        <w:numPr>
          <w:ilvl w:val="0"/>
          <w:numId w:val="46"/>
        </w:numPr>
        <w:ind w:left="2070"/>
        <w:rPr>
          <w:bCs/>
          <w:color w:val="auto"/>
          <w:sz w:val="22"/>
          <w:szCs w:val="22"/>
        </w:rPr>
      </w:pPr>
      <w:r>
        <w:rPr>
          <w:bCs/>
          <w:color w:val="auto"/>
          <w:sz w:val="22"/>
          <w:szCs w:val="22"/>
        </w:rPr>
        <w:t>Conversations with other members of the study team</w:t>
      </w:r>
    </w:p>
    <w:p w14:paraId="0BFF0642" w14:textId="61AD54C1" w:rsidR="00F72F31" w:rsidRDefault="00F72F31" w:rsidP="00563AB2">
      <w:pPr>
        <w:pStyle w:val="NoSpacing"/>
        <w:numPr>
          <w:ilvl w:val="0"/>
          <w:numId w:val="46"/>
        </w:numPr>
        <w:ind w:left="2070"/>
        <w:rPr>
          <w:bCs/>
          <w:color w:val="auto"/>
          <w:sz w:val="22"/>
          <w:szCs w:val="22"/>
        </w:rPr>
      </w:pPr>
      <w:r>
        <w:rPr>
          <w:bCs/>
          <w:color w:val="auto"/>
          <w:sz w:val="22"/>
          <w:szCs w:val="22"/>
        </w:rPr>
        <w:t>Consultation with an uninvolved IRB member with appropriate expertise</w:t>
      </w:r>
    </w:p>
    <w:p w14:paraId="661C492B" w14:textId="1BBAADC1" w:rsidR="00B01B4D" w:rsidRDefault="00B01B4D" w:rsidP="00563AB2">
      <w:pPr>
        <w:pStyle w:val="NoSpacing"/>
        <w:numPr>
          <w:ilvl w:val="0"/>
          <w:numId w:val="46"/>
        </w:numPr>
        <w:ind w:left="2070"/>
        <w:rPr>
          <w:bCs/>
          <w:color w:val="auto"/>
          <w:sz w:val="22"/>
          <w:szCs w:val="22"/>
        </w:rPr>
      </w:pPr>
      <w:r>
        <w:rPr>
          <w:bCs/>
          <w:color w:val="auto"/>
          <w:sz w:val="22"/>
          <w:szCs w:val="22"/>
        </w:rPr>
        <w:t>Reading of relevant scientific literature</w:t>
      </w:r>
    </w:p>
    <w:p w14:paraId="63A88BC5" w14:textId="3E26B40E" w:rsidR="00B01B4D" w:rsidRPr="00B01B4D" w:rsidRDefault="00B01B4D" w:rsidP="00563AB2">
      <w:pPr>
        <w:pStyle w:val="NoSpacing"/>
        <w:numPr>
          <w:ilvl w:val="0"/>
          <w:numId w:val="46"/>
        </w:numPr>
        <w:ind w:left="2070"/>
        <w:rPr>
          <w:bCs/>
          <w:color w:val="auto"/>
          <w:sz w:val="22"/>
          <w:szCs w:val="22"/>
        </w:rPr>
      </w:pPr>
      <w:r>
        <w:rPr>
          <w:bCs/>
          <w:color w:val="auto"/>
          <w:sz w:val="22"/>
          <w:szCs w:val="22"/>
        </w:rPr>
        <w:t xml:space="preserve">Reading of </w:t>
      </w:r>
      <w:r w:rsidR="004F5E95">
        <w:rPr>
          <w:bCs/>
          <w:color w:val="auto"/>
          <w:sz w:val="22"/>
          <w:szCs w:val="22"/>
        </w:rPr>
        <w:t>relevant published guidance from regulatory, compliance or legal entities</w:t>
      </w:r>
    </w:p>
    <w:p w14:paraId="3F1030F6" w14:textId="77777777" w:rsidR="00B01B4D" w:rsidRDefault="00B01B4D" w:rsidP="00563AB2">
      <w:pPr>
        <w:pStyle w:val="NoSpacing"/>
        <w:rPr>
          <w:bCs/>
          <w:color w:val="auto"/>
          <w:sz w:val="22"/>
          <w:szCs w:val="22"/>
        </w:rPr>
      </w:pPr>
    </w:p>
    <w:p w14:paraId="3EA5CB21" w14:textId="6C84BA58" w:rsidR="00AA0007" w:rsidRDefault="00F72F31" w:rsidP="00563AB2">
      <w:pPr>
        <w:pStyle w:val="NoSpacing"/>
        <w:ind w:left="1530" w:hanging="720"/>
        <w:rPr>
          <w:bCs/>
          <w:color w:val="auto"/>
          <w:sz w:val="22"/>
          <w:szCs w:val="22"/>
        </w:rPr>
      </w:pPr>
      <w:r>
        <w:rPr>
          <w:bCs/>
          <w:color w:val="auto"/>
          <w:sz w:val="22"/>
          <w:szCs w:val="22"/>
        </w:rPr>
        <w:t>3.5.4</w:t>
      </w:r>
      <w:r>
        <w:rPr>
          <w:bCs/>
          <w:color w:val="auto"/>
          <w:sz w:val="22"/>
          <w:szCs w:val="22"/>
        </w:rPr>
        <w:tab/>
      </w:r>
      <w:r w:rsidR="00B01B4D" w:rsidRPr="004F5E95">
        <w:rPr>
          <w:b/>
          <w:color w:val="auto"/>
          <w:sz w:val="22"/>
          <w:szCs w:val="22"/>
        </w:rPr>
        <w:t>Possible avenues for resolution</w:t>
      </w:r>
      <w:r w:rsidR="00B01B4D">
        <w:rPr>
          <w:bCs/>
          <w:color w:val="auto"/>
          <w:sz w:val="22"/>
          <w:szCs w:val="22"/>
        </w:rPr>
        <w:t xml:space="preserve">. </w:t>
      </w:r>
      <w:r w:rsidR="004F5E95">
        <w:rPr>
          <w:bCs/>
          <w:color w:val="auto"/>
          <w:sz w:val="22"/>
          <w:szCs w:val="22"/>
        </w:rPr>
        <w:t>These commonly include</w:t>
      </w:r>
      <w:r w:rsidR="00893A02">
        <w:rPr>
          <w:bCs/>
          <w:color w:val="auto"/>
          <w:sz w:val="22"/>
          <w:szCs w:val="22"/>
        </w:rPr>
        <w:t xml:space="preserve"> (but are not limited to)</w:t>
      </w:r>
      <w:r w:rsidR="004F5E95">
        <w:rPr>
          <w:bCs/>
          <w:color w:val="auto"/>
          <w:sz w:val="22"/>
          <w:szCs w:val="22"/>
        </w:rPr>
        <w:t>:</w:t>
      </w:r>
    </w:p>
    <w:p w14:paraId="6F6C13BE" w14:textId="77777777" w:rsidR="002979A2" w:rsidRDefault="002979A2" w:rsidP="00563AB2">
      <w:pPr>
        <w:pStyle w:val="NoSpacing"/>
        <w:numPr>
          <w:ilvl w:val="0"/>
          <w:numId w:val="49"/>
        </w:numPr>
        <w:ind w:left="2070"/>
        <w:rPr>
          <w:bCs/>
          <w:color w:val="auto"/>
          <w:sz w:val="22"/>
          <w:szCs w:val="22"/>
        </w:rPr>
      </w:pPr>
      <w:r>
        <w:rPr>
          <w:bCs/>
          <w:color w:val="auto"/>
          <w:sz w:val="22"/>
          <w:szCs w:val="22"/>
        </w:rPr>
        <w:t>Obtaining legal guidance from the UW division of the state Attorney General’s office</w:t>
      </w:r>
    </w:p>
    <w:p w14:paraId="118BBF03" w14:textId="116BC258" w:rsidR="002979A2" w:rsidRDefault="002979A2" w:rsidP="00563AB2">
      <w:pPr>
        <w:pStyle w:val="NoSpacing"/>
        <w:numPr>
          <w:ilvl w:val="0"/>
          <w:numId w:val="49"/>
        </w:numPr>
        <w:ind w:left="2070"/>
        <w:rPr>
          <w:bCs/>
          <w:color w:val="auto"/>
          <w:sz w:val="22"/>
          <w:szCs w:val="22"/>
        </w:rPr>
      </w:pPr>
      <w:r>
        <w:rPr>
          <w:bCs/>
          <w:color w:val="auto"/>
          <w:sz w:val="22"/>
          <w:szCs w:val="22"/>
        </w:rPr>
        <w:t>Obtaining input from UW Medicine leadership</w:t>
      </w:r>
    </w:p>
    <w:p w14:paraId="401757DF" w14:textId="203E4FE5" w:rsidR="004F5E95" w:rsidRDefault="004F5E95" w:rsidP="00563AB2">
      <w:pPr>
        <w:pStyle w:val="NoSpacing"/>
        <w:numPr>
          <w:ilvl w:val="0"/>
          <w:numId w:val="49"/>
        </w:numPr>
        <w:ind w:left="2070"/>
        <w:rPr>
          <w:bCs/>
          <w:color w:val="auto"/>
          <w:sz w:val="22"/>
          <w:szCs w:val="22"/>
        </w:rPr>
      </w:pPr>
      <w:r>
        <w:rPr>
          <w:bCs/>
          <w:color w:val="auto"/>
          <w:sz w:val="22"/>
          <w:szCs w:val="22"/>
        </w:rPr>
        <w:lastRenderedPageBreak/>
        <w:t>Providing guidance to the researcher about specific clarifying information to provide and how to do so (e.g., in the IRB application materials, a letter, conversation with IRB Chair or primary IRB reviewer, participation in convened IRB meeting)</w:t>
      </w:r>
    </w:p>
    <w:p w14:paraId="4D0871B3" w14:textId="7D1A9277" w:rsidR="00893A02" w:rsidRPr="002979A2" w:rsidRDefault="004F5E95" w:rsidP="00563AB2">
      <w:pPr>
        <w:pStyle w:val="NoSpacing"/>
        <w:numPr>
          <w:ilvl w:val="0"/>
          <w:numId w:val="49"/>
        </w:numPr>
        <w:ind w:left="2070"/>
        <w:rPr>
          <w:bCs/>
          <w:color w:val="auto"/>
          <w:sz w:val="22"/>
          <w:szCs w:val="22"/>
        </w:rPr>
      </w:pPr>
      <w:r>
        <w:rPr>
          <w:bCs/>
          <w:color w:val="auto"/>
          <w:sz w:val="22"/>
          <w:szCs w:val="22"/>
        </w:rPr>
        <w:t>Providing documented clarification to HSD staff/IRB members about some aspect of the research or relevant regulatory, compliance or legal issues</w:t>
      </w:r>
    </w:p>
    <w:p w14:paraId="58BC2319" w14:textId="3916B19E" w:rsidR="00046A2A" w:rsidRDefault="004F5E95" w:rsidP="00563AB2">
      <w:pPr>
        <w:pStyle w:val="NoSpacing"/>
        <w:numPr>
          <w:ilvl w:val="0"/>
          <w:numId w:val="49"/>
        </w:numPr>
        <w:ind w:left="2070"/>
        <w:rPr>
          <w:bCs/>
          <w:color w:val="auto"/>
          <w:sz w:val="22"/>
          <w:szCs w:val="22"/>
        </w:rPr>
      </w:pPr>
      <w:r>
        <w:rPr>
          <w:bCs/>
          <w:color w:val="auto"/>
          <w:sz w:val="22"/>
          <w:szCs w:val="22"/>
        </w:rPr>
        <w:t>Obtaining compliance guidance from the relevant UW compliance office, or state or national compliance entity such as the State of Washington IRB, FDA, or OHRP</w:t>
      </w:r>
    </w:p>
    <w:p w14:paraId="36A8BC1D" w14:textId="721FDD8E" w:rsidR="004F5E95" w:rsidRPr="004F5E95" w:rsidRDefault="004F5E95" w:rsidP="00563AB2">
      <w:pPr>
        <w:pStyle w:val="NoSpacing"/>
        <w:numPr>
          <w:ilvl w:val="0"/>
          <w:numId w:val="49"/>
        </w:numPr>
        <w:ind w:left="2070"/>
        <w:rPr>
          <w:bCs/>
          <w:color w:val="auto"/>
          <w:sz w:val="22"/>
          <w:szCs w:val="22"/>
        </w:rPr>
      </w:pPr>
      <w:r>
        <w:rPr>
          <w:bCs/>
          <w:color w:val="auto"/>
          <w:sz w:val="22"/>
          <w:szCs w:val="22"/>
        </w:rPr>
        <w:t xml:space="preserve">Providing a </w:t>
      </w:r>
      <w:r w:rsidR="00B06F15">
        <w:rPr>
          <w:bCs/>
          <w:color w:val="auto"/>
          <w:sz w:val="22"/>
          <w:szCs w:val="22"/>
        </w:rPr>
        <w:t xml:space="preserve">structured </w:t>
      </w:r>
      <w:r>
        <w:rPr>
          <w:bCs/>
          <w:color w:val="auto"/>
          <w:sz w:val="22"/>
          <w:szCs w:val="22"/>
        </w:rPr>
        <w:t xml:space="preserve">request to the IRB for re-review, </w:t>
      </w:r>
      <w:proofErr w:type="gramStart"/>
      <w:r w:rsidR="00B06F15">
        <w:rPr>
          <w:bCs/>
          <w:color w:val="auto"/>
          <w:sz w:val="22"/>
          <w:szCs w:val="22"/>
        </w:rPr>
        <w:t>including:</w:t>
      </w:r>
      <w:proofErr w:type="gramEnd"/>
      <w:r w:rsidR="00B06F15">
        <w:rPr>
          <w:bCs/>
          <w:color w:val="auto"/>
          <w:sz w:val="22"/>
          <w:szCs w:val="22"/>
        </w:rPr>
        <w:t xml:space="preserve"> </w:t>
      </w:r>
      <w:r>
        <w:rPr>
          <w:bCs/>
          <w:color w:val="auto"/>
          <w:sz w:val="22"/>
          <w:szCs w:val="22"/>
        </w:rPr>
        <w:t xml:space="preserve">specific issues to consider, relevant regulatory issues, </w:t>
      </w:r>
      <w:r w:rsidR="00B06F15">
        <w:rPr>
          <w:bCs/>
          <w:color w:val="auto"/>
          <w:sz w:val="22"/>
          <w:szCs w:val="22"/>
        </w:rPr>
        <w:t xml:space="preserve">and </w:t>
      </w:r>
      <w:r>
        <w:rPr>
          <w:bCs/>
          <w:color w:val="auto"/>
          <w:sz w:val="22"/>
          <w:szCs w:val="22"/>
        </w:rPr>
        <w:t xml:space="preserve">relevant information. </w:t>
      </w:r>
    </w:p>
    <w:p w14:paraId="6C635A82" w14:textId="09DA4E68" w:rsidR="00046A2A" w:rsidRDefault="00046A2A" w:rsidP="00563AB2">
      <w:pPr>
        <w:pStyle w:val="NoSpacing"/>
        <w:rPr>
          <w:bCs/>
          <w:color w:val="auto"/>
          <w:sz w:val="22"/>
          <w:szCs w:val="22"/>
        </w:rPr>
      </w:pPr>
    </w:p>
    <w:p w14:paraId="2D73A71E" w14:textId="109A7FF6" w:rsidR="00893A02" w:rsidRDefault="00046A2A" w:rsidP="00563AB2">
      <w:pPr>
        <w:pStyle w:val="NoSpacing"/>
        <w:ind w:left="810" w:hanging="450"/>
        <w:rPr>
          <w:bCs/>
          <w:color w:val="auto"/>
          <w:sz w:val="22"/>
          <w:szCs w:val="22"/>
        </w:rPr>
      </w:pPr>
      <w:r>
        <w:rPr>
          <w:bCs/>
          <w:color w:val="auto"/>
          <w:sz w:val="22"/>
          <w:szCs w:val="22"/>
        </w:rPr>
        <w:t>3.6</w:t>
      </w:r>
      <w:r>
        <w:rPr>
          <w:bCs/>
          <w:color w:val="auto"/>
          <w:sz w:val="22"/>
          <w:szCs w:val="22"/>
        </w:rPr>
        <w:tab/>
      </w:r>
      <w:r w:rsidR="00AA0007" w:rsidRPr="00893A02">
        <w:rPr>
          <w:b/>
          <w:color w:val="auto"/>
          <w:sz w:val="22"/>
          <w:szCs w:val="22"/>
        </w:rPr>
        <w:t>R</w:t>
      </w:r>
      <w:r w:rsidR="002E6E80" w:rsidRPr="00893A02">
        <w:rPr>
          <w:b/>
          <w:color w:val="auto"/>
          <w:sz w:val="22"/>
          <w:szCs w:val="22"/>
        </w:rPr>
        <w:t>esolution</w:t>
      </w:r>
    </w:p>
    <w:p w14:paraId="2F2EF4DE" w14:textId="77777777" w:rsidR="00893A02" w:rsidRDefault="00893A02" w:rsidP="00563AB2">
      <w:pPr>
        <w:pStyle w:val="NoSpacing"/>
        <w:ind w:left="810" w:hanging="450"/>
        <w:rPr>
          <w:bCs/>
          <w:color w:val="auto"/>
          <w:sz w:val="22"/>
          <w:szCs w:val="22"/>
        </w:rPr>
      </w:pPr>
    </w:p>
    <w:p w14:paraId="771995E5" w14:textId="70951957" w:rsidR="00893A02" w:rsidRDefault="00893A02" w:rsidP="00563AB2">
      <w:pPr>
        <w:pStyle w:val="NoSpacing"/>
        <w:ind w:left="1530" w:hanging="720"/>
        <w:rPr>
          <w:bCs/>
          <w:color w:val="auto"/>
          <w:sz w:val="22"/>
          <w:szCs w:val="22"/>
        </w:rPr>
      </w:pPr>
      <w:r>
        <w:rPr>
          <w:bCs/>
          <w:color w:val="auto"/>
          <w:sz w:val="22"/>
          <w:szCs w:val="22"/>
        </w:rPr>
        <w:t>3.6.1</w:t>
      </w:r>
      <w:r>
        <w:rPr>
          <w:bCs/>
          <w:color w:val="auto"/>
          <w:sz w:val="22"/>
          <w:szCs w:val="22"/>
        </w:rPr>
        <w:tab/>
      </w:r>
      <w:r w:rsidRPr="00893A02">
        <w:rPr>
          <w:b/>
          <w:color w:val="auto"/>
          <w:sz w:val="22"/>
          <w:szCs w:val="22"/>
        </w:rPr>
        <w:t>Communication</w:t>
      </w:r>
      <w:r>
        <w:rPr>
          <w:bCs/>
          <w:color w:val="auto"/>
          <w:sz w:val="22"/>
          <w:szCs w:val="22"/>
        </w:rPr>
        <w:t>. The Manager communicates the proposed resolution activities to the researcher and to relevant HSD/IRB member</w:t>
      </w:r>
      <w:r w:rsidR="002979A2">
        <w:rPr>
          <w:bCs/>
          <w:color w:val="auto"/>
          <w:sz w:val="22"/>
          <w:szCs w:val="22"/>
        </w:rPr>
        <w:t>s, for comment and possible refinement.</w:t>
      </w:r>
      <w:r>
        <w:rPr>
          <w:bCs/>
          <w:color w:val="auto"/>
          <w:sz w:val="22"/>
          <w:szCs w:val="22"/>
        </w:rPr>
        <w:t xml:space="preserve"> </w:t>
      </w:r>
    </w:p>
    <w:p w14:paraId="690B28EA" w14:textId="6C2D82CE" w:rsidR="00893A02" w:rsidRDefault="00893A02" w:rsidP="00563AB2">
      <w:pPr>
        <w:pStyle w:val="NoSpacing"/>
        <w:ind w:left="1530" w:hanging="720"/>
        <w:rPr>
          <w:bCs/>
          <w:color w:val="auto"/>
          <w:sz w:val="22"/>
          <w:szCs w:val="22"/>
        </w:rPr>
      </w:pPr>
    </w:p>
    <w:p w14:paraId="290004F6" w14:textId="693C097E" w:rsidR="00893A02" w:rsidRDefault="00893A02" w:rsidP="00563AB2">
      <w:pPr>
        <w:pStyle w:val="NoSpacing"/>
        <w:ind w:left="1530" w:hanging="720"/>
        <w:rPr>
          <w:bCs/>
          <w:color w:val="auto"/>
          <w:sz w:val="22"/>
          <w:szCs w:val="22"/>
        </w:rPr>
      </w:pPr>
      <w:r>
        <w:rPr>
          <w:bCs/>
          <w:color w:val="auto"/>
          <w:sz w:val="22"/>
          <w:szCs w:val="22"/>
        </w:rPr>
        <w:t>3.6.2</w:t>
      </w:r>
      <w:r>
        <w:rPr>
          <w:bCs/>
          <w:color w:val="auto"/>
          <w:sz w:val="22"/>
          <w:szCs w:val="22"/>
        </w:rPr>
        <w:tab/>
      </w:r>
      <w:r w:rsidRPr="00893A02">
        <w:rPr>
          <w:b/>
          <w:color w:val="auto"/>
          <w:sz w:val="22"/>
          <w:szCs w:val="22"/>
        </w:rPr>
        <w:t>Resolution activities</w:t>
      </w:r>
      <w:r>
        <w:rPr>
          <w:bCs/>
          <w:color w:val="auto"/>
          <w:sz w:val="22"/>
          <w:szCs w:val="22"/>
        </w:rPr>
        <w:t xml:space="preserve">. The resolution activities are conducted. </w:t>
      </w:r>
    </w:p>
    <w:p w14:paraId="49D5C828" w14:textId="296C8637" w:rsidR="00893A02" w:rsidRDefault="00893A02" w:rsidP="00563AB2">
      <w:pPr>
        <w:pStyle w:val="NoSpacing"/>
        <w:ind w:left="1530" w:hanging="720"/>
        <w:rPr>
          <w:bCs/>
          <w:color w:val="auto"/>
          <w:sz w:val="22"/>
          <w:szCs w:val="22"/>
        </w:rPr>
      </w:pPr>
    </w:p>
    <w:p w14:paraId="4365C419" w14:textId="6252D1FA" w:rsidR="00893A02" w:rsidRDefault="00893A02" w:rsidP="00563AB2">
      <w:pPr>
        <w:pStyle w:val="NoSpacing"/>
        <w:ind w:left="1530" w:hanging="720"/>
        <w:rPr>
          <w:bCs/>
          <w:color w:val="auto"/>
          <w:sz w:val="22"/>
          <w:szCs w:val="22"/>
        </w:rPr>
      </w:pPr>
      <w:r>
        <w:rPr>
          <w:bCs/>
          <w:color w:val="auto"/>
          <w:sz w:val="22"/>
          <w:szCs w:val="22"/>
        </w:rPr>
        <w:t>3.6.3</w:t>
      </w:r>
      <w:r>
        <w:rPr>
          <w:bCs/>
          <w:color w:val="auto"/>
          <w:sz w:val="22"/>
          <w:szCs w:val="22"/>
        </w:rPr>
        <w:tab/>
      </w:r>
      <w:r w:rsidR="00AF466A">
        <w:rPr>
          <w:b/>
          <w:color w:val="auto"/>
          <w:sz w:val="22"/>
          <w:szCs w:val="22"/>
        </w:rPr>
        <w:t>Formal r</w:t>
      </w:r>
      <w:r w:rsidRPr="00893A02">
        <w:rPr>
          <w:b/>
          <w:color w:val="auto"/>
          <w:sz w:val="22"/>
          <w:szCs w:val="22"/>
        </w:rPr>
        <w:t>e-consideration of the research</w:t>
      </w:r>
      <w:r w:rsidR="00AF466A">
        <w:rPr>
          <w:bCs/>
          <w:color w:val="auto"/>
          <w:sz w:val="22"/>
          <w:szCs w:val="22"/>
        </w:rPr>
        <w:t>.</w:t>
      </w:r>
    </w:p>
    <w:p w14:paraId="0A491C5C" w14:textId="488DB4B6" w:rsidR="00893A02" w:rsidRDefault="00893A02" w:rsidP="00563AB2">
      <w:pPr>
        <w:pStyle w:val="NoSpacing"/>
        <w:numPr>
          <w:ilvl w:val="0"/>
          <w:numId w:val="50"/>
        </w:numPr>
        <w:ind w:left="2070"/>
        <w:rPr>
          <w:bCs/>
          <w:color w:val="auto"/>
          <w:sz w:val="22"/>
          <w:szCs w:val="22"/>
        </w:rPr>
      </w:pPr>
      <w:r w:rsidRPr="00AF466A">
        <w:rPr>
          <w:bCs/>
          <w:color w:val="auto"/>
          <w:sz w:val="22"/>
          <w:szCs w:val="22"/>
          <w:u w:val="single"/>
        </w:rPr>
        <w:t>Appeal of an HSD determination</w:t>
      </w:r>
      <w:r>
        <w:rPr>
          <w:bCs/>
          <w:color w:val="auto"/>
          <w:sz w:val="22"/>
          <w:szCs w:val="22"/>
        </w:rPr>
        <w:t xml:space="preserve">. </w:t>
      </w:r>
      <w:r w:rsidR="00AF466A">
        <w:rPr>
          <w:bCs/>
          <w:color w:val="auto"/>
          <w:sz w:val="22"/>
          <w:szCs w:val="22"/>
        </w:rPr>
        <w:t xml:space="preserve">The </w:t>
      </w:r>
      <w:r w:rsidR="002979A2">
        <w:rPr>
          <w:bCs/>
          <w:color w:val="auto"/>
          <w:sz w:val="22"/>
          <w:szCs w:val="22"/>
        </w:rPr>
        <w:t>d</w:t>
      </w:r>
      <w:r w:rsidR="00AF466A">
        <w:rPr>
          <w:bCs/>
          <w:color w:val="auto"/>
          <w:sz w:val="22"/>
          <w:szCs w:val="22"/>
        </w:rPr>
        <w:t>etermination is re-considered by an appropriate HSD staff member.</w:t>
      </w:r>
    </w:p>
    <w:p w14:paraId="5746C676" w14:textId="71C88030" w:rsidR="00AF466A" w:rsidRDefault="00AF466A" w:rsidP="00563AB2">
      <w:pPr>
        <w:pStyle w:val="NoSpacing"/>
        <w:numPr>
          <w:ilvl w:val="0"/>
          <w:numId w:val="50"/>
        </w:numPr>
        <w:ind w:left="2070"/>
        <w:rPr>
          <w:bCs/>
          <w:color w:val="auto"/>
          <w:sz w:val="22"/>
          <w:szCs w:val="22"/>
        </w:rPr>
      </w:pPr>
      <w:r w:rsidRPr="00AF466A">
        <w:rPr>
          <w:bCs/>
          <w:color w:val="auto"/>
          <w:sz w:val="22"/>
          <w:szCs w:val="22"/>
          <w:u w:val="single"/>
        </w:rPr>
        <w:t>Appeal of IRB requirements or decision</w:t>
      </w:r>
      <w:r>
        <w:rPr>
          <w:bCs/>
          <w:color w:val="auto"/>
          <w:sz w:val="22"/>
          <w:szCs w:val="22"/>
        </w:rPr>
        <w:t xml:space="preserve">. </w:t>
      </w:r>
      <w:r w:rsidR="002979A2" w:rsidRPr="002979A2">
        <w:rPr>
          <w:bCs/>
          <w:i/>
          <w:iCs/>
          <w:color w:val="auto"/>
          <w:sz w:val="22"/>
          <w:szCs w:val="22"/>
        </w:rPr>
        <w:t>Research with expedited IRB review</w:t>
      </w:r>
      <w:r w:rsidR="002979A2">
        <w:rPr>
          <w:bCs/>
          <w:color w:val="auto"/>
          <w:sz w:val="22"/>
          <w:szCs w:val="22"/>
        </w:rPr>
        <w:t xml:space="preserve">: The original IRB reviewer re-considers the review. </w:t>
      </w:r>
      <w:r w:rsidR="002979A2" w:rsidRPr="002979A2">
        <w:rPr>
          <w:bCs/>
          <w:i/>
          <w:iCs/>
          <w:color w:val="auto"/>
          <w:sz w:val="22"/>
          <w:szCs w:val="22"/>
        </w:rPr>
        <w:t>Research with convened IRB review</w:t>
      </w:r>
      <w:r w:rsidR="002979A2">
        <w:rPr>
          <w:bCs/>
          <w:color w:val="auto"/>
          <w:sz w:val="22"/>
          <w:szCs w:val="22"/>
        </w:rPr>
        <w:t>: T</w:t>
      </w:r>
      <w:r>
        <w:rPr>
          <w:bCs/>
          <w:color w:val="auto"/>
          <w:sz w:val="22"/>
          <w:szCs w:val="22"/>
        </w:rPr>
        <w:t>he re-consideration is assigned to the original primary reviewer and to the IRB Chair</w:t>
      </w:r>
      <w:r w:rsidR="002979A2">
        <w:rPr>
          <w:bCs/>
          <w:color w:val="auto"/>
          <w:sz w:val="22"/>
          <w:szCs w:val="22"/>
        </w:rPr>
        <w:t xml:space="preserve"> (secondary</w:t>
      </w:r>
      <w:r>
        <w:rPr>
          <w:bCs/>
          <w:color w:val="auto"/>
          <w:sz w:val="22"/>
          <w:szCs w:val="22"/>
        </w:rPr>
        <w:t xml:space="preserve"> reviewer</w:t>
      </w:r>
      <w:r w:rsidR="002979A2">
        <w:rPr>
          <w:bCs/>
          <w:color w:val="auto"/>
          <w:sz w:val="22"/>
          <w:szCs w:val="22"/>
        </w:rPr>
        <w:t>)</w:t>
      </w:r>
      <w:r>
        <w:rPr>
          <w:bCs/>
          <w:color w:val="auto"/>
          <w:sz w:val="22"/>
          <w:szCs w:val="22"/>
        </w:rPr>
        <w:t xml:space="preserve">. They present the re-consideration and their recommendations to the full convened IRB. The re-consideration process is considered </w:t>
      </w:r>
      <w:r w:rsidR="007D0D33">
        <w:rPr>
          <w:bCs/>
          <w:color w:val="auto"/>
          <w:sz w:val="22"/>
          <w:szCs w:val="22"/>
        </w:rPr>
        <w:t xml:space="preserve">an IRB review and therefore follows the processes and requirements described in the </w:t>
      </w:r>
      <w:r w:rsidR="007D0D33" w:rsidRPr="007D0D33">
        <w:rPr>
          <w:b/>
          <w:color w:val="auto"/>
          <w:sz w:val="22"/>
          <w:szCs w:val="22"/>
        </w:rPr>
        <w:t>SOP IRB Review</w:t>
      </w:r>
      <w:r w:rsidR="007D0D33">
        <w:rPr>
          <w:bCs/>
          <w:color w:val="auto"/>
          <w:sz w:val="22"/>
          <w:szCs w:val="22"/>
        </w:rPr>
        <w:t xml:space="preserve">. </w:t>
      </w:r>
    </w:p>
    <w:p w14:paraId="3ADCD757" w14:textId="4E607C76" w:rsidR="00AF466A" w:rsidRDefault="00AF466A" w:rsidP="00563AB2">
      <w:pPr>
        <w:pStyle w:val="NoSpacing"/>
        <w:numPr>
          <w:ilvl w:val="0"/>
          <w:numId w:val="50"/>
        </w:numPr>
        <w:ind w:left="2070"/>
        <w:rPr>
          <w:bCs/>
          <w:color w:val="auto"/>
          <w:sz w:val="22"/>
          <w:szCs w:val="22"/>
        </w:rPr>
      </w:pPr>
      <w:r>
        <w:rPr>
          <w:bCs/>
          <w:color w:val="auto"/>
          <w:sz w:val="22"/>
          <w:szCs w:val="22"/>
          <w:u w:val="single"/>
        </w:rPr>
        <w:t>Possible outcomes</w:t>
      </w:r>
      <w:r>
        <w:rPr>
          <w:bCs/>
          <w:color w:val="auto"/>
          <w:sz w:val="22"/>
          <w:szCs w:val="22"/>
        </w:rPr>
        <w:t xml:space="preserve"> are (1) approve the appeal and revise the </w:t>
      </w:r>
      <w:r w:rsidR="007D0D33">
        <w:rPr>
          <w:bCs/>
          <w:color w:val="auto"/>
          <w:sz w:val="22"/>
          <w:szCs w:val="22"/>
        </w:rPr>
        <w:t xml:space="preserve">original </w:t>
      </w:r>
      <w:r>
        <w:rPr>
          <w:bCs/>
          <w:color w:val="auto"/>
          <w:sz w:val="22"/>
          <w:szCs w:val="22"/>
        </w:rPr>
        <w:t>determination or decision; or (2) deny the appeal and uphold the original determination or decision.</w:t>
      </w:r>
    </w:p>
    <w:p w14:paraId="017067F4" w14:textId="1604E72B" w:rsidR="002E6E80" w:rsidRDefault="002E6E80" w:rsidP="00563AB2">
      <w:pPr>
        <w:pStyle w:val="NoSpacing"/>
        <w:rPr>
          <w:bCs/>
          <w:color w:val="auto"/>
          <w:sz w:val="22"/>
          <w:szCs w:val="22"/>
        </w:rPr>
      </w:pPr>
    </w:p>
    <w:p w14:paraId="2DC95A22" w14:textId="1430565D" w:rsidR="002E6E80" w:rsidRPr="0027658B" w:rsidRDefault="00893A02" w:rsidP="00563AB2">
      <w:pPr>
        <w:pStyle w:val="NoSpacing"/>
        <w:ind w:left="810" w:hanging="450"/>
        <w:rPr>
          <w:bCs/>
          <w:color w:val="auto"/>
          <w:sz w:val="22"/>
          <w:szCs w:val="22"/>
        </w:rPr>
      </w:pPr>
      <w:r>
        <w:rPr>
          <w:bCs/>
          <w:color w:val="auto"/>
          <w:sz w:val="22"/>
          <w:szCs w:val="22"/>
        </w:rPr>
        <w:t>3.7</w:t>
      </w:r>
      <w:r>
        <w:rPr>
          <w:bCs/>
          <w:color w:val="auto"/>
          <w:sz w:val="22"/>
          <w:szCs w:val="22"/>
        </w:rPr>
        <w:tab/>
      </w:r>
      <w:r w:rsidRPr="007D0D33">
        <w:rPr>
          <w:b/>
          <w:color w:val="auto"/>
          <w:sz w:val="22"/>
          <w:szCs w:val="22"/>
        </w:rPr>
        <w:t>Communication</w:t>
      </w:r>
      <w:r w:rsidR="007D0D33" w:rsidRPr="007D0D33">
        <w:rPr>
          <w:b/>
          <w:color w:val="auto"/>
          <w:sz w:val="22"/>
          <w:szCs w:val="22"/>
        </w:rPr>
        <w:t xml:space="preserve"> of the outcome</w:t>
      </w:r>
      <w:r w:rsidR="007D0D33">
        <w:rPr>
          <w:bCs/>
          <w:color w:val="auto"/>
          <w:sz w:val="22"/>
          <w:szCs w:val="22"/>
        </w:rPr>
        <w:t xml:space="preserve">. The outcome is communicated to the researcher by an email or phone call from the HSD Manager.  In addition, the standard procedures for HSD and IRB communication of determination and IRB review outcomes are followed (e.g., a formal letter). </w:t>
      </w:r>
    </w:p>
    <w:p w14:paraId="59AAE98F" w14:textId="1D6DE9F4" w:rsidR="00142909" w:rsidRPr="00B00AFA" w:rsidRDefault="00EB7601" w:rsidP="00563AB2">
      <w:pPr>
        <w:pStyle w:val="NoSpacing"/>
        <w:tabs>
          <w:tab w:val="left" w:pos="360"/>
          <w:tab w:val="left" w:pos="720"/>
        </w:tabs>
        <w:ind w:left="720" w:hanging="720"/>
        <w:rPr>
          <w:color w:val="auto"/>
          <w:sz w:val="22"/>
          <w:szCs w:val="22"/>
        </w:rPr>
      </w:pPr>
      <w:r>
        <w:rPr>
          <w:bCs/>
          <w:color w:val="auto"/>
          <w:sz w:val="22"/>
          <w:szCs w:val="22"/>
        </w:rPr>
        <w:t xml:space="preserve"> </w:t>
      </w:r>
      <w:r w:rsidR="00325E3A">
        <w:rPr>
          <w:bCs/>
          <w:color w:val="auto"/>
          <w:sz w:val="22"/>
          <w:szCs w:val="22"/>
        </w:rPr>
        <w:tab/>
      </w:r>
    </w:p>
    <w:p w14:paraId="0CCEF76E" w14:textId="7FA9DAE7" w:rsidR="00142909" w:rsidRDefault="00142909" w:rsidP="00142909">
      <w:pPr>
        <w:pStyle w:val="NoSpacing"/>
        <w:ind w:left="360" w:hanging="360"/>
        <w:outlineLvl w:val="0"/>
        <w:rPr>
          <w:b/>
          <w:color w:val="auto"/>
          <w:sz w:val="22"/>
          <w:szCs w:val="22"/>
        </w:rPr>
      </w:pPr>
      <w:r w:rsidRPr="00CD274A">
        <w:rPr>
          <w:b/>
          <w:color w:val="auto"/>
          <w:sz w:val="22"/>
          <w:szCs w:val="22"/>
        </w:rPr>
        <w:t xml:space="preserve">4 </w:t>
      </w:r>
      <w:r w:rsidRPr="00CD274A">
        <w:rPr>
          <w:b/>
          <w:color w:val="auto"/>
          <w:sz w:val="22"/>
          <w:szCs w:val="22"/>
        </w:rPr>
        <w:tab/>
        <w:t>RELATED MATERIALS</w:t>
      </w:r>
    </w:p>
    <w:p w14:paraId="7AF700B0" w14:textId="77777777" w:rsidR="00142909" w:rsidRDefault="00142909" w:rsidP="00563AB2">
      <w:pPr>
        <w:pStyle w:val="NoSpacing"/>
        <w:ind w:left="360" w:hanging="360"/>
        <w:rPr>
          <w:color w:val="auto"/>
          <w:sz w:val="22"/>
          <w:szCs w:val="22"/>
        </w:rPr>
      </w:pPr>
    </w:p>
    <w:p w14:paraId="03875D36" w14:textId="7EAF8F96" w:rsidR="00ED134C" w:rsidRPr="0005719D" w:rsidRDefault="0005719D" w:rsidP="00563AB2">
      <w:pPr>
        <w:pStyle w:val="NoSpacing"/>
        <w:tabs>
          <w:tab w:val="left" w:pos="360"/>
        </w:tabs>
        <w:rPr>
          <w:color w:val="auto"/>
          <w:sz w:val="22"/>
          <w:szCs w:val="22"/>
        </w:rPr>
      </w:pPr>
      <w:r>
        <w:rPr>
          <w:color w:val="auto"/>
          <w:sz w:val="22"/>
          <w:szCs w:val="22"/>
        </w:rPr>
        <w:tab/>
      </w:r>
      <w:r w:rsidR="00975B6F">
        <w:rPr>
          <w:color w:val="auto"/>
          <w:sz w:val="22"/>
          <w:szCs w:val="22"/>
        </w:rPr>
        <w:t>4.1</w:t>
      </w:r>
      <w:r w:rsidR="00975B6F">
        <w:rPr>
          <w:color w:val="auto"/>
          <w:sz w:val="22"/>
          <w:szCs w:val="22"/>
        </w:rPr>
        <w:tab/>
      </w:r>
      <w:hyperlink r:id="rId13" w:history="1">
        <w:r w:rsidRPr="004D28F0">
          <w:rPr>
            <w:rStyle w:val="Hyperlink"/>
            <w:sz w:val="22"/>
            <w:szCs w:val="22"/>
          </w:rPr>
          <w:t>SOP IRB Review</w:t>
        </w:r>
      </w:hyperlink>
    </w:p>
    <w:p w14:paraId="2ADF0298" w14:textId="01B1F663" w:rsidR="00142909" w:rsidRDefault="00142909" w:rsidP="00563AB2">
      <w:pPr>
        <w:pStyle w:val="NoSpacing"/>
        <w:rPr>
          <w:color w:val="auto"/>
          <w:sz w:val="22"/>
          <w:szCs w:val="22"/>
        </w:rPr>
      </w:pPr>
    </w:p>
    <w:p w14:paraId="0BF4E613" w14:textId="375DC6B6" w:rsidR="00142909" w:rsidRDefault="00142909" w:rsidP="00CC0108">
      <w:pPr>
        <w:pStyle w:val="NoSpacing"/>
        <w:spacing w:after="120"/>
        <w:ind w:left="360" w:hanging="360"/>
        <w:outlineLvl w:val="0"/>
        <w:rPr>
          <w:color w:val="auto"/>
          <w:sz w:val="22"/>
          <w:szCs w:val="22"/>
        </w:rPr>
      </w:pPr>
      <w:r w:rsidRPr="1301FCCD">
        <w:rPr>
          <w:b/>
          <w:bCs/>
          <w:color w:val="auto"/>
          <w:sz w:val="22"/>
          <w:szCs w:val="22"/>
        </w:rPr>
        <w:t xml:space="preserve">5 </w:t>
      </w:r>
      <w:r w:rsidRPr="00CD274A">
        <w:rPr>
          <w:b/>
          <w:color w:val="auto"/>
          <w:sz w:val="22"/>
          <w:szCs w:val="22"/>
        </w:rPr>
        <w:tab/>
      </w:r>
      <w:r w:rsidRPr="1301FCCD">
        <w:rPr>
          <w:b/>
          <w:bCs/>
          <w:color w:val="auto"/>
          <w:sz w:val="22"/>
          <w:szCs w:val="22"/>
        </w:rPr>
        <w:t>REGULATORY REFERENCES</w:t>
      </w:r>
      <w:r w:rsidR="000406B3" w:rsidRPr="1301FCCD">
        <w:rPr>
          <w:b/>
          <w:bCs/>
          <w:color w:val="auto"/>
          <w:sz w:val="22"/>
          <w:szCs w:val="22"/>
        </w:rPr>
        <w:t xml:space="preserve"> </w:t>
      </w:r>
    </w:p>
    <w:p w14:paraId="645DB305" w14:textId="4DC9EBE2" w:rsidR="00FF4CF1" w:rsidRPr="00FF4CF1" w:rsidRDefault="00E61BF6" w:rsidP="00563AB2">
      <w:pPr>
        <w:pStyle w:val="NoSpacing"/>
        <w:ind w:left="360" w:hanging="360"/>
        <w:rPr>
          <w:color w:val="auto"/>
          <w:sz w:val="22"/>
          <w:szCs w:val="22"/>
        </w:rPr>
      </w:pPr>
      <w:r w:rsidRPr="00FF4CF1">
        <w:rPr>
          <w:b/>
          <w:bCs/>
          <w:color w:val="auto"/>
          <w:sz w:val="22"/>
          <w:szCs w:val="22"/>
        </w:rPr>
        <w:tab/>
      </w:r>
      <w:r w:rsidR="005E3BD1" w:rsidRPr="005E3BD1">
        <w:rPr>
          <w:color w:val="auto"/>
          <w:sz w:val="22"/>
          <w:szCs w:val="22"/>
        </w:rPr>
        <w:t>5.1</w:t>
      </w:r>
      <w:r w:rsidR="005E3BD1">
        <w:rPr>
          <w:b/>
          <w:bCs/>
          <w:color w:val="auto"/>
          <w:sz w:val="22"/>
          <w:szCs w:val="22"/>
        </w:rPr>
        <w:tab/>
      </w:r>
      <w:r w:rsidRPr="00FF4CF1">
        <w:rPr>
          <w:color w:val="auto"/>
          <w:sz w:val="22"/>
          <w:szCs w:val="22"/>
        </w:rPr>
        <w:t>45 CFR 46.1</w:t>
      </w:r>
      <w:r w:rsidR="00332191" w:rsidRPr="00FF4CF1">
        <w:rPr>
          <w:color w:val="auto"/>
          <w:sz w:val="22"/>
          <w:szCs w:val="22"/>
        </w:rPr>
        <w:t>1</w:t>
      </w:r>
      <w:r w:rsidRPr="00FF4CF1">
        <w:rPr>
          <w:color w:val="auto"/>
          <w:sz w:val="22"/>
          <w:szCs w:val="22"/>
        </w:rPr>
        <w:t>2</w:t>
      </w:r>
      <w:r w:rsidR="000F0028">
        <w:rPr>
          <w:color w:val="auto"/>
          <w:sz w:val="22"/>
          <w:szCs w:val="22"/>
        </w:rPr>
        <w:t xml:space="preserve"> </w:t>
      </w:r>
      <w:r w:rsidR="000F0028" w:rsidRPr="00FF4CF1">
        <w:rPr>
          <w:color w:val="auto"/>
          <w:sz w:val="22"/>
          <w:szCs w:val="22"/>
        </w:rPr>
        <w:t>[pre-2018 &amp; 2018 requirements]</w:t>
      </w:r>
    </w:p>
    <w:p w14:paraId="744846E3" w14:textId="731A6E45" w:rsidR="00FF4CF1" w:rsidRDefault="005E3BD1" w:rsidP="00563AB2">
      <w:pPr>
        <w:pStyle w:val="NoSpacing"/>
        <w:spacing w:after="120"/>
        <w:ind w:left="360"/>
        <w:rPr>
          <w:color w:val="auto"/>
          <w:sz w:val="22"/>
          <w:szCs w:val="22"/>
        </w:rPr>
      </w:pPr>
      <w:r>
        <w:rPr>
          <w:color w:val="auto"/>
          <w:sz w:val="22"/>
          <w:szCs w:val="22"/>
        </w:rPr>
        <w:t>5.2</w:t>
      </w:r>
      <w:r>
        <w:rPr>
          <w:color w:val="auto"/>
          <w:sz w:val="22"/>
          <w:szCs w:val="22"/>
        </w:rPr>
        <w:tab/>
      </w:r>
      <w:r w:rsidR="00E61BF6" w:rsidRPr="00FF4CF1">
        <w:rPr>
          <w:color w:val="auto"/>
          <w:sz w:val="22"/>
          <w:szCs w:val="22"/>
        </w:rPr>
        <w:t>21 CFR 56.112</w:t>
      </w:r>
    </w:p>
    <w:p w14:paraId="1AF54CEA" w14:textId="77777777" w:rsidR="00563AB2" w:rsidRPr="00FF4CF1" w:rsidRDefault="00563AB2" w:rsidP="00563AB2">
      <w:pPr>
        <w:pStyle w:val="NoSpacing"/>
        <w:spacing w:after="120"/>
        <w:ind w:left="36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287"/>
        <w:gridCol w:w="1593"/>
        <w:gridCol w:w="1890"/>
        <w:gridCol w:w="5400"/>
      </w:tblGrid>
      <w:tr w:rsidR="00B9263B" w:rsidRPr="00ED134C" w14:paraId="237E37BD" w14:textId="77777777" w:rsidTr="00B06F15">
        <w:trPr>
          <w:trHeight w:val="233"/>
        </w:trPr>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6C802FC0">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Posted Date</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563AB2" w:rsidRPr="00D26748" w14:paraId="40AE6F2D" w14:textId="77777777" w:rsidTr="00B06F15">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66DD7" w14:textId="7765B863" w:rsidR="00563AB2" w:rsidRDefault="00563AB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2.1</w:t>
            </w: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40864F" w14:textId="3367E8D3" w:rsidR="00563AB2" w:rsidRDefault="00563AB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D36D4" w14:textId="7F408BF5" w:rsidR="00563AB2" w:rsidRDefault="00563AB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02/13/2026</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D2A58" w14:textId="1E772468" w:rsidR="00563AB2" w:rsidRDefault="00563AB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Updates for accessibility</w:t>
            </w:r>
          </w:p>
        </w:tc>
      </w:tr>
      <w:tr w:rsidR="00B9263B" w:rsidRPr="00D26748" w14:paraId="03CF7C0D" w14:textId="77777777" w:rsidTr="00B06F15">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D063B" w14:textId="783C00E7" w:rsidR="00B9263B" w:rsidRPr="00543DD2" w:rsidRDefault="00763FB9"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2.0</w:t>
            </w: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498" w14:textId="7569692F" w:rsidR="00B9263B" w:rsidRDefault="00763FB9"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FE713" w14:textId="7F64D7F7" w:rsidR="00B9263B" w:rsidRPr="00543DD2" w:rsidRDefault="00763FB9"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06/26/2020</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0865E" w14:textId="45850012" w:rsidR="00B9263B" w:rsidRPr="00543DD2" w:rsidRDefault="00763FB9"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Significant reorganization</w:t>
            </w:r>
            <w:r w:rsidR="00DF2598">
              <w:rPr>
                <w:rFonts w:ascii="Calibri" w:eastAsiaTheme="majorEastAsia" w:hAnsi="Calibri" w:cstheme="majorBidi"/>
                <w:color w:val="auto"/>
                <w:sz w:val="22"/>
                <w:szCs w:val="26"/>
              </w:rPr>
              <w:t>;</w:t>
            </w:r>
            <w:r w:rsidR="00DA4565">
              <w:rPr>
                <w:rFonts w:ascii="Calibri" w:eastAsiaTheme="majorEastAsia" w:hAnsi="Calibri" w:cstheme="majorBidi"/>
                <w:color w:val="auto"/>
                <w:sz w:val="22"/>
                <w:szCs w:val="26"/>
              </w:rPr>
              <w:t xml:space="preserve"> </w:t>
            </w:r>
            <w:r w:rsidR="00D44A86">
              <w:rPr>
                <w:rFonts w:ascii="Calibri" w:eastAsiaTheme="majorEastAsia" w:hAnsi="Calibri" w:cstheme="majorBidi"/>
                <w:color w:val="auto"/>
                <w:sz w:val="22"/>
                <w:szCs w:val="26"/>
              </w:rPr>
              <w:t>update to describe current pr</w:t>
            </w:r>
            <w:r w:rsidR="00DA4565">
              <w:rPr>
                <w:rFonts w:ascii="Calibri" w:eastAsiaTheme="majorEastAsia" w:hAnsi="Calibri" w:cstheme="majorBidi"/>
                <w:color w:val="auto"/>
                <w:sz w:val="22"/>
                <w:szCs w:val="26"/>
              </w:rPr>
              <w:t>ocedure</w:t>
            </w:r>
            <w:r w:rsidR="00D44A86">
              <w:rPr>
                <w:rFonts w:ascii="Calibri" w:eastAsiaTheme="majorEastAsia" w:hAnsi="Calibri" w:cstheme="majorBidi"/>
                <w:color w:val="auto"/>
                <w:sz w:val="22"/>
                <w:szCs w:val="26"/>
              </w:rPr>
              <w:t xml:space="preserve">; move to </w:t>
            </w:r>
            <w:r>
              <w:rPr>
                <w:rFonts w:ascii="Calibri" w:eastAsiaTheme="majorEastAsia" w:hAnsi="Calibri" w:cstheme="majorBidi"/>
                <w:color w:val="auto"/>
                <w:sz w:val="22"/>
                <w:szCs w:val="26"/>
              </w:rPr>
              <w:t xml:space="preserve">current </w:t>
            </w:r>
            <w:r w:rsidR="00DF2598">
              <w:rPr>
                <w:rFonts w:ascii="Calibri" w:eastAsiaTheme="majorEastAsia" w:hAnsi="Calibri" w:cstheme="majorBidi"/>
                <w:color w:val="auto"/>
                <w:sz w:val="22"/>
                <w:szCs w:val="26"/>
              </w:rPr>
              <w:t>template</w:t>
            </w:r>
          </w:p>
        </w:tc>
      </w:tr>
      <w:tr w:rsidR="00B9263B" w:rsidRPr="00D26748" w14:paraId="5E989F9C" w14:textId="77777777" w:rsidTr="00B06F15">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69F2B" w14:textId="5C6CB44B" w:rsidR="00B9263B" w:rsidRPr="00135B00" w:rsidRDefault="00763FB9"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1.6</w:t>
            </w: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010C" w14:textId="41559915" w:rsidR="00B9263B" w:rsidRPr="00135B00" w:rsidRDefault="00763FB9"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08/09/2013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60DB0" w14:textId="272FFE8D" w:rsidR="00B9263B" w:rsidRPr="00135B00" w:rsidRDefault="00763FB9"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08/09/2013</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7FB19" w14:textId="15C197CA" w:rsidR="00B9263B" w:rsidRPr="00135B00" w:rsidRDefault="00DF2598" w:rsidP="00835027">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Significant reorganization; move to current template</w:t>
            </w:r>
          </w:p>
        </w:tc>
      </w:tr>
      <w:tr w:rsidR="00DF2598" w:rsidRPr="00D26748" w14:paraId="55CF002D" w14:textId="77777777" w:rsidTr="00B06F15">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55F26" w14:textId="77777777" w:rsidR="00DF2598" w:rsidRDefault="00DF2598" w:rsidP="00135B00">
            <w:pPr>
              <w:pStyle w:val="NoSpacing"/>
              <w:jc w:val="center"/>
              <w:rPr>
                <w:rFonts w:ascii="Calibri" w:eastAsiaTheme="majorEastAsia" w:hAnsi="Calibri" w:cstheme="majorBidi"/>
                <w:color w:val="000000" w:themeColor="text1"/>
                <w:sz w:val="22"/>
                <w:szCs w:val="26"/>
              </w:rPr>
            </w:pP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F252" w14:textId="77777777" w:rsidR="00DF2598" w:rsidRDefault="00DF2598" w:rsidP="00135B00">
            <w:pPr>
              <w:pStyle w:val="NoSpacing"/>
              <w:jc w:val="center"/>
              <w:rPr>
                <w:rFonts w:ascii="Calibri" w:eastAsiaTheme="majorEastAsia" w:hAnsi="Calibri" w:cstheme="majorBidi"/>
                <w:color w:val="000000" w:themeColor="text1"/>
                <w:sz w:val="22"/>
                <w:szCs w:val="26"/>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0127F" w14:textId="77777777" w:rsidR="00DF2598" w:rsidRDefault="00DF2598" w:rsidP="00135B00">
            <w:pPr>
              <w:pStyle w:val="NoSpacing"/>
              <w:jc w:val="center"/>
              <w:rPr>
                <w:rFonts w:ascii="Calibri" w:eastAsiaTheme="majorEastAsia" w:hAnsi="Calibri" w:cstheme="majorBidi"/>
                <w:color w:val="000000" w:themeColor="text1"/>
                <w:sz w:val="22"/>
                <w:szCs w:val="26"/>
              </w:rPr>
            </w:pP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282C1" w14:textId="0A1E5A96" w:rsidR="00DF2598" w:rsidRDefault="006E563F" w:rsidP="00835027">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[Changes not recorded v</w:t>
            </w:r>
            <w:r w:rsidR="00DF2598">
              <w:rPr>
                <w:rFonts w:ascii="Calibri" w:eastAsiaTheme="majorEastAsia" w:hAnsi="Calibri" w:cstheme="majorBidi"/>
                <w:color w:val="000000" w:themeColor="text1"/>
                <w:sz w:val="22"/>
                <w:szCs w:val="26"/>
              </w:rPr>
              <w:t xml:space="preserve">1.1 </w:t>
            </w:r>
            <w:r>
              <w:rPr>
                <w:rFonts w:ascii="Calibri" w:eastAsiaTheme="majorEastAsia" w:hAnsi="Calibri" w:cstheme="majorBidi"/>
                <w:color w:val="000000" w:themeColor="text1"/>
                <w:sz w:val="22"/>
                <w:szCs w:val="26"/>
              </w:rPr>
              <w:t>through</w:t>
            </w:r>
            <w:r w:rsidR="00DF2598">
              <w:rPr>
                <w:rFonts w:ascii="Calibri" w:eastAsiaTheme="majorEastAsia" w:hAnsi="Calibri" w:cstheme="majorBidi"/>
                <w:color w:val="000000" w:themeColor="text1"/>
                <w:sz w:val="22"/>
                <w:szCs w:val="26"/>
              </w:rPr>
              <w:t xml:space="preserve"> </w:t>
            </w:r>
            <w:r>
              <w:rPr>
                <w:rFonts w:ascii="Calibri" w:eastAsiaTheme="majorEastAsia" w:hAnsi="Calibri" w:cstheme="majorBidi"/>
                <w:color w:val="000000" w:themeColor="text1"/>
                <w:sz w:val="22"/>
                <w:szCs w:val="26"/>
              </w:rPr>
              <w:t>v</w:t>
            </w:r>
            <w:r w:rsidR="00DF2598">
              <w:rPr>
                <w:rFonts w:ascii="Calibri" w:eastAsiaTheme="majorEastAsia" w:hAnsi="Calibri" w:cstheme="majorBidi"/>
                <w:color w:val="000000" w:themeColor="text1"/>
                <w:sz w:val="22"/>
                <w:szCs w:val="26"/>
              </w:rPr>
              <w:t>1.5</w:t>
            </w:r>
            <w:r>
              <w:rPr>
                <w:rFonts w:ascii="Calibri" w:eastAsiaTheme="majorEastAsia" w:hAnsi="Calibri" w:cstheme="majorBidi"/>
                <w:color w:val="000000" w:themeColor="text1"/>
                <w:sz w:val="22"/>
                <w:szCs w:val="26"/>
              </w:rPr>
              <w:t>]</w:t>
            </w:r>
          </w:p>
        </w:tc>
      </w:tr>
      <w:tr w:rsidR="00DF2598" w:rsidRPr="00D26748" w14:paraId="658BFC49" w14:textId="77777777" w:rsidTr="00B06F15">
        <w:tc>
          <w:tcPr>
            <w:tcW w:w="1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1B14B" w14:textId="2DE5AE9B" w:rsidR="00DF2598" w:rsidRDefault="00DF2598"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1.0</w:t>
            </w:r>
          </w:p>
        </w:tc>
        <w:tc>
          <w:tcPr>
            <w:tcW w:w="1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B4523" w14:textId="7C0EAC81" w:rsidR="00DF2598" w:rsidRDefault="00DF2598"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01/28/2011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84713" w14:textId="76C368FC" w:rsidR="00DF2598" w:rsidRDefault="00DF2598" w:rsidP="00135B00">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01/28/2011</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2B8B4E" w14:textId="4BFFCFA0" w:rsidR="00DF2598" w:rsidRPr="00135B00" w:rsidRDefault="00DF2598" w:rsidP="00835027">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Document newly created</w:t>
            </w:r>
          </w:p>
        </w:tc>
      </w:tr>
    </w:tbl>
    <w:p w14:paraId="202FFFFD" w14:textId="731BBF9C" w:rsidR="00B9263B" w:rsidRPr="007D5EA3" w:rsidRDefault="007D5EA3" w:rsidP="008901FF">
      <w:pPr>
        <w:tabs>
          <w:tab w:val="left" w:pos="8762"/>
        </w:tabs>
        <w:rPr>
          <w:sz w:val="18"/>
          <w:szCs w:val="18"/>
        </w:rPr>
      </w:pPr>
      <w:r>
        <w:rPr>
          <w:b/>
          <w:bCs/>
          <w:sz w:val="18"/>
          <w:szCs w:val="18"/>
        </w:rPr>
        <w:t xml:space="preserve">Key Words: </w:t>
      </w:r>
      <w:r>
        <w:rPr>
          <w:sz w:val="18"/>
          <w:szCs w:val="18"/>
        </w:rPr>
        <w:t>IRB review</w:t>
      </w:r>
    </w:p>
    <w:sectPr w:rsidR="00B9263B" w:rsidRPr="007D5EA3" w:rsidSect="008901FF">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962A" w14:textId="77777777" w:rsidR="006D1A04" w:rsidRDefault="006D1A04" w:rsidP="00BC532C">
      <w:pPr>
        <w:spacing w:after="0" w:line="240" w:lineRule="auto"/>
      </w:pPr>
      <w:r>
        <w:separator/>
      </w:r>
    </w:p>
  </w:endnote>
  <w:endnote w:type="continuationSeparator" w:id="0">
    <w:p w14:paraId="1563EBF8" w14:textId="77777777" w:rsidR="006D1A04" w:rsidRDefault="006D1A04" w:rsidP="00BC532C">
      <w:pPr>
        <w:spacing w:after="0" w:line="240" w:lineRule="auto"/>
      </w:pPr>
      <w:r>
        <w:continuationSeparator/>
      </w:r>
    </w:p>
  </w:endnote>
  <w:endnote w:type="continuationNotice" w:id="1">
    <w:p w14:paraId="48623A50" w14:textId="77777777" w:rsidR="006D1A04" w:rsidRDefault="006D1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9CBF" w14:textId="2EE1AB0E" w:rsidR="00334740" w:rsidRDefault="00334740" w:rsidP="00334740">
    <w:pPr>
      <w:pStyle w:val="Footer"/>
      <w:tabs>
        <w:tab w:val="clear" w:pos="4680"/>
        <w:tab w:val="clear" w:pos="9360"/>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02.13.2026</w:t>
    </w:r>
  </w:p>
  <w:p w14:paraId="6AE31D22" w14:textId="02683A45" w:rsidR="00334740" w:rsidRDefault="00334740" w:rsidP="00334740">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Appeal of IRB or HSD Determination</w:t>
    </w:r>
  </w:p>
  <w:p w14:paraId="25E181B6" w14:textId="299A8E7E" w:rsidR="00334740" w:rsidRDefault="00334740" w:rsidP="00334740">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2.1</w:t>
    </w:r>
  </w:p>
  <w:p w14:paraId="05BB0CB6" w14:textId="5AE43AA1" w:rsidR="00925C4A" w:rsidRPr="00334740" w:rsidRDefault="00334740" w:rsidP="00334740">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9880" w14:textId="77777777" w:rsidR="006D1A04" w:rsidRDefault="006D1A04" w:rsidP="00BC532C">
      <w:pPr>
        <w:spacing w:after="0" w:line="240" w:lineRule="auto"/>
      </w:pPr>
      <w:r>
        <w:separator/>
      </w:r>
    </w:p>
  </w:footnote>
  <w:footnote w:type="continuationSeparator" w:id="0">
    <w:p w14:paraId="3BED3736" w14:textId="77777777" w:rsidR="006D1A04" w:rsidRDefault="006D1A04" w:rsidP="00BC532C">
      <w:pPr>
        <w:spacing w:after="0" w:line="240" w:lineRule="auto"/>
      </w:pPr>
      <w:r>
        <w:continuationSeparator/>
      </w:r>
    </w:p>
  </w:footnote>
  <w:footnote w:type="continuationNotice" w:id="1">
    <w:p w14:paraId="467A893E" w14:textId="77777777" w:rsidR="006D1A04" w:rsidRDefault="006D1A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3C12"/>
    <w:multiLevelType w:val="hybridMultilevel"/>
    <w:tmpl w:val="78EC83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4D36"/>
    <w:multiLevelType w:val="hybridMultilevel"/>
    <w:tmpl w:val="BF582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4435C"/>
    <w:multiLevelType w:val="hybridMultilevel"/>
    <w:tmpl w:val="F2B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56881"/>
    <w:multiLevelType w:val="hybridMultilevel"/>
    <w:tmpl w:val="E0FE0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B231D"/>
    <w:multiLevelType w:val="hybridMultilevel"/>
    <w:tmpl w:val="A2A085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A7C4E"/>
    <w:multiLevelType w:val="hybridMultilevel"/>
    <w:tmpl w:val="8C529F26"/>
    <w:lvl w:ilvl="0" w:tplc="CCC2D868">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93D6C"/>
    <w:multiLevelType w:val="hybridMultilevel"/>
    <w:tmpl w:val="0BBEC54C"/>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2" w15:restartNumberingAfterBreak="0">
    <w:nsid w:val="4C034C8C"/>
    <w:multiLevelType w:val="hybridMultilevel"/>
    <w:tmpl w:val="EFC26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7560C"/>
    <w:multiLevelType w:val="hybridMultilevel"/>
    <w:tmpl w:val="A0207686"/>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35" w15:restartNumberingAfterBreak="0">
    <w:nsid w:val="5A924F23"/>
    <w:multiLevelType w:val="hybridMultilevel"/>
    <w:tmpl w:val="67EA02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E7914"/>
    <w:multiLevelType w:val="hybridMultilevel"/>
    <w:tmpl w:val="872297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6C8A"/>
    <w:multiLevelType w:val="hybridMultilevel"/>
    <w:tmpl w:val="4FAE5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A6B23"/>
    <w:multiLevelType w:val="hybridMultilevel"/>
    <w:tmpl w:val="DC06919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2548857">
    <w:abstractNumId w:val="22"/>
  </w:num>
  <w:num w:numId="2" w16cid:durableId="443235923">
    <w:abstractNumId w:val="20"/>
  </w:num>
  <w:num w:numId="3" w16cid:durableId="385224280">
    <w:abstractNumId w:val="44"/>
  </w:num>
  <w:num w:numId="4" w16cid:durableId="1716813142">
    <w:abstractNumId w:val="22"/>
  </w:num>
  <w:num w:numId="5" w16cid:durableId="789516975">
    <w:abstractNumId w:val="3"/>
  </w:num>
  <w:num w:numId="6" w16cid:durableId="1544053310">
    <w:abstractNumId w:val="9"/>
  </w:num>
  <w:num w:numId="7" w16cid:durableId="2051030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7576941">
    <w:abstractNumId w:val="9"/>
  </w:num>
  <w:num w:numId="9" w16cid:durableId="2061509933">
    <w:abstractNumId w:val="10"/>
  </w:num>
  <w:num w:numId="10" w16cid:durableId="303170212">
    <w:abstractNumId w:val="4"/>
  </w:num>
  <w:num w:numId="11" w16cid:durableId="277641483">
    <w:abstractNumId w:val="46"/>
  </w:num>
  <w:num w:numId="12" w16cid:durableId="224681098">
    <w:abstractNumId w:val="17"/>
  </w:num>
  <w:num w:numId="13" w16cid:durableId="1065956475">
    <w:abstractNumId w:val="39"/>
  </w:num>
  <w:num w:numId="14" w16cid:durableId="424762312">
    <w:abstractNumId w:val="11"/>
  </w:num>
  <w:num w:numId="15" w16cid:durableId="2060089995">
    <w:abstractNumId w:val="15"/>
  </w:num>
  <w:num w:numId="16" w16cid:durableId="545526613">
    <w:abstractNumId w:val="12"/>
  </w:num>
  <w:num w:numId="17" w16cid:durableId="343048150">
    <w:abstractNumId w:val="33"/>
  </w:num>
  <w:num w:numId="18" w16cid:durableId="496267071">
    <w:abstractNumId w:val="2"/>
  </w:num>
  <w:num w:numId="19" w16cid:durableId="1465078611">
    <w:abstractNumId w:val="1"/>
  </w:num>
  <w:num w:numId="20" w16cid:durableId="1912156003">
    <w:abstractNumId w:val="23"/>
  </w:num>
  <w:num w:numId="21" w16cid:durableId="1684942296">
    <w:abstractNumId w:val="36"/>
  </w:num>
  <w:num w:numId="22" w16cid:durableId="1487891746">
    <w:abstractNumId w:val="21"/>
  </w:num>
  <w:num w:numId="23" w16cid:durableId="39017967">
    <w:abstractNumId w:val="5"/>
  </w:num>
  <w:num w:numId="24" w16cid:durableId="868683167">
    <w:abstractNumId w:val="28"/>
  </w:num>
  <w:num w:numId="25" w16cid:durableId="56249045">
    <w:abstractNumId w:val="26"/>
  </w:num>
  <w:num w:numId="26" w16cid:durableId="407118764">
    <w:abstractNumId w:val="24"/>
  </w:num>
  <w:num w:numId="27" w16cid:durableId="1357658016">
    <w:abstractNumId w:val="18"/>
  </w:num>
  <w:num w:numId="28" w16cid:durableId="166987391">
    <w:abstractNumId w:val="40"/>
  </w:num>
  <w:num w:numId="29" w16cid:durableId="257906280">
    <w:abstractNumId w:val="37"/>
  </w:num>
  <w:num w:numId="30" w16cid:durableId="1926113802">
    <w:abstractNumId w:val="27"/>
  </w:num>
  <w:num w:numId="31" w16cid:durableId="1529294909">
    <w:abstractNumId w:val="19"/>
  </w:num>
  <w:num w:numId="32" w16cid:durableId="1372220516">
    <w:abstractNumId w:val="43"/>
  </w:num>
  <w:num w:numId="33" w16cid:durableId="449278846">
    <w:abstractNumId w:val="0"/>
  </w:num>
  <w:num w:numId="34" w16cid:durableId="153962088">
    <w:abstractNumId w:val="45"/>
  </w:num>
  <w:num w:numId="35" w16cid:durableId="911088678">
    <w:abstractNumId w:val="7"/>
  </w:num>
  <w:num w:numId="36" w16cid:durableId="1809123781">
    <w:abstractNumId w:val="30"/>
  </w:num>
  <w:num w:numId="37" w16cid:durableId="1263341216">
    <w:abstractNumId w:val="13"/>
  </w:num>
  <w:num w:numId="38" w16cid:durableId="741413416">
    <w:abstractNumId w:val="29"/>
  </w:num>
  <w:num w:numId="39" w16cid:durableId="1243683457">
    <w:abstractNumId w:val="6"/>
  </w:num>
  <w:num w:numId="40" w16cid:durableId="1425111926">
    <w:abstractNumId w:val="8"/>
  </w:num>
  <w:num w:numId="41" w16cid:durableId="858618081">
    <w:abstractNumId w:val="32"/>
  </w:num>
  <w:num w:numId="42" w16cid:durableId="807936246">
    <w:abstractNumId w:val="14"/>
  </w:num>
  <w:num w:numId="43" w16cid:durableId="1543905250">
    <w:abstractNumId w:val="31"/>
  </w:num>
  <w:num w:numId="44" w16cid:durableId="1982076464">
    <w:abstractNumId w:val="25"/>
  </w:num>
  <w:num w:numId="45" w16cid:durableId="872573626">
    <w:abstractNumId w:val="38"/>
  </w:num>
  <w:num w:numId="46" w16cid:durableId="1886134746">
    <w:abstractNumId w:val="41"/>
  </w:num>
  <w:num w:numId="47" w16cid:durableId="146092675">
    <w:abstractNumId w:val="16"/>
  </w:num>
  <w:num w:numId="48" w16cid:durableId="231627679">
    <w:abstractNumId w:val="42"/>
  </w:num>
  <w:num w:numId="49" w16cid:durableId="1127893070">
    <w:abstractNumId w:val="35"/>
  </w:num>
  <w:num w:numId="50" w16cid:durableId="10346935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58CC"/>
    <w:rsid w:val="0001525B"/>
    <w:rsid w:val="00032560"/>
    <w:rsid w:val="0003679C"/>
    <w:rsid w:val="000406B3"/>
    <w:rsid w:val="00042E44"/>
    <w:rsid w:val="00046A2A"/>
    <w:rsid w:val="0005719D"/>
    <w:rsid w:val="000651A1"/>
    <w:rsid w:val="000729DE"/>
    <w:rsid w:val="00073820"/>
    <w:rsid w:val="00074749"/>
    <w:rsid w:val="000A32D4"/>
    <w:rsid w:val="000A4D85"/>
    <w:rsid w:val="000A6546"/>
    <w:rsid w:val="000B7FBC"/>
    <w:rsid w:val="000C25E0"/>
    <w:rsid w:val="000C4A9B"/>
    <w:rsid w:val="000E0B0C"/>
    <w:rsid w:val="000F0028"/>
    <w:rsid w:val="000F3417"/>
    <w:rsid w:val="001217F0"/>
    <w:rsid w:val="00135B00"/>
    <w:rsid w:val="0014155E"/>
    <w:rsid w:val="00142909"/>
    <w:rsid w:val="00151784"/>
    <w:rsid w:val="00154A04"/>
    <w:rsid w:val="00164AFC"/>
    <w:rsid w:val="00165C97"/>
    <w:rsid w:val="001745E4"/>
    <w:rsid w:val="00183ABF"/>
    <w:rsid w:val="00187D38"/>
    <w:rsid w:val="00197B75"/>
    <w:rsid w:val="001A1FEF"/>
    <w:rsid w:val="001B1196"/>
    <w:rsid w:val="001C6F6B"/>
    <w:rsid w:val="001D1C9B"/>
    <w:rsid w:val="001E1945"/>
    <w:rsid w:val="001E441B"/>
    <w:rsid w:val="001F12A4"/>
    <w:rsid w:val="00200AFC"/>
    <w:rsid w:val="00217C39"/>
    <w:rsid w:val="00236168"/>
    <w:rsid w:val="002468F3"/>
    <w:rsid w:val="00260199"/>
    <w:rsid w:val="00265A0B"/>
    <w:rsid w:val="0027658B"/>
    <w:rsid w:val="002767F8"/>
    <w:rsid w:val="002979A2"/>
    <w:rsid w:val="002E2000"/>
    <w:rsid w:val="002E6543"/>
    <w:rsid w:val="002E6E80"/>
    <w:rsid w:val="002F7B77"/>
    <w:rsid w:val="0031175A"/>
    <w:rsid w:val="00322AF4"/>
    <w:rsid w:val="00325DEB"/>
    <w:rsid w:val="00325E3A"/>
    <w:rsid w:val="00332191"/>
    <w:rsid w:val="00333BA0"/>
    <w:rsid w:val="00334740"/>
    <w:rsid w:val="0033557F"/>
    <w:rsid w:val="00343F0E"/>
    <w:rsid w:val="003638AC"/>
    <w:rsid w:val="003705EE"/>
    <w:rsid w:val="00375221"/>
    <w:rsid w:val="00376A83"/>
    <w:rsid w:val="003803AC"/>
    <w:rsid w:val="00396236"/>
    <w:rsid w:val="003975E5"/>
    <w:rsid w:val="003B73D1"/>
    <w:rsid w:val="00401515"/>
    <w:rsid w:val="00402916"/>
    <w:rsid w:val="004070A0"/>
    <w:rsid w:val="00411DC3"/>
    <w:rsid w:val="00427B67"/>
    <w:rsid w:val="00432F8C"/>
    <w:rsid w:val="004561A4"/>
    <w:rsid w:val="00461414"/>
    <w:rsid w:val="00470C95"/>
    <w:rsid w:val="00472C83"/>
    <w:rsid w:val="00486123"/>
    <w:rsid w:val="00492D48"/>
    <w:rsid w:val="00497376"/>
    <w:rsid w:val="004A47EE"/>
    <w:rsid w:val="004B0307"/>
    <w:rsid w:val="004D28F0"/>
    <w:rsid w:val="004E07C2"/>
    <w:rsid w:val="004F46F9"/>
    <w:rsid w:val="004F5BF1"/>
    <w:rsid w:val="004F5E95"/>
    <w:rsid w:val="00501E5B"/>
    <w:rsid w:val="005038D3"/>
    <w:rsid w:val="00510120"/>
    <w:rsid w:val="005172F4"/>
    <w:rsid w:val="00543DD2"/>
    <w:rsid w:val="00560204"/>
    <w:rsid w:val="00563AB2"/>
    <w:rsid w:val="005848DC"/>
    <w:rsid w:val="00590473"/>
    <w:rsid w:val="00592A19"/>
    <w:rsid w:val="00596A0A"/>
    <w:rsid w:val="005C5821"/>
    <w:rsid w:val="005E1D24"/>
    <w:rsid w:val="005E3BD1"/>
    <w:rsid w:val="00600013"/>
    <w:rsid w:val="00600D18"/>
    <w:rsid w:val="0060178A"/>
    <w:rsid w:val="006067EC"/>
    <w:rsid w:val="006074FF"/>
    <w:rsid w:val="0063391E"/>
    <w:rsid w:val="00645756"/>
    <w:rsid w:val="00647F10"/>
    <w:rsid w:val="00670873"/>
    <w:rsid w:val="006803C1"/>
    <w:rsid w:val="00680828"/>
    <w:rsid w:val="00691154"/>
    <w:rsid w:val="006935B8"/>
    <w:rsid w:val="00693C1D"/>
    <w:rsid w:val="006A302A"/>
    <w:rsid w:val="006A702C"/>
    <w:rsid w:val="006B513A"/>
    <w:rsid w:val="006B6333"/>
    <w:rsid w:val="006C3810"/>
    <w:rsid w:val="006D1A04"/>
    <w:rsid w:val="006E46B6"/>
    <w:rsid w:val="006E563F"/>
    <w:rsid w:val="006E5BF6"/>
    <w:rsid w:val="00714898"/>
    <w:rsid w:val="00717467"/>
    <w:rsid w:val="007211CD"/>
    <w:rsid w:val="00726B02"/>
    <w:rsid w:val="007309E1"/>
    <w:rsid w:val="00740DDB"/>
    <w:rsid w:val="00747D98"/>
    <w:rsid w:val="00762248"/>
    <w:rsid w:val="00763FB9"/>
    <w:rsid w:val="007640AF"/>
    <w:rsid w:val="00782371"/>
    <w:rsid w:val="007911C7"/>
    <w:rsid w:val="007A611F"/>
    <w:rsid w:val="007A73D0"/>
    <w:rsid w:val="007D0D33"/>
    <w:rsid w:val="007D5EA3"/>
    <w:rsid w:val="007D7BAF"/>
    <w:rsid w:val="007E1DEC"/>
    <w:rsid w:val="007E3697"/>
    <w:rsid w:val="007E5000"/>
    <w:rsid w:val="008123E9"/>
    <w:rsid w:val="008239B7"/>
    <w:rsid w:val="0082624C"/>
    <w:rsid w:val="00835027"/>
    <w:rsid w:val="00853DA1"/>
    <w:rsid w:val="00875FC3"/>
    <w:rsid w:val="008901FF"/>
    <w:rsid w:val="00893A02"/>
    <w:rsid w:val="008A3BED"/>
    <w:rsid w:val="008A5835"/>
    <w:rsid w:val="008D613C"/>
    <w:rsid w:val="008D6D57"/>
    <w:rsid w:val="008E1A19"/>
    <w:rsid w:val="008E7422"/>
    <w:rsid w:val="00925C4A"/>
    <w:rsid w:val="00925F6C"/>
    <w:rsid w:val="009263DB"/>
    <w:rsid w:val="00935FBB"/>
    <w:rsid w:val="009420FE"/>
    <w:rsid w:val="009441C3"/>
    <w:rsid w:val="0095315E"/>
    <w:rsid w:val="00954C91"/>
    <w:rsid w:val="00957427"/>
    <w:rsid w:val="00961264"/>
    <w:rsid w:val="00975B6F"/>
    <w:rsid w:val="0097683A"/>
    <w:rsid w:val="00977495"/>
    <w:rsid w:val="0099016A"/>
    <w:rsid w:val="009A195B"/>
    <w:rsid w:val="009B187A"/>
    <w:rsid w:val="009C4DD3"/>
    <w:rsid w:val="009D2B1E"/>
    <w:rsid w:val="009D39EC"/>
    <w:rsid w:val="009E1E30"/>
    <w:rsid w:val="009F2510"/>
    <w:rsid w:val="009F53DE"/>
    <w:rsid w:val="009F744A"/>
    <w:rsid w:val="00A03C60"/>
    <w:rsid w:val="00A47BCB"/>
    <w:rsid w:val="00A632AC"/>
    <w:rsid w:val="00A71D4E"/>
    <w:rsid w:val="00A80B78"/>
    <w:rsid w:val="00A848AA"/>
    <w:rsid w:val="00A929A9"/>
    <w:rsid w:val="00AA0007"/>
    <w:rsid w:val="00AA2580"/>
    <w:rsid w:val="00AA310F"/>
    <w:rsid w:val="00AD37FC"/>
    <w:rsid w:val="00AD5583"/>
    <w:rsid w:val="00AE2DAD"/>
    <w:rsid w:val="00AE49A5"/>
    <w:rsid w:val="00AF466A"/>
    <w:rsid w:val="00B00AFA"/>
    <w:rsid w:val="00B01B4D"/>
    <w:rsid w:val="00B03D48"/>
    <w:rsid w:val="00B06F15"/>
    <w:rsid w:val="00B13FCD"/>
    <w:rsid w:val="00B229B8"/>
    <w:rsid w:val="00B37037"/>
    <w:rsid w:val="00B44AD7"/>
    <w:rsid w:val="00B55261"/>
    <w:rsid w:val="00B55584"/>
    <w:rsid w:val="00B5609A"/>
    <w:rsid w:val="00B61206"/>
    <w:rsid w:val="00B91761"/>
    <w:rsid w:val="00B9263B"/>
    <w:rsid w:val="00BB1089"/>
    <w:rsid w:val="00BC532C"/>
    <w:rsid w:val="00BD57B3"/>
    <w:rsid w:val="00BE1C70"/>
    <w:rsid w:val="00BE1F64"/>
    <w:rsid w:val="00BF0F77"/>
    <w:rsid w:val="00C0009C"/>
    <w:rsid w:val="00C03519"/>
    <w:rsid w:val="00C06212"/>
    <w:rsid w:val="00C07185"/>
    <w:rsid w:val="00C13468"/>
    <w:rsid w:val="00C210DD"/>
    <w:rsid w:val="00C2234D"/>
    <w:rsid w:val="00C22EF3"/>
    <w:rsid w:val="00C279A6"/>
    <w:rsid w:val="00C30289"/>
    <w:rsid w:val="00C37546"/>
    <w:rsid w:val="00C378D2"/>
    <w:rsid w:val="00C40A04"/>
    <w:rsid w:val="00C449B1"/>
    <w:rsid w:val="00C6746B"/>
    <w:rsid w:val="00C74168"/>
    <w:rsid w:val="00C8410E"/>
    <w:rsid w:val="00CA0AE0"/>
    <w:rsid w:val="00CA2F63"/>
    <w:rsid w:val="00CA6B6F"/>
    <w:rsid w:val="00CC0108"/>
    <w:rsid w:val="00CD274A"/>
    <w:rsid w:val="00CD2FA9"/>
    <w:rsid w:val="00CD5079"/>
    <w:rsid w:val="00CE2FB5"/>
    <w:rsid w:val="00CE3179"/>
    <w:rsid w:val="00CF0BB9"/>
    <w:rsid w:val="00CF7D7D"/>
    <w:rsid w:val="00D132DE"/>
    <w:rsid w:val="00D16B9D"/>
    <w:rsid w:val="00D44A86"/>
    <w:rsid w:val="00D72D0C"/>
    <w:rsid w:val="00D81383"/>
    <w:rsid w:val="00D869E9"/>
    <w:rsid w:val="00DA40D9"/>
    <w:rsid w:val="00DA4565"/>
    <w:rsid w:val="00DB2326"/>
    <w:rsid w:val="00DB50D9"/>
    <w:rsid w:val="00DB5734"/>
    <w:rsid w:val="00DD271A"/>
    <w:rsid w:val="00DE1DA1"/>
    <w:rsid w:val="00DF2598"/>
    <w:rsid w:val="00E12C16"/>
    <w:rsid w:val="00E15F47"/>
    <w:rsid w:val="00E46E3A"/>
    <w:rsid w:val="00E61BF6"/>
    <w:rsid w:val="00E65AFE"/>
    <w:rsid w:val="00E705F5"/>
    <w:rsid w:val="00E77321"/>
    <w:rsid w:val="00E81EDB"/>
    <w:rsid w:val="00E851CF"/>
    <w:rsid w:val="00E8640E"/>
    <w:rsid w:val="00E96153"/>
    <w:rsid w:val="00EB5C24"/>
    <w:rsid w:val="00EB7601"/>
    <w:rsid w:val="00EC0819"/>
    <w:rsid w:val="00EC2872"/>
    <w:rsid w:val="00ED134C"/>
    <w:rsid w:val="00ED27C2"/>
    <w:rsid w:val="00EE1798"/>
    <w:rsid w:val="00EF507E"/>
    <w:rsid w:val="00F04249"/>
    <w:rsid w:val="00F06A05"/>
    <w:rsid w:val="00F12577"/>
    <w:rsid w:val="00F21F09"/>
    <w:rsid w:val="00F25167"/>
    <w:rsid w:val="00F3072D"/>
    <w:rsid w:val="00F320A9"/>
    <w:rsid w:val="00F328C7"/>
    <w:rsid w:val="00F361D7"/>
    <w:rsid w:val="00F3649E"/>
    <w:rsid w:val="00F41FF3"/>
    <w:rsid w:val="00F4304B"/>
    <w:rsid w:val="00F54A6B"/>
    <w:rsid w:val="00F632E8"/>
    <w:rsid w:val="00F63634"/>
    <w:rsid w:val="00F72F31"/>
    <w:rsid w:val="00F846DA"/>
    <w:rsid w:val="00F87816"/>
    <w:rsid w:val="00FC372E"/>
    <w:rsid w:val="00FD5BDF"/>
    <w:rsid w:val="00FE5C08"/>
    <w:rsid w:val="00FF4CF1"/>
    <w:rsid w:val="011323B6"/>
    <w:rsid w:val="03834D79"/>
    <w:rsid w:val="04620ECD"/>
    <w:rsid w:val="055240B4"/>
    <w:rsid w:val="06B7D6EB"/>
    <w:rsid w:val="09169B08"/>
    <w:rsid w:val="0ACAC690"/>
    <w:rsid w:val="0B881E5E"/>
    <w:rsid w:val="116454C4"/>
    <w:rsid w:val="118723B5"/>
    <w:rsid w:val="1301FCCD"/>
    <w:rsid w:val="17C10C6E"/>
    <w:rsid w:val="1A6F849C"/>
    <w:rsid w:val="1B6F4261"/>
    <w:rsid w:val="20ADA7F4"/>
    <w:rsid w:val="23320549"/>
    <w:rsid w:val="23532EF4"/>
    <w:rsid w:val="2974CEB5"/>
    <w:rsid w:val="29775ED7"/>
    <w:rsid w:val="2A3925F1"/>
    <w:rsid w:val="2D63B218"/>
    <w:rsid w:val="2DB05732"/>
    <w:rsid w:val="32C77D14"/>
    <w:rsid w:val="3307B719"/>
    <w:rsid w:val="34B5781F"/>
    <w:rsid w:val="3544A5A6"/>
    <w:rsid w:val="3777AFC2"/>
    <w:rsid w:val="406D25F4"/>
    <w:rsid w:val="40CA404A"/>
    <w:rsid w:val="4218C27C"/>
    <w:rsid w:val="42673C31"/>
    <w:rsid w:val="43A4D5CA"/>
    <w:rsid w:val="495D83A3"/>
    <w:rsid w:val="4D8B6FF4"/>
    <w:rsid w:val="4F80B92F"/>
    <w:rsid w:val="5144B9FC"/>
    <w:rsid w:val="57F01BEB"/>
    <w:rsid w:val="58BCC529"/>
    <w:rsid w:val="597CF51A"/>
    <w:rsid w:val="5EE92BD5"/>
    <w:rsid w:val="600E1B68"/>
    <w:rsid w:val="603BB871"/>
    <w:rsid w:val="648D8D46"/>
    <w:rsid w:val="654A5B9C"/>
    <w:rsid w:val="68D7EA40"/>
    <w:rsid w:val="6A15D792"/>
    <w:rsid w:val="6C802FC0"/>
    <w:rsid w:val="726B72CA"/>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1C7BDB7F-772A-40A0-8E2F-CC204D1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semiHidden/>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semiHidden/>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27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policies/sop-irb-review-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info@uw.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2020-06-26T07:00:00+00:00</Date_x0020_Implemented>
    <Change_x0020_Notes xmlns="7c9d0ed2-8163-4b50-bae4-466292e5dd21">Significant reorganization and update to describe current procedure</Change_x0020_Notes>
    <Posted_x0020_Date xmlns="7c9d0ed2-8163-4b50-bae4-466292e5dd21">2020-06-26T07:00:00+00:00</Posted_x0020_Date>
    <Taxonomy0 xmlns="7c9d0ed2-8163-4b50-bae4-466292e5dd21">
      <Value>SOP (Standard Operating Procedure)</Value>
    </Taxonomy0>
    <Version_x0020_Number xmlns="7c9d0ed2-8163-4b50-bae4-466292e5dd2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https://www.washington.edu/research/policies/sop-appeal-of-irb-or-hsd-determination/</Url>
      <Description>https://www.washington.edu/research/policies/sop-appeal-of-irb-or-hsd-determination/</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294B3A47-52E1-4D18-8870-D3AF711A6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4.xml><?xml version="1.0" encoding="utf-8"?>
<ds:datastoreItem xmlns:ds="http://schemas.openxmlformats.org/officeDocument/2006/customXml" ds:itemID="{BEB7EFF9-DFFD-423E-A205-8CCD1694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7103</Characters>
  <Application>Microsoft Office Word</Application>
  <DocSecurity>0</DocSecurity>
  <Lines>164</Lines>
  <Paragraphs>85</Paragraphs>
  <ScaleCrop>false</ScaleCrop>
  <Company>University of Washington</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SOP_Appeal_of_IRB_or_HSD_Determination_v2.00_2020.06.26</dc:title>
  <dc:subject/>
  <dc:creator>Sherry Edwards</dc:creator>
  <cp:keywords>;#IRB review;#</cp:keywords>
  <cp:lastModifiedBy>Jenny Maki</cp:lastModifiedBy>
  <cp:revision>2</cp:revision>
  <dcterms:created xsi:type="dcterms:W3CDTF">2026-02-11T19:12:00Z</dcterms:created>
  <dcterms:modified xsi:type="dcterms:W3CDTF">2026-02-11T19:12:00Z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