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B30A3" w14:textId="139C6B2E" w:rsidR="00883A03" w:rsidRDefault="00883A03" w:rsidP="00883A03">
      <w:pPr>
        <w:widowControl w:val="0"/>
        <w:spacing w:after="0" w:line="240" w:lineRule="auto"/>
        <w:jc w:val="right"/>
        <w:rPr>
          <w:b/>
          <w:sz w:val="28"/>
          <w:szCs w:val="28"/>
        </w:rPr>
      </w:pPr>
      <w:r w:rsidRPr="00402968">
        <w:rPr>
          <w:noProof/>
          <w:sz w:val="28"/>
          <w:szCs w:val="28"/>
        </w:rPr>
        <w:drawing>
          <wp:anchor distT="0" distB="0" distL="114300" distR="114300" simplePos="0" relativeHeight="251659264" behindDoc="1" locked="0" layoutInCell="1" allowOverlap="1" wp14:anchorId="19F5B329" wp14:editId="01E6EC7D">
            <wp:simplePos x="0" y="0"/>
            <wp:positionH relativeFrom="column">
              <wp:posOffset>3810</wp:posOffset>
            </wp:positionH>
            <wp:positionV relativeFrom="paragraph">
              <wp:posOffset>3810</wp:posOffset>
            </wp:positionV>
            <wp:extent cx="2743200" cy="333375"/>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374358678" name="Picture 2"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0;&#10;University of Washington Human Subjects Di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333375"/>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rPr>
        <w:t>RELYING SITES Reporting of New Information</w:t>
      </w:r>
    </w:p>
    <w:p w14:paraId="798545D7" w14:textId="77777777" w:rsidR="00883A03" w:rsidRDefault="00883A03" w:rsidP="00883A03">
      <w:pPr>
        <w:widowControl w:val="0"/>
        <w:spacing w:after="0" w:line="240" w:lineRule="auto"/>
        <w:jc w:val="right"/>
        <w:rPr>
          <w:b/>
          <w:sz w:val="28"/>
          <w:szCs w:val="28"/>
        </w:rPr>
      </w:pPr>
    </w:p>
    <w:p w14:paraId="6792B5CB" w14:textId="5623CCC7" w:rsidR="009D39EC" w:rsidRPr="006B513A" w:rsidRDefault="009D39EC" w:rsidP="00CA0AE0">
      <w:pPr>
        <w:shd w:val="clear" w:color="auto" w:fill="33006F"/>
        <w:tabs>
          <w:tab w:val="right" w:pos="10080"/>
        </w:tabs>
        <w:rPr>
          <w:b/>
        </w:rPr>
      </w:pPr>
    </w:p>
    <w:p w14:paraId="6BF3CC1A" w14:textId="6C3334B7" w:rsidR="00BE1C70" w:rsidRPr="00B00AFA" w:rsidRDefault="00BE1C70" w:rsidP="00A71D4E">
      <w:pPr>
        <w:pStyle w:val="NoSpacing"/>
        <w:rPr>
          <w:color w:val="000000" w:themeColor="text1"/>
          <w:sz w:val="22"/>
          <w:szCs w:val="22"/>
        </w:rPr>
      </w:pPr>
    </w:p>
    <w:p w14:paraId="12685C37" w14:textId="1DDCACB3" w:rsidR="00CB03F7" w:rsidRDefault="00914087" w:rsidP="008C1F90">
      <w:pPr>
        <w:pStyle w:val="NoSpacing"/>
        <w:ind w:left="360" w:hanging="360"/>
        <w:outlineLvl w:val="0"/>
        <w:rPr>
          <w:b/>
          <w:color w:val="auto"/>
          <w:sz w:val="22"/>
          <w:szCs w:val="22"/>
        </w:rPr>
      </w:pPr>
      <w:r>
        <w:rPr>
          <w:b/>
          <w:color w:val="auto"/>
          <w:sz w:val="22"/>
          <w:szCs w:val="22"/>
        </w:rPr>
        <w:t>CONTEXT</w:t>
      </w:r>
      <w:r w:rsidR="005640FC">
        <w:rPr>
          <w:b/>
          <w:color w:val="auto"/>
          <w:sz w:val="22"/>
          <w:szCs w:val="22"/>
        </w:rPr>
        <w:t xml:space="preserve">      </w:t>
      </w:r>
    </w:p>
    <w:p w14:paraId="0BAF71B9" w14:textId="77777777" w:rsidR="008C1F90" w:rsidRDefault="008C1F90" w:rsidP="00534A39">
      <w:pPr>
        <w:pStyle w:val="NoSpacing"/>
        <w:ind w:left="360"/>
        <w:rPr>
          <w:color w:val="auto"/>
          <w:sz w:val="22"/>
          <w:szCs w:val="22"/>
        </w:rPr>
      </w:pPr>
    </w:p>
    <w:p w14:paraId="392C0759" w14:textId="35DA1DA1" w:rsidR="00267228" w:rsidRDefault="00267228" w:rsidP="00534A39">
      <w:pPr>
        <w:pStyle w:val="NoSpacing"/>
        <w:ind w:left="360"/>
        <w:rPr>
          <w:color w:val="auto"/>
          <w:sz w:val="22"/>
          <w:szCs w:val="22"/>
        </w:rPr>
      </w:pPr>
      <w:r>
        <w:rPr>
          <w:color w:val="auto"/>
          <w:sz w:val="22"/>
          <w:szCs w:val="22"/>
        </w:rPr>
        <w:t>Non-UW sites and researchers whose sites or institutions are relying on the U</w:t>
      </w:r>
      <w:r w:rsidR="008845C7">
        <w:rPr>
          <w:color w:val="auto"/>
          <w:sz w:val="22"/>
          <w:szCs w:val="22"/>
        </w:rPr>
        <w:t xml:space="preserve">niversity of </w:t>
      </w:r>
      <w:r>
        <w:rPr>
          <w:color w:val="auto"/>
          <w:sz w:val="22"/>
          <w:szCs w:val="22"/>
        </w:rPr>
        <w:t>W</w:t>
      </w:r>
      <w:r w:rsidR="008845C7">
        <w:rPr>
          <w:color w:val="auto"/>
          <w:sz w:val="22"/>
          <w:szCs w:val="22"/>
        </w:rPr>
        <w:t>ashington (UW)</w:t>
      </w:r>
      <w:r>
        <w:rPr>
          <w:color w:val="auto"/>
          <w:sz w:val="22"/>
          <w:szCs w:val="22"/>
        </w:rPr>
        <w:t xml:space="preserve"> IRB for review are responsible for complying with UW IRB policies and procedures. This document describes the responsibilities for identifying and reporting Reportable New Information (RNI) to the UW IRB. </w:t>
      </w:r>
    </w:p>
    <w:p w14:paraId="6D5EB0FC" w14:textId="64B8AC68" w:rsidR="00267228" w:rsidRDefault="00267228" w:rsidP="00534A39">
      <w:pPr>
        <w:pStyle w:val="NoSpacing"/>
        <w:ind w:left="360"/>
        <w:rPr>
          <w:color w:val="auto"/>
          <w:sz w:val="22"/>
          <w:szCs w:val="22"/>
        </w:rPr>
      </w:pPr>
    </w:p>
    <w:p w14:paraId="5662CC97" w14:textId="77777777" w:rsidR="008C1F90" w:rsidRDefault="00267228" w:rsidP="008C1F90">
      <w:pPr>
        <w:pStyle w:val="NoSpacing"/>
        <w:ind w:left="360"/>
        <w:rPr>
          <w:color w:val="auto"/>
          <w:sz w:val="22"/>
          <w:szCs w:val="22"/>
        </w:rPr>
      </w:pPr>
      <w:r>
        <w:rPr>
          <w:color w:val="auto"/>
          <w:sz w:val="22"/>
          <w:szCs w:val="22"/>
        </w:rPr>
        <w:t xml:space="preserve">RNI reporting is important for ensuring the continued safety, rights, and welfare of research subjects throughout a study. It is required by a combination of federal regulations and UW policies. </w:t>
      </w:r>
    </w:p>
    <w:p w14:paraId="1D56422A" w14:textId="7BA07985" w:rsidR="00267228" w:rsidRPr="00B00AFA" w:rsidRDefault="00267228" w:rsidP="008C1F90">
      <w:pPr>
        <w:pStyle w:val="NoSpacing"/>
        <w:ind w:left="360"/>
        <w:rPr>
          <w:color w:val="auto"/>
          <w:sz w:val="22"/>
          <w:szCs w:val="22"/>
        </w:rPr>
      </w:pPr>
      <w:r>
        <w:rPr>
          <w:color w:val="auto"/>
          <w:sz w:val="22"/>
          <w:szCs w:val="22"/>
        </w:rPr>
        <w:t xml:space="preserve"> </w:t>
      </w:r>
    </w:p>
    <w:p w14:paraId="443C798F" w14:textId="26095EF8" w:rsidR="008845C7" w:rsidRDefault="008845C7" w:rsidP="00534A39">
      <w:pPr>
        <w:pStyle w:val="NoSpacing"/>
        <w:ind w:left="360" w:hanging="360"/>
        <w:outlineLvl w:val="0"/>
        <w:rPr>
          <w:b/>
          <w:color w:val="auto"/>
          <w:sz w:val="22"/>
          <w:szCs w:val="22"/>
        </w:rPr>
      </w:pPr>
      <w:r>
        <w:rPr>
          <w:b/>
          <w:color w:val="auto"/>
          <w:sz w:val="22"/>
          <w:szCs w:val="22"/>
        </w:rPr>
        <w:t>REPORTING REQUIREMENTS</w:t>
      </w:r>
    </w:p>
    <w:p w14:paraId="5229EC06" w14:textId="77777777" w:rsidR="00534A39" w:rsidRDefault="00534A39" w:rsidP="00534A39">
      <w:pPr>
        <w:pStyle w:val="NoSpacing"/>
        <w:ind w:left="900" w:hanging="540"/>
        <w:rPr>
          <w:b/>
          <w:color w:val="auto"/>
          <w:sz w:val="22"/>
          <w:szCs w:val="22"/>
        </w:rPr>
      </w:pPr>
    </w:p>
    <w:p w14:paraId="5505976B" w14:textId="508D274F" w:rsidR="00142909" w:rsidRDefault="008845C7" w:rsidP="00534A39">
      <w:pPr>
        <w:pStyle w:val="NoSpacing"/>
        <w:ind w:left="900" w:hanging="540"/>
        <w:rPr>
          <w:bCs/>
          <w:color w:val="auto"/>
          <w:sz w:val="22"/>
          <w:szCs w:val="22"/>
        </w:rPr>
      </w:pPr>
      <w:r w:rsidRPr="008845C7">
        <w:rPr>
          <w:b/>
          <w:color w:val="auto"/>
          <w:sz w:val="22"/>
          <w:szCs w:val="22"/>
        </w:rPr>
        <w:t>Responsibilities</w:t>
      </w:r>
      <w:r>
        <w:rPr>
          <w:bCs/>
          <w:color w:val="auto"/>
          <w:sz w:val="22"/>
          <w:szCs w:val="22"/>
        </w:rPr>
        <w:t xml:space="preserve"> </w:t>
      </w:r>
      <w:r w:rsidRPr="008845C7">
        <w:rPr>
          <w:bCs/>
          <w:color w:val="auto"/>
          <w:sz w:val="22"/>
          <w:szCs w:val="22"/>
        </w:rPr>
        <w:t>of N</w:t>
      </w:r>
      <w:r>
        <w:rPr>
          <w:bCs/>
          <w:color w:val="auto"/>
          <w:sz w:val="22"/>
          <w:szCs w:val="22"/>
        </w:rPr>
        <w:t>on-UW sites or researchers relying on the UW IRB:</w:t>
      </w:r>
    </w:p>
    <w:p w14:paraId="529A629E" w14:textId="2FE659B4" w:rsidR="00ED0E2D" w:rsidRDefault="008845C7" w:rsidP="00534A39">
      <w:pPr>
        <w:pStyle w:val="NoSpacing"/>
        <w:numPr>
          <w:ilvl w:val="0"/>
          <w:numId w:val="39"/>
        </w:numPr>
        <w:tabs>
          <w:tab w:val="left" w:pos="1080"/>
        </w:tabs>
        <w:rPr>
          <w:bCs/>
          <w:color w:val="auto"/>
          <w:sz w:val="22"/>
          <w:szCs w:val="22"/>
        </w:rPr>
      </w:pPr>
      <w:r>
        <w:rPr>
          <w:bCs/>
          <w:color w:val="auto"/>
          <w:sz w:val="22"/>
          <w:szCs w:val="22"/>
        </w:rPr>
        <w:t>Promptly notify the UW lead site researcher team of reportable new information (RNI)</w:t>
      </w:r>
    </w:p>
    <w:p w14:paraId="2582E866" w14:textId="50E116F4" w:rsidR="008845C7" w:rsidRDefault="00ED0E2D" w:rsidP="00534A39">
      <w:pPr>
        <w:pStyle w:val="NoSpacing"/>
        <w:numPr>
          <w:ilvl w:val="0"/>
          <w:numId w:val="39"/>
        </w:numPr>
        <w:tabs>
          <w:tab w:val="left" w:pos="1080"/>
        </w:tabs>
        <w:rPr>
          <w:bCs/>
          <w:color w:val="auto"/>
          <w:sz w:val="22"/>
          <w:szCs w:val="22"/>
        </w:rPr>
      </w:pPr>
      <w:r>
        <w:rPr>
          <w:bCs/>
          <w:color w:val="auto"/>
          <w:sz w:val="22"/>
          <w:szCs w:val="22"/>
        </w:rPr>
        <w:t xml:space="preserve">Provide the UW team with all information </w:t>
      </w:r>
      <w:r w:rsidR="004A1E1D">
        <w:rPr>
          <w:bCs/>
          <w:color w:val="auto"/>
          <w:sz w:val="22"/>
          <w:szCs w:val="22"/>
        </w:rPr>
        <w:t xml:space="preserve">it needs to </w:t>
      </w:r>
      <w:r w:rsidR="00082DCA">
        <w:rPr>
          <w:bCs/>
          <w:color w:val="auto"/>
          <w:sz w:val="22"/>
          <w:szCs w:val="22"/>
        </w:rPr>
        <w:t xml:space="preserve">report </w:t>
      </w:r>
      <w:r w:rsidR="004A1E1D">
        <w:rPr>
          <w:bCs/>
          <w:color w:val="auto"/>
          <w:sz w:val="22"/>
          <w:szCs w:val="22"/>
        </w:rPr>
        <w:t>the RNI to the UW IRB on your behalf</w:t>
      </w:r>
    </w:p>
    <w:p w14:paraId="4F41603D" w14:textId="6E98C35F" w:rsidR="00ED0E2D" w:rsidRDefault="00ED0E2D" w:rsidP="00534A39">
      <w:pPr>
        <w:pStyle w:val="NoSpacing"/>
        <w:numPr>
          <w:ilvl w:val="0"/>
          <w:numId w:val="39"/>
        </w:numPr>
        <w:tabs>
          <w:tab w:val="left" w:pos="1080"/>
        </w:tabs>
        <w:rPr>
          <w:bCs/>
          <w:color w:val="auto"/>
          <w:sz w:val="22"/>
          <w:szCs w:val="22"/>
        </w:rPr>
      </w:pPr>
      <w:r>
        <w:rPr>
          <w:bCs/>
          <w:color w:val="auto"/>
          <w:sz w:val="22"/>
          <w:szCs w:val="22"/>
        </w:rPr>
        <w:t xml:space="preserve">Comply with any </w:t>
      </w:r>
      <w:r w:rsidR="00082DCA">
        <w:rPr>
          <w:bCs/>
          <w:color w:val="auto"/>
          <w:sz w:val="22"/>
          <w:szCs w:val="22"/>
        </w:rPr>
        <w:t xml:space="preserve">non-UW site </w:t>
      </w:r>
      <w:r>
        <w:rPr>
          <w:bCs/>
          <w:color w:val="auto"/>
          <w:sz w:val="22"/>
          <w:szCs w:val="22"/>
        </w:rPr>
        <w:t>requirements for reporting (e.g., notifying the local privacy office of a data breach)</w:t>
      </w:r>
    </w:p>
    <w:p w14:paraId="3B001E15" w14:textId="46B4D2F9" w:rsidR="004A1E1D" w:rsidRDefault="004A1E1D" w:rsidP="00534A39">
      <w:pPr>
        <w:pStyle w:val="NoSpacing"/>
        <w:numPr>
          <w:ilvl w:val="0"/>
          <w:numId w:val="39"/>
        </w:numPr>
        <w:tabs>
          <w:tab w:val="left" w:pos="1080"/>
        </w:tabs>
        <w:rPr>
          <w:bCs/>
          <w:color w:val="auto"/>
          <w:sz w:val="22"/>
          <w:szCs w:val="22"/>
        </w:rPr>
      </w:pPr>
      <w:r>
        <w:rPr>
          <w:bCs/>
          <w:color w:val="auto"/>
          <w:sz w:val="22"/>
          <w:szCs w:val="22"/>
        </w:rPr>
        <w:t>Implement any IRB-approved corrective and preventative action plan within the specified time</w:t>
      </w:r>
    </w:p>
    <w:p w14:paraId="1D52EBC8" w14:textId="77777777" w:rsidR="00534A39" w:rsidRDefault="00534A39" w:rsidP="00534A39">
      <w:pPr>
        <w:pStyle w:val="NoSpacing"/>
        <w:tabs>
          <w:tab w:val="left" w:pos="1080"/>
        </w:tabs>
        <w:rPr>
          <w:bCs/>
          <w:color w:val="auto"/>
          <w:sz w:val="22"/>
          <w:szCs w:val="22"/>
        </w:rPr>
      </w:pPr>
    </w:p>
    <w:p w14:paraId="66B30F79" w14:textId="72565343" w:rsidR="00534A39" w:rsidRDefault="00534A39" w:rsidP="00534A39">
      <w:pPr>
        <w:pStyle w:val="NoSpacing"/>
        <w:tabs>
          <w:tab w:val="left" w:pos="1080"/>
        </w:tabs>
        <w:ind w:left="360"/>
        <w:rPr>
          <w:bCs/>
          <w:color w:val="auto"/>
          <w:sz w:val="22"/>
          <w:szCs w:val="22"/>
        </w:rPr>
      </w:pPr>
      <w:r>
        <w:rPr>
          <w:b/>
          <w:color w:val="auto"/>
          <w:sz w:val="22"/>
          <w:szCs w:val="22"/>
        </w:rPr>
        <w:t xml:space="preserve">What to report and when. </w:t>
      </w:r>
      <w:r w:rsidRPr="00534A39">
        <w:rPr>
          <w:bCs/>
          <w:color w:val="auto"/>
          <w:sz w:val="22"/>
          <w:szCs w:val="22"/>
        </w:rPr>
        <w:t>If the event or information does not meet one of the criteria in the table below, it does not need to be reported.</w:t>
      </w:r>
    </w:p>
    <w:p w14:paraId="4BB71711" w14:textId="34000781" w:rsidR="00534A39" w:rsidRDefault="00534A39" w:rsidP="00534A39">
      <w:pPr>
        <w:pStyle w:val="NoSpacing"/>
        <w:numPr>
          <w:ilvl w:val="0"/>
          <w:numId w:val="43"/>
        </w:numPr>
        <w:tabs>
          <w:tab w:val="left" w:pos="1080"/>
        </w:tabs>
        <w:rPr>
          <w:bCs/>
          <w:color w:val="auto"/>
          <w:sz w:val="22"/>
          <w:szCs w:val="22"/>
        </w:rPr>
      </w:pPr>
      <w:r w:rsidRPr="00534A39">
        <w:rPr>
          <w:bCs/>
          <w:color w:val="auto"/>
          <w:sz w:val="22"/>
          <w:szCs w:val="22"/>
        </w:rPr>
        <w:t>If you are unsure whether an event requires reporting, consult with the UW lead site researcher or contact the UW Human Subjects Division (HSD) at hsdreprt@uw.edu or call 206-543-0098 and ask to speak with a member of the Regulatory Affairs team.</w:t>
      </w:r>
    </w:p>
    <w:p w14:paraId="64EB01CA" w14:textId="77777777" w:rsidR="00534A39" w:rsidRPr="00534A39" w:rsidRDefault="00534A39" w:rsidP="00534A39">
      <w:pPr>
        <w:pStyle w:val="ListParagraph"/>
        <w:numPr>
          <w:ilvl w:val="0"/>
          <w:numId w:val="43"/>
        </w:numPr>
        <w:spacing w:after="0"/>
        <w:rPr>
          <w:b/>
          <w:i/>
          <w:iCs/>
        </w:rPr>
      </w:pPr>
      <w:r w:rsidRPr="00534A39">
        <w:rPr>
          <w:b/>
          <w:i/>
          <w:iCs/>
        </w:rPr>
        <w:t xml:space="preserve">IMPORTANT: The timeframe for reporting begins when the non-UW researcher become aware of the event or new information. </w:t>
      </w:r>
    </w:p>
    <w:p w14:paraId="1D60A38F" w14:textId="77777777" w:rsidR="00534A39" w:rsidRPr="00534A39" w:rsidRDefault="00534A39" w:rsidP="00534A39">
      <w:pPr>
        <w:pStyle w:val="NoSpacing"/>
        <w:numPr>
          <w:ilvl w:val="1"/>
          <w:numId w:val="43"/>
        </w:numPr>
        <w:tabs>
          <w:tab w:val="left" w:pos="1080"/>
        </w:tabs>
        <w:rPr>
          <w:bCs/>
          <w:color w:val="auto"/>
          <w:sz w:val="22"/>
          <w:szCs w:val="22"/>
        </w:rPr>
      </w:pPr>
      <w:r w:rsidRPr="00534A39">
        <w:rPr>
          <w:bCs/>
          <w:color w:val="auto"/>
          <w:sz w:val="22"/>
          <w:szCs w:val="22"/>
        </w:rPr>
        <w:t xml:space="preserve">For example, if a breach occurs at a relying site, that event must be reported to the UW lead site who in turn must report it to the IRB, all within 24 hours. </w:t>
      </w:r>
    </w:p>
    <w:p w14:paraId="6E90DE21" w14:textId="1F6F79C5" w:rsidR="00534A39" w:rsidRPr="00534A39" w:rsidRDefault="00534A39" w:rsidP="00534A39">
      <w:pPr>
        <w:pStyle w:val="NoSpacing"/>
        <w:numPr>
          <w:ilvl w:val="1"/>
          <w:numId w:val="43"/>
        </w:numPr>
        <w:tabs>
          <w:tab w:val="left" w:pos="1080"/>
        </w:tabs>
        <w:rPr>
          <w:bCs/>
          <w:color w:val="auto"/>
          <w:sz w:val="22"/>
          <w:szCs w:val="22"/>
        </w:rPr>
      </w:pPr>
      <w:r w:rsidRPr="00534A39">
        <w:rPr>
          <w:bCs/>
          <w:color w:val="auto"/>
          <w:sz w:val="22"/>
          <w:szCs w:val="22"/>
        </w:rPr>
        <w:t>This means that non-UW relying sites should inform the UW lead team about any reportable event or information as soon as possible, so that the lead team has enough time to meet the reporting timelines described in the table.</w:t>
      </w:r>
    </w:p>
    <w:p w14:paraId="582EC05B" w14:textId="14965494" w:rsidR="008845C7" w:rsidRDefault="008845C7" w:rsidP="00534A39">
      <w:pPr>
        <w:pStyle w:val="NoSpacing"/>
        <w:ind w:left="900" w:hanging="540"/>
        <w:rPr>
          <w:bCs/>
          <w:color w:val="auto"/>
          <w:sz w:val="22"/>
          <w:szCs w:val="22"/>
        </w:rPr>
      </w:pPr>
    </w:p>
    <w:tbl>
      <w:tblPr>
        <w:tblW w:w="9892" w:type="dxa"/>
        <w:tblInd w:w="172" w:type="dxa"/>
        <w:tblBorders>
          <w:top w:val="single" w:sz="6" w:space="0" w:color="ABABAB"/>
          <w:left w:val="single" w:sz="6" w:space="0" w:color="ABABAB"/>
          <w:bottom w:val="single" w:sz="6" w:space="0" w:color="ABABAB"/>
          <w:right w:val="single" w:sz="6" w:space="0" w:color="ABABAB"/>
        </w:tblBorders>
        <w:shd w:val="clear" w:color="auto" w:fill="FFFFFF"/>
        <w:tblCellMar>
          <w:top w:w="15" w:type="dxa"/>
          <w:left w:w="15" w:type="dxa"/>
          <w:bottom w:w="15" w:type="dxa"/>
          <w:right w:w="15" w:type="dxa"/>
        </w:tblCellMar>
        <w:tblLook w:val="0480" w:firstRow="0" w:lastRow="0" w:firstColumn="1" w:lastColumn="0" w:noHBand="0" w:noVBand="1"/>
        <w:tblCaption w:val="Table of reportable events and deadlines for reporting"/>
        <w:tblDescription w:val="This table lists the different types of information and events that need to be reported to HSD. The second column lists the timeframe and deadline when reporting needs to be completed to HSD."/>
      </w:tblPr>
      <w:tblGrid>
        <w:gridCol w:w="6742"/>
        <w:gridCol w:w="3150"/>
      </w:tblGrid>
      <w:tr w:rsidR="008C1F90" w:rsidRPr="001572EE" w14:paraId="7F3B70C6" w14:textId="77777777" w:rsidTr="008C1F90">
        <w:trPr>
          <w:trHeight w:val="180"/>
          <w:tblHeader/>
        </w:trPr>
        <w:tc>
          <w:tcPr>
            <w:tcW w:w="6742" w:type="dxa"/>
            <w:tcBorders>
              <w:top w:val="outset" w:sz="6" w:space="0" w:color="auto"/>
              <w:left w:val="outset" w:sz="6" w:space="0" w:color="auto"/>
              <w:bottom w:val="outset" w:sz="6" w:space="0" w:color="auto"/>
              <w:right w:val="outset" w:sz="6" w:space="0" w:color="auto"/>
            </w:tcBorders>
            <w:shd w:val="clear" w:color="auto" w:fill="E2E2E2"/>
            <w:tcMar>
              <w:top w:w="120" w:type="dxa"/>
              <w:left w:w="120" w:type="dxa"/>
              <w:bottom w:w="120" w:type="dxa"/>
              <w:right w:w="120" w:type="dxa"/>
            </w:tcMar>
            <w:vAlign w:val="center"/>
            <w:hideMark/>
          </w:tcPr>
          <w:p w14:paraId="46B0B307" w14:textId="77777777" w:rsidR="008C1F90" w:rsidRPr="001572EE" w:rsidRDefault="008C1F90" w:rsidP="003F4417">
            <w:pPr>
              <w:spacing w:after="0" w:line="240" w:lineRule="auto"/>
              <w:jc w:val="center"/>
              <w:rPr>
                <w:rFonts w:ascii="Calibri" w:eastAsia="Times New Roman" w:hAnsi="Calibri" w:cs="Calibri"/>
                <w:b/>
                <w:bCs/>
                <w:color w:val="3D3D3D"/>
              </w:rPr>
            </w:pPr>
            <w:r w:rsidRPr="001572EE">
              <w:rPr>
                <w:rFonts w:ascii="Calibri" w:eastAsia="Times New Roman" w:hAnsi="Calibri" w:cs="Calibri"/>
                <w:b/>
                <w:bCs/>
                <w:color w:val="3D3D3D"/>
              </w:rPr>
              <w:t>Information or Event</w:t>
            </w:r>
          </w:p>
        </w:tc>
        <w:tc>
          <w:tcPr>
            <w:tcW w:w="3150" w:type="dxa"/>
            <w:tcBorders>
              <w:top w:val="outset" w:sz="6" w:space="0" w:color="auto"/>
              <w:left w:val="outset" w:sz="6" w:space="0" w:color="auto"/>
              <w:bottom w:val="outset" w:sz="6" w:space="0" w:color="auto"/>
              <w:right w:val="outset" w:sz="6" w:space="0" w:color="auto"/>
            </w:tcBorders>
            <w:shd w:val="clear" w:color="auto" w:fill="E2E2E2"/>
            <w:tcMar>
              <w:top w:w="120" w:type="dxa"/>
              <w:left w:w="120" w:type="dxa"/>
              <w:bottom w:w="120" w:type="dxa"/>
              <w:right w:w="120" w:type="dxa"/>
            </w:tcMar>
            <w:vAlign w:val="center"/>
            <w:hideMark/>
          </w:tcPr>
          <w:p w14:paraId="03D0E059" w14:textId="6D724D19" w:rsidR="008C1F90" w:rsidRPr="001572EE" w:rsidRDefault="008C1F90" w:rsidP="003F4417">
            <w:pPr>
              <w:spacing w:after="0" w:line="240" w:lineRule="auto"/>
              <w:jc w:val="center"/>
              <w:rPr>
                <w:rFonts w:ascii="Calibri" w:eastAsia="Times New Roman" w:hAnsi="Calibri" w:cs="Calibri"/>
                <w:b/>
                <w:bCs/>
                <w:color w:val="3D3D3D"/>
              </w:rPr>
            </w:pPr>
            <w:r w:rsidRPr="001572EE">
              <w:rPr>
                <w:rFonts w:ascii="Calibri" w:eastAsia="Times New Roman" w:hAnsi="Calibri" w:cs="Calibri"/>
                <w:b/>
                <w:bCs/>
                <w:color w:val="3D3D3D"/>
              </w:rPr>
              <w:t xml:space="preserve">When to report </w:t>
            </w:r>
          </w:p>
        </w:tc>
      </w:tr>
      <w:tr w:rsidR="008C1F90" w:rsidRPr="001572EE" w14:paraId="5959075F" w14:textId="77777777" w:rsidTr="008C1F90">
        <w:trPr>
          <w:trHeight w:val="732"/>
        </w:trPr>
        <w:tc>
          <w:tcPr>
            <w:tcW w:w="6742" w:type="dxa"/>
            <w:tcBorders>
              <w:top w:val="single" w:sz="12" w:space="0" w:color="929292"/>
              <w:left w:val="single" w:sz="12" w:space="0" w:color="929292"/>
              <w:right w:val="single" w:sz="12" w:space="0" w:color="929292"/>
            </w:tcBorders>
            <w:shd w:val="clear" w:color="auto" w:fill="FCFFF5"/>
            <w:tcMar>
              <w:top w:w="120" w:type="dxa"/>
              <w:left w:w="120" w:type="dxa"/>
              <w:bottom w:w="120" w:type="dxa"/>
              <w:right w:w="120" w:type="dxa"/>
            </w:tcMar>
            <w:vAlign w:val="center"/>
            <w:hideMark/>
          </w:tcPr>
          <w:p w14:paraId="26624FD8" w14:textId="77777777" w:rsidR="008C1F90" w:rsidRPr="001572EE" w:rsidRDefault="008C1F90" w:rsidP="003F4417">
            <w:pPr>
              <w:spacing w:after="0" w:line="240" w:lineRule="auto"/>
              <w:rPr>
                <w:rFonts w:ascii="Calibri" w:eastAsia="Times New Roman" w:hAnsi="Calibri" w:cs="Calibri"/>
                <w:color w:val="3D3D3D"/>
              </w:rPr>
            </w:pPr>
            <w:r w:rsidRPr="001572EE">
              <w:rPr>
                <w:rFonts w:ascii="Calibri" w:eastAsia="Times New Roman" w:hAnsi="Calibri" w:cs="Calibri"/>
                <w:color w:val="3D3D3D"/>
              </w:rPr>
              <w:t>Breach (or risk of breach) or loss of subject confidentiality or privacy</w:t>
            </w:r>
          </w:p>
        </w:tc>
        <w:tc>
          <w:tcPr>
            <w:tcW w:w="3150" w:type="dxa"/>
            <w:tcBorders>
              <w:top w:val="single" w:sz="12" w:space="0" w:color="929292"/>
              <w:left w:val="single" w:sz="12" w:space="0" w:color="929292"/>
              <w:bottom w:val="single" w:sz="12" w:space="0" w:color="929292"/>
              <w:right w:val="single" w:sz="12" w:space="0" w:color="929292"/>
            </w:tcBorders>
            <w:shd w:val="clear" w:color="auto" w:fill="BECBC4"/>
            <w:tcMar>
              <w:top w:w="120" w:type="dxa"/>
              <w:left w:w="120" w:type="dxa"/>
              <w:bottom w:w="120" w:type="dxa"/>
              <w:right w:w="120" w:type="dxa"/>
            </w:tcMar>
            <w:vAlign w:val="center"/>
            <w:hideMark/>
          </w:tcPr>
          <w:p w14:paraId="249DEB4F" w14:textId="77777777" w:rsidR="008C1F90" w:rsidRPr="001572EE" w:rsidRDefault="008C1F90" w:rsidP="003F4417">
            <w:pPr>
              <w:spacing w:after="0" w:line="240" w:lineRule="auto"/>
              <w:jc w:val="center"/>
              <w:rPr>
                <w:rFonts w:ascii="Calibri" w:eastAsia="Times New Roman" w:hAnsi="Calibri" w:cs="Calibri"/>
                <w:color w:val="3D3D3D"/>
              </w:rPr>
            </w:pPr>
            <w:r w:rsidRPr="001572EE">
              <w:rPr>
                <w:rFonts w:ascii="Calibri" w:eastAsia="Times New Roman" w:hAnsi="Calibri" w:cs="Calibri"/>
                <w:b/>
                <w:bCs/>
                <w:color w:val="3D3D3D"/>
              </w:rPr>
              <w:t>Report within 24 hours</w:t>
            </w:r>
          </w:p>
        </w:tc>
      </w:tr>
      <w:tr w:rsidR="008C1F90" w:rsidRPr="001572EE" w14:paraId="084E3333" w14:textId="77777777" w:rsidTr="008C1F90">
        <w:trPr>
          <w:trHeight w:val="648"/>
        </w:trPr>
        <w:tc>
          <w:tcPr>
            <w:tcW w:w="6742" w:type="dxa"/>
            <w:tcBorders>
              <w:top w:val="outset" w:sz="6" w:space="0" w:color="auto"/>
              <w:left w:val="single" w:sz="12" w:space="0" w:color="929292"/>
              <w:bottom w:val="single" w:sz="12" w:space="0" w:color="929292"/>
              <w:right w:val="single" w:sz="12" w:space="0" w:color="929292"/>
            </w:tcBorders>
            <w:shd w:val="clear" w:color="auto" w:fill="FCFFF5"/>
            <w:tcMar>
              <w:top w:w="120" w:type="dxa"/>
              <w:left w:w="120" w:type="dxa"/>
              <w:bottom w:w="120" w:type="dxa"/>
              <w:right w:w="120" w:type="dxa"/>
            </w:tcMar>
            <w:vAlign w:val="center"/>
            <w:hideMark/>
          </w:tcPr>
          <w:p w14:paraId="477CA0E7" w14:textId="77777777" w:rsidR="008C1F90" w:rsidRPr="001572EE" w:rsidRDefault="008C1F90" w:rsidP="008C1F90">
            <w:pPr>
              <w:spacing w:after="0" w:line="240" w:lineRule="auto"/>
              <w:rPr>
                <w:rFonts w:ascii="Calibri" w:eastAsia="Times New Roman" w:hAnsi="Calibri" w:cs="Calibri"/>
                <w:color w:val="3D3D3D"/>
              </w:rPr>
            </w:pPr>
            <w:r w:rsidRPr="001572EE">
              <w:rPr>
                <w:rFonts w:ascii="Calibri" w:eastAsia="Times New Roman" w:hAnsi="Calibri" w:cs="Calibri"/>
                <w:color w:val="3D3D3D"/>
              </w:rPr>
              <w:t>Inappropriate access or use of </w:t>
            </w:r>
            <w:hyperlink r:id="rId12" w:history="1">
              <w:r w:rsidRPr="001572EE">
                <w:rPr>
                  <w:rFonts w:ascii="Calibri" w:eastAsia="Times New Roman" w:hAnsi="Calibri" w:cs="Calibri"/>
                  <w:color w:val="0074BB"/>
                  <w:u w:val="single"/>
                </w:rPr>
                <w:t>protected health information (PHI)</w:t>
              </w:r>
            </w:hyperlink>
          </w:p>
        </w:tc>
        <w:tc>
          <w:tcPr>
            <w:tcW w:w="3150" w:type="dxa"/>
            <w:tcBorders>
              <w:top w:val="single" w:sz="12" w:space="0" w:color="929292"/>
              <w:left w:val="single" w:sz="12" w:space="0" w:color="929292"/>
              <w:bottom w:val="single" w:sz="12" w:space="0" w:color="929292"/>
              <w:right w:val="single" w:sz="12" w:space="0" w:color="929292"/>
            </w:tcBorders>
            <w:shd w:val="clear" w:color="auto" w:fill="BECBC4"/>
            <w:vAlign w:val="center"/>
            <w:hideMark/>
          </w:tcPr>
          <w:p w14:paraId="13358C25" w14:textId="77777777" w:rsidR="008C1F90" w:rsidRPr="001572EE" w:rsidRDefault="008C1F90" w:rsidP="003F4417">
            <w:pPr>
              <w:spacing w:after="0" w:line="240" w:lineRule="auto"/>
              <w:jc w:val="center"/>
              <w:rPr>
                <w:rFonts w:ascii="Calibri" w:eastAsia="Times New Roman" w:hAnsi="Calibri" w:cs="Calibri"/>
                <w:color w:val="3D3D3D"/>
              </w:rPr>
            </w:pPr>
            <w:r w:rsidRPr="001572EE">
              <w:rPr>
                <w:rFonts w:ascii="Calibri" w:eastAsia="Times New Roman" w:hAnsi="Calibri" w:cs="Calibri"/>
                <w:b/>
                <w:bCs/>
                <w:color w:val="3D3D3D"/>
              </w:rPr>
              <w:t>Report within 24 hours</w:t>
            </w:r>
          </w:p>
        </w:tc>
      </w:tr>
      <w:tr w:rsidR="008C1F90" w:rsidRPr="001572EE" w14:paraId="135D691C" w14:textId="77777777" w:rsidTr="008C1F90">
        <w:tc>
          <w:tcPr>
            <w:tcW w:w="6742" w:type="dxa"/>
            <w:tcBorders>
              <w:top w:val="single" w:sz="12" w:space="0" w:color="929292"/>
              <w:left w:val="single" w:sz="12" w:space="0" w:color="929292"/>
              <w:bottom w:val="outset" w:sz="6" w:space="0" w:color="auto"/>
              <w:right w:val="single" w:sz="12" w:space="0" w:color="929292"/>
            </w:tcBorders>
            <w:shd w:val="clear" w:color="auto" w:fill="D1DBBD"/>
            <w:tcMar>
              <w:top w:w="120" w:type="dxa"/>
              <w:left w:w="120" w:type="dxa"/>
              <w:bottom w:w="120" w:type="dxa"/>
              <w:right w:w="120" w:type="dxa"/>
            </w:tcMar>
            <w:hideMark/>
          </w:tcPr>
          <w:p w14:paraId="3B0ED124" w14:textId="77777777" w:rsidR="008C1F90" w:rsidRPr="001572EE" w:rsidRDefault="008C1F90" w:rsidP="003F4417">
            <w:pPr>
              <w:spacing w:after="0" w:line="240" w:lineRule="auto"/>
              <w:rPr>
                <w:rFonts w:ascii="Calibri" w:eastAsia="Times New Roman" w:hAnsi="Calibri" w:cs="Calibri"/>
                <w:color w:val="3D3D3D"/>
              </w:rPr>
            </w:pPr>
            <w:r w:rsidRPr="001572EE">
              <w:rPr>
                <w:rFonts w:ascii="Calibri" w:eastAsia="Times New Roman" w:hAnsi="Calibri" w:cs="Calibri"/>
                <w:color w:val="3D3D3D"/>
              </w:rPr>
              <w:lastRenderedPageBreak/>
              <w:t>Incidental incarceration of a research subject in a study that the IRB has not approved for the inclusion of prisoners </w:t>
            </w:r>
            <w:r w:rsidRPr="001572EE">
              <w:rPr>
                <w:rFonts w:ascii="Calibri" w:eastAsia="Times New Roman" w:hAnsi="Calibri" w:cs="Calibri"/>
                <w:b/>
                <w:bCs/>
                <w:color w:val="3D3D3D"/>
              </w:rPr>
              <w:t>and</w:t>
            </w:r>
            <w:r w:rsidRPr="001572EE">
              <w:rPr>
                <w:rFonts w:ascii="Calibri" w:eastAsia="Times New Roman" w:hAnsi="Calibri" w:cs="Calibri"/>
                <w:color w:val="3D3D3D"/>
              </w:rPr>
              <w:t> where study activities or data collection will continue while the subject is incarcerated</w:t>
            </w:r>
          </w:p>
          <w:p w14:paraId="427A32F6" w14:textId="77777777" w:rsidR="008C1F90" w:rsidRPr="001572EE" w:rsidRDefault="008C1F90" w:rsidP="003F4417">
            <w:pPr>
              <w:spacing w:after="0" w:line="240" w:lineRule="auto"/>
              <w:rPr>
                <w:rFonts w:ascii="Calibri" w:eastAsia="Times New Roman" w:hAnsi="Calibri" w:cs="Calibri"/>
                <w:color w:val="3D3D3D"/>
              </w:rPr>
            </w:pPr>
          </w:p>
        </w:tc>
        <w:tc>
          <w:tcPr>
            <w:tcW w:w="3150" w:type="dxa"/>
            <w:tcBorders>
              <w:top w:val="single" w:sz="12" w:space="0" w:color="929292"/>
              <w:left w:val="single" w:sz="12" w:space="0" w:color="929292"/>
              <w:bottom w:val="single" w:sz="12" w:space="0" w:color="929292"/>
              <w:right w:val="single" w:sz="12" w:space="0" w:color="929292"/>
            </w:tcBorders>
            <w:shd w:val="clear" w:color="auto" w:fill="A0B4A9"/>
            <w:tcMar>
              <w:top w:w="120" w:type="dxa"/>
              <w:left w:w="120" w:type="dxa"/>
              <w:bottom w:w="120" w:type="dxa"/>
              <w:right w:w="120" w:type="dxa"/>
            </w:tcMar>
            <w:vAlign w:val="center"/>
            <w:hideMark/>
          </w:tcPr>
          <w:p w14:paraId="6501DBE2" w14:textId="77777777" w:rsidR="008C1F90" w:rsidRPr="001572EE" w:rsidRDefault="008C1F90" w:rsidP="003F4417">
            <w:pPr>
              <w:spacing w:after="0" w:line="240" w:lineRule="auto"/>
              <w:jc w:val="center"/>
              <w:rPr>
                <w:rFonts w:ascii="Calibri" w:eastAsia="Times New Roman" w:hAnsi="Calibri" w:cs="Calibri"/>
                <w:color w:val="3D3D3D"/>
              </w:rPr>
            </w:pPr>
            <w:r w:rsidRPr="001572EE">
              <w:rPr>
                <w:rFonts w:ascii="Calibri" w:eastAsia="Times New Roman" w:hAnsi="Calibri" w:cs="Calibri"/>
                <w:b/>
                <w:bCs/>
                <w:color w:val="3D3D3D"/>
              </w:rPr>
              <w:t>Report within 3 business days</w:t>
            </w:r>
          </w:p>
        </w:tc>
      </w:tr>
      <w:tr w:rsidR="008C1F90" w:rsidRPr="001572EE" w14:paraId="2B7F778A" w14:textId="77777777" w:rsidTr="008C1F90">
        <w:tc>
          <w:tcPr>
            <w:tcW w:w="6742" w:type="dxa"/>
            <w:tcBorders>
              <w:top w:val="outset" w:sz="6" w:space="0" w:color="auto"/>
              <w:left w:val="single" w:sz="12" w:space="0" w:color="929292"/>
              <w:bottom w:val="single" w:sz="12" w:space="0" w:color="929292"/>
              <w:right w:val="single" w:sz="12" w:space="0" w:color="929292"/>
            </w:tcBorders>
            <w:shd w:val="clear" w:color="auto" w:fill="D1DBBD"/>
            <w:tcMar>
              <w:top w:w="120" w:type="dxa"/>
              <w:left w:w="120" w:type="dxa"/>
              <w:bottom w:w="120" w:type="dxa"/>
              <w:right w:w="120" w:type="dxa"/>
            </w:tcMar>
            <w:hideMark/>
          </w:tcPr>
          <w:p w14:paraId="77ACCB3C" w14:textId="39DCE953" w:rsidR="008C1F90" w:rsidRPr="001572EE" w:rsidRDefault="008C1F90" w:rsidP="003F4417">
            <w:pPr>
              <w:spacing w:after="0" w:line="240" w:lineRule="auto"/>
              <w:rPr>
                <w:rFonts w:ascii="Calibri" w:eastAsia="Times New Roman" w:hAnsi="Calibri" w:cs="Calibri"/>
                <w:color w:val="3D3D3D"/>
              </w:rPr>
            </w:pPr>
            <w:r w:rsidRPr="001572EE">
              <w:rPr>
                <w:rFonts w:ascii="Calibri" w:eastAsia="Times New Roman" w:hAnsi="Calibri" w:cs="Calibri"/>
                <w:color w:val="3D3D3D"/>
              </w:rPr>
              <w:t>For DOD funded EFICs studies only: </w:t>
            </w:r>
            <w:r w:rsidRPr="001572EE">
              <w:rPr>
                <w:rFonts w:ascii="Calibri" w:eastAsia="Times New Roman" w:hAnsi="Calibri" w:cs="Calibri"/>
                <w:b/>
                <w:bCs/>
                <w:color w:val="3D3D3D"/>
              </w:rPr>
              <w:t>All</w:t>
            </w:r>
            <w:r w:rsidRPr="001572EE">
              <w:rPr>
                <w:rFonts w:ascii="Calibri" w:eastAsia="Times New Roman" w:hAnsi="Calibri" w:cs="Calibri"/>
                <w:color w:val="3D3D3D"/>
              </w:rPr>
              <w:t> incidental incarceration of a research subject even if study activities and data collection will not occur during the incarceration</w:t>
            </w:r>
          </w:p>
          <w:p w14:paraId="3AFDC2C5" w14:textId="77777777" w:rsidR="008C1F90" w:rsidRPr="001572EE" w:rsidRDefault="008C1F90" w:rsidP="003F4417">
            <w:pPr>
              <w:spacing w:after="0" w:line="240" w:lineRule="auto"/>
              <w:rPr>
                <w:rFonts w:ascii="Calibri" w:eastAsia="Times New Roman" w:hAnsi="Calibri" w:cs="Calibri"/>
                <w:color w:val="3D3D3D"/>
              </w:rPr>
            </w:pPr>
          </w:p>
        </w:tc>
        <w:tc>
          <w:tcPr>
            <w:tcW w:w="3150" w:type="dxa"/>
            <w:tcBorders>
              <w:top w:val="single" w:sz="12" w:space="0" w:color="929292"/>
              <w:left w:val="single" w:sz="12" w:space="0" w:color="929292"/>
              <w:bottom w:val="single" w:sz="12" w:space="0" w:color="929292"/>
              <w:right w:val="single" w:sz="12" w:space="0" w:color="929292"/>
            </w:tcBorders>
            <w:shd w:val="clear" w:color="auto" w:fill="A0B4A9"/>
            <w:vAlign w:val="center"/>
            <w:hideMark/>
          </w:tcPr>
          <w:p w14:paraId="3425DC41" w14:textId="77777777" w:rsidR="008C1F90" w:rsidRPr="009601AC" w:rsidRDefault="008C1F90" w:rsidP="003F4417">
            <w:pPr>
              <w:spacing w:after="0" w:line="240" w:lineRule="auto"/>
              <w:jc w:val="center"/>
              <w:rPr>
                <w:rFonts w:ascii="Calibri" w:eastAsia="Times New Roman" w:hAnsi="Calibri" w:cs="Calibri"/>
                <w:b/>
                <w:bCs/>
                <w:color w:val="3D3D3D"/>
              </w:rPr>
            </w:pPr>
            <w:r w:rsidRPr="009601AC">
              <w:rPr>
                <w:rFonts w:ascii="Calibri" w:eastAsia="Times New Roman" w:hAnsi="Calibri" w:cs="Calibri"/>
                <w:b/>
                <w:bCs/>
                <w:color w:val="3D3D3D"/>
              </w:rPr>
              <w:t>Report within 3 business days</w:t>
            </w:r>
          </w:p>
        </w:tc>
      </w:tr>
      <w:tr w:rsidR="008C1F90" w:rsidRPr="001572EE" w14:paraId="0A939CA1" w14:textId="77777777" w:rsidTr="008C1F90">
        <w:tc>
          <w:tcPr>
            <w:tcW w:w="6742" w:type="dxa"/>
            <w:tcBorders>
              <w:top w:val="single" w:sz="12" w:space="0" w:color="929292"/>
              <w:left w:val="single" w:sz="12" w:space="0" w:color="929292"/>
              <w:bottom w:val="outset" w:sz="6" w:space="0" w:color="auto"/>
              <w:right w:val="single" w:sz="12" w:space="0" w:color="929292"/>
            </w:tcBorders>
            <w:shd w:val="clear" w:color="auto" w:fill="91AA9D"/>
            <w:tcMar>
              <w:top w:w="120" w:type="dxa"/>
              <w:left w:w="120" w:type="dxa"/>
              <w:bottom w:w="120" w:type="dxa"/>
              <w:right w:w="120" w:type="dxa"/>
            </w:tcMar>
            <w:hideMark/>
          </w:tcPr>
          <w:p w14:paraId="5419BF60" w14:textId="77777777" w:rsidR="008C1F90" w:rsidRPr="001572EE" w:rsidRDefault="008C1F90" w:rsidP="003F4417">
            <w:pPr>
              <w:spacing w:after="0" w:line="240" w:lineRule="auto"/>
              <w:rPr>
                <w:rFonts w:ascii="Calibri" w:eastAsia="Times New Roman" w:hAnsi="Calibri" w:cs="Calibri"/>
                <w:color w:val="3D3D3D"/>
              </w:rPr>
            </w:pPr>
            <w:hyperlink r:id="rId13" w:history="1">
              <w:r w:rsidRPr="00E4491E">
                <w:rPr>
                  <w:rFonts w:ascii="Calibri" w:eastAsia="Times New Roman" w:hAnsi="Calibri" w:cs="Calibri"/>
                  <w:color w:val="003878"/>
                  <w:u w:val="single"/>
                </w:rPr>
                <w:t>Unanticipated problem</w:t>
              </w:r>
            </w:hyperlink>
          </w:p>
        </w:tc>
        <w:tc>
          <w:tcPr>
            <w:tcW w:w="3150" w:type="dxa"/>
            <w:tcBorders>
              <w:top w:val="single" w:sz="12" w:space="0" w:color="929292"/>
              <w:left w:val="single" w:sz="12" w:space="0" w:color="929292"/>
              <w:bottom w:val="single" w:sz="12" w:space="0" w:color="929292"/>
              <w:right w:val="single" w:sz="12" w:space="0" w:color="929292"/>
            </w:tcBorders>
            <w:shd w:val="clear" w:color="auto" w:fill="546C5C"/>
            <w:tcMar>
              <w:top w:w="120" w:type="dxa"/>
              <w:left w:w="120" w:type="dxa"/>
              <w:bottom w:w="120" w:type="dxa"/>
              <w:right w:w="120" w:type="dxa"/>
            </w:tcMar>
            <w:vAlign w:val="center"/>
          </w:tcPr>
          <w:p w14:paraId="7ACFA255" w14:textId="77777777" w:rsidR="008C1F90" w:rsidRPr="009601AC" w:rsidRDefault="008C1F90" w:rsidP="003F4417">
            <w:pPr>
              <w:spacing w:after="0" w:line="240" w:lineRule="atLeast"/>
              <w:jc w:val="center"/>
              <w:rPr>
                <w:rFonts w:ascii="Calibri" w:eastAsia="Times New Roman" w:hAnsi="Calibri" w:cs="Calibri"/>
                <w:b/>
                <w:bCs/>
              </w:rPr>
            </w:pPr>
            <w:r w:rsidRPr="009601AC">
              <w:rPr>
                <w:rFonts w:ascii="Calibri" w:eastAsia="Times New Roman" w:hAnsi="Calibri" w:cs="Calibri"/>
                <w:b/>
                <w:bCs/>
                <w:color w:val="FFFFFF" w:themeColor="background1"/>
              </w:rPr>
              <w:t>Report within 10 business days</w:t>
            </w:r>
          </w:p>
        </w:tc>
      </w:tr>
      <w:tr w:rsidR="008C1F90" w:rsidRPr="001572EE" w14:paraId="3DBC2FE8" w14:textId="77777777" w:rsidTr="008C1F90">
        <w:tc>
          <w:tcPr>
            <w:tcW w:w="6742" w:type="dxa"/>
            <w:tcBorders>
              <w:top w:val="outset" w:sz="6" w:space="0" w:color="auto"/>
              <w:left w:val="single" w:sz="12" w:space="0" w:color="929292"/>
              <w:bottom w:val="outset" w:sz="6" w:space="0" w:color="auto"/>
              <w:right w:val="single" w:sz="12" w:space="0" w:color="929292"/>
            </w:tcBorders>
            <w:shd w:val="clear" w:color="auto" w:fill="91AA9D"/>
            <w:tcMar>
              <w:top w:w="120" w:type="dxa"/>
              <w:left w:w="120" w:type="dxa"/>
              <w:bottom w:w="120" w:type="dxa"/>
              <w:right w:w="120" w:type="dxa"/>
            </w:tcMar>
            <w:hideMark/>
          </w:tcPr>
          <w:p w14:paraId="5BEC88CE" w14:textId="77777777" w:rsidR="008C1F90" w:rsidRPr="001572EE" w:rsidRDefault="008C1F90" w:rsidP="003F4417">
            <w:pPr>
              <w:spacing w:after="0" w:line="240" w:lineRule="auto"/>
              <w:rPr>
                <w:rFonts w:ascii="Calibri" w:eastAsia="Times New Roman" w:hAnsi="Calibri" w:cs="Calibri"/>
                <w:color w:val="3D3D3D"/>
              </w:rPr>
            </w:pPr>
            <w:hyperlink r:id="rId14" w:history="1">
              <w:r w:rsidRPr="00E4491E">
                <w:rPr>
                  <w:rFonts w:ascii="Calibri" w:eastAsia="Times New Roman" w:hAnsi="Calibri" w:cs="Calibri"/>
                  <w:color w:val="003878"/>
                  <w:u w:val="single"/>
                </w:rPr>
                <w:t>Unanticipated adverse device effect</w:t>
              </w:r>
            </w:hyperlink>
          </w:p>
        </w:tc>
        <w:tc>
          <w:tcPr>
            <w:tcW w:w="3150" w:type="dxa"/>
            <w:tcBorders>
              <w:top w:val="single" w:sz="12" w:space="0" w:color="929292"/>
              <w:left w:val="single" w:sz="12" w:space="0" w:color="929292"/>
              <w:bottom w:val="single" w:sz="12" w:space="0" w:color="929292"/>
              <w:right w:val="single" w:sz="12" w:space="0" w:color="929292"/>
            </w:tcBorders>
            <w:shd w:val="clear" w:color="auto" w:fill="546C5C"/>
            <w:hideMark/>
          </w:tcPr>
          <w:p w14:paraId="1C492925" w14:textId="77777777" w:rsidR="008C1F90" w:rsidRPr="001572EE" w:rsidRDefault="008C1F90" w:rsidP="003F4417">
            <w:pPr>
              <w:spacing w:after="0" w:line="240" w:lineRule="auto"/>
              <w:jc w:val="center"/>
              <w:rPr>
                <w:rFonts w:ascii="Calibri" w:eastAsia="Times New Roman" w:hAnsi="Calibri" w:cs="Calibri"/>
                <w:color w:val="FFFFFF"/>
              </w:rPr>
            </w:pPr>
            <w:r w:rsidRPr="00356977">
              <w:rPr>
                <w:rFonts w:ascii="Calibri" w:eastAsia="Times New Roman" w:hAnsi="Calibri" w:cs="Calibri"/>
                <w:b/>
                <w:bCs/>
                <w:color w:val="FFFFFF" w:themeColor="background1"/>
              </w:rPr>
              <w:t>Report within 10 business days</w:t>
            </w:r>
          </w:p>
        </w:tc>
      </w:tr>
      <w:tr w:rsidR="008C1F90" w:rsidRPr="001572EE" w14:paraId="354CA7B5" w14:textId="77777777" w:rsidTr="008C1F90">
        <w:tc>
          <w:tcPr>
            <w:tcW w:w="6742" w:type="dxa"/>
            <w:tcBorders>
              <w:top w:val="outset" w:sz="6" w:space="0" w:color="auto"/>
              <w:left w:val="single" w:sz="12" w:space="0" w:color="929292"/>
              <w:bottom w:val="outset" w:sz="6" w:space="0" w:color="auto"/>
              <w:right w:val="single" w:sz="12" w:space="0" w:color="929292"/>
            </w:tcBorders>
            <w:shd w:val="clear" w:color="auto" w:fill="91AA9D"/>
            <w:tcMar>
              <w:top w:w="120" w:type="dxa"/>
              <w:left w:w="120" w:type="dxa"/>
              <w:bottom w:w="120" w:type="dxa"/>
              <w:right w:w="120" w:type="dxa"/>
            </w:tcMar>
            <w:hideMark/>
          </w:tcPr>
          <w:p w14:paraId="7786AB59" w14:textId="77777777" w:rsidR="008C1F90" w:rsidRPr="001572EE" w:rsidRDefault="008C1F90" w:rsidP="003F4417">
            <w:pPr>
              <w:spacing w:after="0" w:line="240" w:lineRule="auto"/>
              <w:rPr>
                <w:rFonts w:ascii="Calibri" w:eastAsia="Times New Roman" w:hAnsi="Calibri" w:cs="Calibri"/>
                <w:color w:val="3D3D3D"/>
              </w:rPr>
            </w:pPr>
            <w:hyperlink r:id="rId15" w:history="1">
              <w:r w:rsidRPr="00E4491E">
                <w:rPr>
                  <w:rFonts w:ascii="Calibri" w:eastAsia="Times New Roman" w:hAnsi="Calibri" w:cs="Calibri"/>
                  <w:color w:val="003878"/>
                  <w:u w:val="single"/>
                </w:rPr>
                <w:t>Serious noncompliance</w:t>
              </w:r>
            </w:hyperlink>
          </w:p>
        </w:tc>
        <w:tc>
          <w:tcPr>
            <w:tcW w:w="3150" w:type="dxa"/>
            <w:tcBorders>
              <w:top w:val="single" w:sz="12" w:space="0" w:color="929292"/>
              <w:left w:val="single" w:sz="12" w:space="0" w:color="929292"/>
              <w:bottom w:val="single" w:sz="12" w:space="0" w:color="929292"/>
              <w:right w:val="single" w:sz="12" w:space="0" w:color="929292"/>
            </w:tcBorders>
            <w:shd w:val="clear" w:color="auto" w:fill="546C5C"/>
            <w:hideMark/>
          </w:tcPr>
          <w:p w14:paraId="04686DE5" w14:textId="77777777" w:rsidR="008C1F90" w:rsidRPr="001572EE" w:rsidRDefault="008C1F90" w:rsidP="003F4417">
            <w:pPr>
              <w:spacing w:after="0" w:line="240" w:lineRule="auto"/>
              <w:jc w:val="center"/>
              <w:rPr>
                <w:rFonts w:ascii="Calibri" w:eastAsia="Times New Roman" w:hAnsi="Calibri" w:cs="Calibri"/>
                <w:color w:val="FFFFFF"/>
              </w:rPr>
            </w:pPr>
            <w:r w:rsidRPr="00356977">
              <w:rPr>
                <w:rFonts w:ascii="Calibri" w:eastAsia="Times New Roman" w:hAnsi="Calibri" w:cs="Calibri"/>
                <w:b/>
                <w:bCs/>
                <w:color w:val="FFFFFF" w:themeColor="background1"/>
              </w:rPr>
              <w:t>Report within 10 business days</w:t>
            </w:r>
          </w:p>
        </w:tc>
      </w:tr>
      <w:tr w:rsidR="008C1F90" w:rsidRPr="001572EE" w14:paraId="6DBCE31C" w14:textId="77777777" w:rsidTr="008C1F90">
        <w:tc>
          <w:tcPr>
            <w:tcW w:w="6742" w:type="dxa"/>
            <w:tcBorders>
              <w:top w:val="outset" w:sz="6" w:space="0" w:color="auto"/>
              <w:left w:val="single" w:sz="12" w:space="0" w:color="929292"/>
              <w:bottom w:val="outset" w:sz="6" w:space="0" w:color="auto"/>
              <w:right w:val="single" w:sz="12" w:space="0" w:color="929292"/>
            </w:tcBorders>
            <w:shd w:val="clear" w:color="auto" w:fill="91AA9D"/>
            <w:tcMar>
              <w:top w:w="120" w:type="dxa"/>
              <w:left w:w="120" w:type="dxa"/>
              <w:bottom w:w="120" w:type="dxa"/>
              <w:right w:w="120" w:type="dxa"/>
            </w:tcMar>
            <w:hideMark/>
          </w:tcPr>
          <w:p w14:paraId="58CAA976" w14:textId="77777777" w:rsidR="008C1F90" w:rsidRPr="001572EE" w:rsidRDefault="008C1F90" w:rsidP="003F4417">
            <w:pPr>
              <w:spacing w:after="0" w:line="240" w:lineRule="auto"/>
              <w:rPr>
                <w:rFonts w:ascii="Calibri" w:eastAsia="Times New Roman" w:hAnsi="Calibri" w:cs="Calibri"/>
                <w:color w:val="3D3D3D"/>
              </w:rPr>
            </w:pPr>
            <w:hyperlink r:id="rId16" w:history="1">
              <w:r w:rsidRPr="00E4491E">
                <w:rPr>
                  <w:rFonts w:ascii="Calibri" w:eastAsia="Times New Roman" w:hAnsi="Calibri" w:cs="Calibri"/>
                  <w:color w:val="003878"/>
                  <w:u w:val="single"/>
                </w:rPr>
                <w:t>Continuing noncompliance</w:t>
              </w:r>
            </w:hyperlink>
          </w:p>
        </w:tc>
        <w:tc>
          <w:tcPr>
            <w:tcW w:w="3150" w:type="dxa"/>
            <w:tcBorders>
              <w:top w:val="single" w:sz="12" w:space="0" w:color="929292"/>
              <w:left w:val="single" w:sz="12" w:space="0" w:color="929292"/>
              <w:bottom w:val="single" w:sz="12" w:space="0" w:color="929292"/>
              <w:right w:val="single" w:sz="12" w:space="0" w:color="929292"/>
            </w:tcBorders>
            <w:shd w:val="clear" w:color="auto" w:fill="546C5C"/>
            <w:hideMark/>
          </w:tcPr>
          <w:p w14:paraId="71D4047B" w14:textId="77777777" w:rsidR="008C1F90" w:rsidRPr="001572EE" w:rsidRDefault="008C1F90" w:rsidP="003F4417">
            <w:pPr>
              <w:spacing w:after="0" w:line="240" w:lineRule="auto"/>
              <w:jc w:val="center"/>
              <w:rPr>
                <w:rFonts w:ascii="Calibri" w:eastAsia="Times New Roman" w:hAnsi="Calibri" w:cs="Calibri"/>
                <w:color w:val="FFFFFF"/>
              </w:rPr>
            </w:pPr>
            <w:r w:rsidRPr="00356977">
              <w:rPr>
                <w:rFonts w:ascii="Calibri" w:eastAsia="Times New Roman" w:hAnsi="Calibri" w:cs="Calibri"/>
                <w:b/>
                <w:bCs/>
                <w:color w:val="FFFFFF" w:themeColor="background1"/>
              </w:rPr>
              <w:t>Report within 10 business days</w:t>
            </w:r>
          </w:p>
        </w:tc>
      </w:tr>
      <w:tr w:rsidR="008C1F90" w:rsidRPr="001572EE" w14:paraId="17ACA64D" w14:textId="77777777" w:rsidTr="008C1F90">
        <w:tc>
          <w:tcPr>
            <w:tcW w:w="6742" w:type="dxa"/>
            <w:tcBorders>
              <w:top w:val="outset" w:sz="6" w:space="0" w:color="auto"/>
              <w:left w:val="single" w:sz="12" w:space="0" w:color="929292"/>
              <w:bottom w:val="outset" w:sz="6" w:space="0" w:color="auto"/>
              <w:right w:val="single" w:sz="12" w:space="0" w:color="929292"/>
            </w:tcBorders>
            <w:shd w:val="clear" w:color="auto" w:fill="91AA9D"/>
            <w:tcMar>
              <w:top w:w="120" w:type="dxa"/>
              <w:left w:w="120" w:type="dxa"/>
              <w:bottom w:w="120" w:type="dxa"/>
              <w:right w:w="120" w:type="dxa"/>
            </w:tcMar>
            <w:hideMark/>
          </w:tcPr>
          <w:p w14:paraId="02618FE7" w14:textId="77777777" w:rsidR="008C1F90" w:rsidRPr="00E4491E" w:rsidRDefault="008C1F90" w:rsidP="003F4417">
            <w:pPr>
              <w:spacing w:after="0" w:line="240" w:lineRule="auto"/>
              <w:rPr>
                <w:rFonts w:ascii="Calibri" w:eastAsia="Times New Roman" w:hAnsi="Calibri" w:cs="Calibri"/>
                <w:color w:val="343434"/>
              </w:rPr>
            </w:pPr>
            <w:r w:rsidRPr="00E4491E">
              <w:rPr>
                <w:rFonts w:ascii="Calibri" w:eastAsia="Times New Roman" w:hAnsi="Calibri" w:cs="Calibri"/>
                <w:color w:val="343434"/>
              </w:rPr>
              <w:t>Emergency deviation from IRB approved procedures made without IRB review to eliminate an apparent immediate hazard to a subject or others</w:t>
            </w:r>
          </w:p>
        </w:tc>
        <w:tc>
          <w:tcPr>
            <w:tcW w:w="3150" w:type="dxa"/>
            <w:tcBorders>
              <w:top w:val="single" w:sz="12" w:space="0" w:color="929292"/>
              <w:left w:val="single" w:sz="12" w:space="0" w:color="929292"/>
              <w:bottom w:val="single" w:sz="12" w:space="0" w:color="929292"/>
              <w:right w:val="single" w:sz="12" w:space="0" w:color="929292"/>
            </w:tcBorders>
            <w:shd w:val="clear" w:color="auto" w:fill="546C5C"/>
            <w:hideMark/>
          </w:tcPr>
          <w:p w14:paraId="73DA4597" w14:textId="77777777" w:rsidR="008C1F90" w:rsidRPr="001572EE" w:rsidRDefault="008C1F90" w:rsidP="003F4417">
            <w:pPr>
              <w:spacing w:after="0" w:line="240" w:lineRule="auto"/>
              <w:jc w:val="center"/>
              <w:rPr>
                <w:rFonts w:ascii="Calibri" w:eastAsia="Times New Roman" w:hAnsi="Calibri" w:cs="Calibri"/>
                <w:color w:val="FFFFFF"/>
              </w:rPr>
            </w:pPr>
            <w:r w:rsidRPr="00356977">
              <w:rPr>
                <w:rFonts w:ascii="Calibri" w:eastAsia="Times New Roman" w:hAnsi="Calibri" w:cs="Calibri"/>
                <w:b/>
                <w:bCs/>
                <w:color w:val="FFFFFF" w:themeColor="background1"/>
              </w:rPr>
              <w:t>Report within 10 business days</w:t>
            </w:r>
          </w:p>
        </w:tc>
      </w:tr>
      <w:tr w:rsidR="008C1F90" w:rsidRPr="001572EE" w14:paraId="54EFA462" w14:textId="77777777" w:rsidTr="008C1F90">
        <w:tc>
          <w:tcPr>
            <w:tcW w:w="6742" w:type="dxa"/>
            <w:tcBorders>
              <w:top w:val="outset" w:sz="6" w:space="0" w:color="auto"/>
              <w:left w:val="single" w:sz="12" w:space="0" w:color="929292"/>
              <w:bottom w:val="outset" w:sz="6" w:space="0" w:color="auto"/>
              <w:right w:val="single" w:sz="12" w:space="0" w:color="929292"/>
            </w:tcBorders>
            <w:shd w:val="clear" w:color="auto" w:fill="91AA9D"/>
            <w:tcMar>
              <w:top w:w="120" w:type="dxa"/>
              <w:left w:w="120" w:type="dxa"/>
              <w:bottom w:w="120" w:type="dxa"/>
              <w:right w:w="120" w:type="dxa"/>
            </w:tcMar>
            <w:hideMark/>
          </w:tcPr>
          <w:p w14:paraId="55748681" w14:textId="77777777" w:rsidR="008C1F90" w:rsidRPr="00E4491E" w:rsidRDefault="008C1F90" w:rsidP="003F4417">
            <w:pPr>
              <w:spacing w:after="0" w:line="240" w:lineRule="auto"/>
              <w:rPr>
                <w:rFonts w:ascii="Calibri" w:eastAsia="Times New Roman" w:hAnsi="Calibri" w:cs="Calibri"/>
                <w:color w:val="343434"/>
              </w:rPr>
            </w:pPr>
            <w:r w:rsidRPr="00E4491E">
              <w:rPr>
                <w:rFonts w:ascii="Calibri" w:eastAsia="Times New Roman" w:hAnsi="Calibri" w:cs="Calibri"/>
                <w:color w:val="343434"/>
              </w:rPr>
              <w:t>Continuation of research after IRB approval has lapsed, because the procedures are of direct benefit to the individual subjects or withholding the researcher intervention (if any) may increase risks to subjects</w:t>
            </w:r>
          </w:p>
        </w:tc>
        <w:tc>
          <w:tcPr>
            <w:tcW w:w="3150" w:type="dxa"/>
            <w:tcBorders>
              <w:top w:val="single" w:sz="12" w:space="0" w:color="929292"/>
              <w:left w:val="single" w:sz="12" w:space="0" w:color="929292"/>
              <w:bottom w:val="single" w:sz="12" w:space="0" w:color="929292"/>
              <w:right w:val="single" w:sz="12" w:space="0" w:color="929292"/>
            </w:tcBorders>
            <w:shd w:val="clear" w:color="auto" w:fill="546C5C"/>
            <w:hideMark/>
          </w:tcPr>
          <w:p w14:paraId="7258D4FB" w14:textId="77777777" w:rsidR="008C1F90" w:rsidRPr="001572EE" w:rsidRDefault="008C1F90" w:rsidP="003F4417">
            <w:pPr>
              <w:spacing w:after="0" w:line="240" w:lineRule="auto"/>
              <w:jc w:val="center"/>
              <w:rPr>
                <w:rFonts w:ascii="Calibri" w:eastAsia="Times New Roman" w:hAnsi="Calibri" w:cs="Calibri"/>
                <w:color w:val="FFFFFF"/>
              </w:rPr>
            </w:pPr>
            <w:r w:rsidRPr="00356977">
              <w:rPr>
                <w:rFonts w:ascii="Calibri" w:eastAsia="Times New Roman" w:hAnsi="Calibri" w:cs="Calibri"/>
                <w:b/>
                <w:bCs/>
                <w:color w:val="FFFFFF" w:themeColor="background1"/>
              </w:rPr>
              <w:t>Report within 10 business days</w:t>
            </w:r>
          </w:p>
        </w:tc>
      </w:tr>
      <w:tr w:rsidR="008C1F90" w:rsidRPr="001572EE" w14:paraId="4FBCAC89" w14:textId="77777777" w:rsidTr="008C1F90">
        <w:tc>
          <w:tcPr>
            <w:tcW w:w="6742" w:type="dxa"/>
            <w:tcBorders>
              <w:top w:val="outset" w:sz="6" w:space="0" w:color="auto"/>
              <w:left w:val="single" w:sz="12" w:space="0" w:color="929292"/>
              <w:bottom w:val="outset" w:sz="6" w:space="0" w:color="auto"/>
              <w:right w:val="single" w:sz="12" w:space="0" w:color="929292"/>
            </w:tcBorders>
            <w:shd w:val="clear" w:color="auto" w:fill="91AA9D"/>
            <w:tcMar>
              <w:top w:w="120" w:type="dxa"/>
              <w:left w:w="120" w:type="dxa"/>
              <w:bottom w:w="120" w:type="dxa"/>
              <w:right w:w="120" w:type="dxa"/>
            </w:tcMar>
            <w:hideMark/>
          </w:tcPr>
          <w:p w14:paraId="08821F8B" w14:textId="77777777" w:rsidR="008C1F90" w:rsidRPr="00E4491E" w:rsidRDefault="008C1F90" w:rsidP="003F4417">
            <w:pPr>
              <w:spacing w:after="0" w:line="240" w:lineRule="auto"/>
              <w:rPr>
                <w:rFonts w:ascii="Calibri" w:eastAsia="Times New Roman" w:hAnsi="Calibri" w:cs="Calibri"/>
                <w:color w:val="343434"/>
              </w:rPr>
            </w:pPr>
            <w:r w:rsidRPr="00E4491E">
              <w:rPr>
                <w:rFonts w:ascii="Calibri" w:eastAsia="Times New Roman" w:hAnsi="Calibri" w:cs="Calibri"/>
                <w:color w:val="343434"/>
              </w:rPr>
              <w:t>Complaint from a subject or other person about the study, which cannot be resolved by the research team</w:t>
            </w:r>
          </w:p>
        </w:tc>
        <w:tc>
          <w:tcPr>
            <w:tcW w:w="3150" w:type="dxa"/>
            <w:tcBorders>
              <w:top w:val="single" w:sz="12" w:space="0" w:color="929292"/>
              <w:left w:val="single" w:sz="12" w:space="0" w:color="929292"/>
              <w:bottom w:val="single" w:sz="12" w:space="0" w:color="929292"/>
              <w:right w:val="single" w:sz="12" w:space="0" w:color="929292"/>
            </w:tcBorders>
            <w:shd w:val="clear" w:color="auto" w:fill="546C5C"/>
            <w:hideMark/>
          </w:tcPr>
          <w:p w14:paraId="0300C61B" w14:textId="77777777" w:rsidR="008C1F90" w:rsidRPr="001572EE" w:rsidRDefault="008C1F90" w:rsidP="003F4417">
            <w:pPr>
              <w:spacing w:after="0" w:line="240" w:lineRule="auto"/>
              <w:jc w:val="center"/>
              <w:rPr>
                <w:rFonts w:ascii="Calibri" w:eastAsia="Times New Roman" w:hAnsi="Calibri" w:cs="Calibri"/>
                <w:color w:val="FFFFFF"/>
              </w:rPr>
            </w:pPr>
            <w:r w:rsidRPr="00356977">
              <w:rPr>
                <w:rFonts w:ascii="Calibri" w:eastAsia="Times New Roman" w:hAnsi="Calibri" w:cs="Calibri"/>
                <w:b/>
                <w:bCs/>
                <w:color w:val="FFFFFF" w:themeColor="background1"/>
              </w:rPr>
              <w:t>Report within 10 business days</w:t>
            </w:r>
          </w:p>
        </w:tc>
      </w:tr>
      <w:tr w:rsidR="008C1F90" w:rsidRPr="001572EE" w14:paraId="6DDFFC4B" w14:textId="77777777" w:rsidTr="008C1F90">
        <w:tc>
          <w:tcPr>
            <w:tcW w:w="6742" w:type="dxa"/>
            <w:tcBorders>
              <w:top w:val="outset" w:sz="6" w:space="0" w:color="auto"/>
              <w:left w:val="single" w:sz="12" w:space="0" w:color="929292"/>
              <w:bottom w:val="outset" w:sz="6" w:space="0" w:color="auto"/>
              <w:right w:val="single" w:sz="12" w:space="0" w:color="929292"/>
            </w:tcBorders>
            <w:shd w:val="clear" w:color="auto" w:fill="91AA9D"/>
            <w:tcMar>
              <w:top w:w="120" w:type="dxa"/>
              <w:left w:w="120" w:type="dxa"/>
              <w:bottom w:w="120" w:type="dxa"/>
              <w:right w:w="120" w:type="dxa"/>
            </w:tcMar>
            <w:hideMark/>
          </w:tcPr>
          <w:p w14:paraId="1433DC7D" w14:textId="77777777" w:rsidR="008C1F90" w:rsidRPr="00E4491E" w:rsidRDefault="008C1F90" w:rsidP="003F4417">
            <w:pPr>
              <w:spacing w:after="0" w:line="240" w:lineRule="auto"/>
              <w:rPr>
                <w:rFonts w:ascii="Calibri" w:eastAsia="Times New Roman" w:hAnsi="Calibri" w:cs="Calibri"/>
                <w:color w:val="343434"/>
              </w:rPr>
            </w:pPr>
            <w:r w:rsidRPr="00E4491E">
              <w:rPr>
                <w:rFonts w:ascii="Calibri" w:eastAsia="Times New Roman" w:hAnsi="Calibri" w:cs="Calibri"/>
                <w:color w:val="343434"/>
              </w:rPr>
              <w:t>Audit, inspection, compliance or safety-related inquiry from a federal agency including initial notification of an upcoming audit or inspection</w:t>
            </w:r>
          </w:p>
        </w:tc>
        <w:tc>
          <w:tcPr>
            <w:tcW w:w="3150" w:type="dxa"/>
            <w:tcBorders>
              <w:top w:val="single" w:sz="12" w:space="0" w:color="929292"/>
              <w:left w:val="single" w:sz="12" w:space="0" w:color="929292"/>
              <w:bottom w:val="single" w:sz="12" w:space="0" w:color="929292"/>
              <w:right w:val="single" w:sz="12" w:space="0" w:color="929292"/>
            </w:tcBorders>
            <w:shd w:val="clear" w:color="auto" w:fill="546C5C"/>
            <w:hideMark/>
          </w:tcPr>
          <w:p w14:paraId="249E744A" w14:textId="77777777" w:rsidR="008C1F90" w:rsidRPr="001572EE" w:rsidRDefault="008C1F90" w:rsidP="003F4417">
            <w:pPr>
              <w:spacing w:after="0" w:line="240" w:lineRule="auto"/>
              <w:jc w:val="center"/>
              <w:rPr>
                <w:rFonts w:ascii="Calibri" w:eastAsia="Times New Roman" w:hAnsi="Calibri" w:cs="Calibri"/>
                <w:color w:val="FFFFFF"/>
              </w:rPr>
            </w:pPr>
            <w:r w:rsidRPr="00356977">
              <w:rPr>
                <w:rFonts w:ascii="Calibri" w:eastAsia="Times New Roman" w:hAnsi="Calibri" w:cs="Calibri"/>
                <w:b/>
                <w:bCs/>
                <w:color w:val="FFFFFF" w:themeColor="background1"/>
              </w:rPr>
              <w:t>Report within 10 business days</w:t>
            </w:r>
          </w:p>
        </w:tc>
      </w:tr>
      <w:tr w:rsidR="008C1F90" w:rsidRPr="001572EE" w14:paraId="190B091D" w14:textId="77777777" w:rsidTr="008C1F90">
        <w:tc>
          <w:tcPr>
            <w:tcW w:w="6742" w:type="dxa"/>
            <w:tcBorders>
              <w:top w:val="outset" w:sz="6" w:space="0" w:color="auto"/>
              <w:left w:val="single" w:sz="12" w:space="0" w:color="929292"/>
              <w:bottom w:val="outset" w:sz="6" w:space="0" w:color="auto"/>
              <w:right w:val="single" w:sz="12" w:space="0" w:color="929292"/>
            </w:tcBorders>
            <w:shd w:val="clear" w:color="auto" w:fill="91AA9D"/>
            <w:tcMar>
              <w:top w:w="120" w:type="dxa"/>
              <w:left w:w="120" w:type="dxa"/>
              <w:bottom w:w="120" w:type="dxa"/>
              <w:right w:w="120" w:type="dxa"/>
            </w:tcMar>
            <w:hideMark/>
          </w:tcPr>
          <w:p w14:paraId="44DEB90A" w14:textId="77777777" w:rsidR="008C1F90" w:rsidRPr="00E4491E" w:rsidRDefault="008C1F90" w:rsidP="003F4417">
            <w:pPr>
              <w:spacing w:after="0" w:line="240" w:lineRule="auto"/>
              <w:rPr>
                <w:rFonts w:ascii="Calibri" w:eastAsia="Times New Roman" w:hAnsi="Calibri" w:cs="Calibri"/>
                <w:color w:val="343434"/>
              </w:rPr>
            </w:pPr>
            <w:r w:rsidRPr="00E4491E">
              <w:rPr>
                <w:rFonts w:ascii="Calibri" w:eastAsia="Times New Roman" w:hAnsi="Calibri" w:cs="Calibri"/>
                <w:color w:val="343434"/>
              </w:rPr>
              <w:t>Information that indicates a new or increased risk or safety issue (or a decrease in study benefits) (e.g., A publication in the literature indicates an increase in the frequency or magnitude of a previously known risk, or uncovers a new risk; revised IB, package insert, or device manual; changes to FDA-approved labeling; FDA withdrawal, restriction, or modification of marketed approval of a drug, device, or biologic used in a research protocol)</w:t>
            </w:r>
          </w:p>
        </w:tc>
        <w:tc>
          <w:tcPr>
            <w:tcW w:w="3150" w:type="dxa"/>
            <w:tcBorders>
              <w:top w:val="single" w:sz="12" w:space="0" w:color="929292"/>
              <w:left w:val="single" w:sz="12" w:space="0" w:color="929292"/>
              <w:bottom w:val="single" w:sz="12" w:space="0" w:color="929292"/>
              <w:right w:val="single" w:sz="12" w:space="0" w:color="929292"/>
            </w:tcBorders>
            <w:shd w:val="clear" w:color="auto" w:fill="546C5C"/>
            <w:hideMark/>
          </w:tcPr>
          <w:p w14:paraId="2F6D8EC6" w14:textId="77777777" w:rsidR="008C1F90" w:rsidRPr="001572EE" w:rsidRDefault="008C1F90" w:rsidP="003F4417">
            <w:pPr>
              <w:spacing w:after="0" w:line="240" w:lineRule="auto"/>
              <w:jc w:val="center"/>
              <w:rPr>
                <w:rFonts w:ascii="Calibri" w:eastAsia="Times New Roman" w:hAnsi="Calibri" w:cs="Calibri"/>
                <w:color w:val="FFFFFF"/>
              </w:rPr>
            </w:pPr>
            <w:r w:rsidRPr="00356977">
              <w:rPr>
                <w:rFonts w:ascii="Calibri" w:eastAsia="Times New Roman" w:hAnsi="Calibri" w:cs="Calibri"/>
                <w:b/>
                <w:bCs/>
                <w:color w:val="FFFFFF" w:themeColor="background1"/>
              </w:rPr>
              <w:t>Report within 10 business days</w:t>
            </w:r>
          </w:p>
        </w:tc>
      </w:tr>
      <w:tr w:rsidR="008C1F90" w:rsidRPr="001572EE" w14:paraId="6B3BABF5" w14:textId="77777777" w:rsidTr="001C327D">
        <w:tc>
          <w:tcPr>
            <w:tcW w:w="6742" w:type="dxa"/>
            <w:tcBorders>
              <w:top w:val="outset" w:sz="6" w:space="0" w:color="auto"/>
              <w:left w:val="single" w:sz="12" w:space="0" w:color="929292"/>
              <w:bottom w:val="outset" w:sz="6" w:space="0" w:color="auto"/>
              <w:right w:val="single" w:sz="12" w:space="0" w:color="929292"/>
            </w:tcBorders>
            <w:shd w:val="clear" w:color="auto" w:fill="91AA9D"/>
            <w:tcMar>
              <w:top w:w="120" w:type="dxa"/>
              <w:left w:w="120" w:type="dxa"/>
              <w:bottom w:w="120" w:type="dxa"/>
              <w:right w:w="120" w:type="dxa"/>
            </w:tcMar>
            <w:hideMark/>
          </w:tcPr>
          <w:p w14:paraId="57696670" w14:textId="77777777" w:rsidR="008C1F90" w:rsidRPr="00E4491E" w:rsidRDefault="008C1F90" w:rsidP="003F4417">
            <w:pPr>
              <w:spacing w:after="0" w:line="240" w:lineRule="auto"/>
              <w:rPr>
                <w:rFonts w:ascii="Calibri" w:eastAsia="Times New Roman" w:hAnsi="Calibri" w:cs="Calibri"/>
                <w:color w:val="343434"/>
              </w:rPr>
            </w:pPr>
            <w:r w:rsidRPr="00E4491E">
              <w:rPr>
                <w:rFonts w:ascii="Calibri" w:eastAsia="Times New Roman" w:hAnsi="Calibri" w:cs="Calibri"/>
                <w:color w:val="343434"/>
              </w:rPr>
              <w:t>Premature suspension or termination of some or all of the research by the sponsor, researcher, or institution</w:t>
            </w:r>
          </w:p>
        </w:tc>
        <w:tc>
          <w:tcPr>
            <w:tcW w:w="3150" w:type="dxa"/>
            <w:tcBorders>
              <w:top w:val="single" w:sz="12" w:space="0" w:color="929292"/>
              <w:left w:val="single" w:sz="12" w:space="0" w:color="929292"/>
              <w:bottom w:val="single" w:sz="12" w:space="0" w:color="929292"/>
              <w:right w:val="single" w:sz="12" w:space="0" w:color="929292"/>
            </w:tcBorders>
            <w:shd w:val="clear" w:color="auto" w:fill="546C5C"/>
            <w:hideMark/>
          </w:tcPr>
          <w:p w14:paraId="018BCCC7" w14:textId="77777777" w:rsidR="008C1F90" w:rsidRPr="001572EE" w:rsidRDefault="008C1F90" w:rsidP="003F4417">
            <w:pPr>
              <w:spacing w:after="0" w:line="240" w:lineRule="auto"/>
              <w:jc w:val="center"/>
              <w:rPr>
                <w:rFonts w:ascii="Calibri" w:eastAsia="Times New Roman" w:hAnsi="Calibri" w:cs="Calibri"/>
                <w:color w:val="FFFFFF"/>
              </w:rPr>
            </w:pPr>
            <w:r w:rsidRPr="00356977">
              <w:rPr>
                <w:rFonts w:ascii="Calibri" w:eastAsia="Times New Roman" w:hAnsi="Calibri" w:cs="Calibri"/>
                <w:b/>
                <w:bCs/>
                <w:color w:val="FFFFFF" w:themeColor="background1"/>
              </w:rPr>
              <w:t>Report within 10 business days</w:t>
            </w:r>
          </w:p>
        </w:tc>
      </w:tr>
      <w:tr w:rsidR="008C1F90" w:rsidRPr="001572EE" w14:paraId="585D942E" w14:textId="77777777" w:rsidTr="001C327D">
        <w:trPr>
          <w:trHeight w:val="306"/>
        </w:trPr>
        <w:tc>
          <w:tcPr>
            <w:tcW w:w="6742" w:type="dxa"/>
            <w:tcBorders>
              <w:top w:val="outset" w:sz="6" w:space="0" w:color="auto"/>
              <w:left w:val="single" w:sz="12" w:space="0" w:color="929292"/>
              <w:bottom w:val="outset" w:sz="6" w:space="0" w:color="auto"/>
              <w:right w:val="single" w:sz="12" w:space="0" w:color="929292"/>
            </w:tcBorders>
            <w:shd w:val="clear" w:color="auto" w:fill="91AA9D"/>
            <w:tcMar>
              <w:top w:w="120" w:type="dxa"/>
              <w:left w:w="120" w:type="dxa"/>
              <w:bottom w:w="120" w:type="dxa"/>
              <w:right w:w="120" w:type="dxa"/>
            </w:tcMar>
            <w:hideMark/>
          </w:tcPr>
          <w:p w14:paraId="6B40C2A6" w14:textId="77777777" w:rsidR="008C1F90" w:rsidRPr="00E4491E" w:rsidRDefault="008C1F90" w:rsidP="003F4417">
            <w:pPr>
              <w:spacing w:after="0" w:line="240" w:lineRule="auto"/>
              <w:rPr>
                <w:rFonts w:ascii="Calibri" w:eastAsia="Times New Roman" w:hAnsi="Calibri" w:cs="Calibri"/>
                <w:color w:val="343434"/>
              </w:rPr>
            </w:pPr>
            <w:r w:rsidRPr="00E4491E">
              <w:rPr>
                <w:rFonts w:ascii="Calibri" w:eastAsia="Times New Roman" w:hAnsi="Calibri" w:cs="Calibri"/>
                <w:color w:val="343434"/>
              </w:rPr>
              <w:t>All safety monitor or DSMB reports</w:t>
            </w:r>
          </w:p>
        </w:tc>
        <w:tc>
          <w:tcPr>
            <w:tcW w:w="3150" w:type="dxa"/>
            <w:tcBorders>
              <w:top w:val="single" w:sz="12" w:space="0" w:color="929292"/>
              <w:left w:val="single" w:sz="12" w:space="0" w:color="929292"/>
              <w:bottom w:val="single" w:sz="12" w:space="0" w:color="929292"/>
              <w:right w:val="single" w:sz="12" w:space="0" w:color="929292"/>
            </w:tcBorders>
            <w:shd w:val="clear" w:color="auto" w:fill="546C5C"/>
            <w:hideMark/>
          </w:tcPr>
          <w:p w14:paraId="2E784E38" w14:textId="77777777" w:rsidR="008C1F90" w:rsidRPr="001572EE" w:rsidRDefault="008C1F90" w:rsidP="003F4417">
            <w:pPr>
              <w:spacing w:after="0" w:line="240" w:lineRule="auto"/>
              <w:jc w:val="center"/>
              <w:rPr>
                <w:rFonts w:ascii="Calibri" w:eastAsia="Times New Roman" w:hAnsi="Calibri" w:cs="Calibri"/>
                <w:color w:val="FFFFFF"/>
              </w:rPr>
            </w:pPr>
            <w:r w:rsidRPr="00356977">
              <w:rPr>
                <w:rFonts w:ascii="Calibri" w:eastAsia="Times New Roman" w:hAnsi="Calibri" w:cs="Calibri"/>
                <w:b/>
                <w:bCs/>
                <w:color w:val="FFFFFF" w:themeColor="background1"/>
              </w:rPr>
              <w:t>Report within 10 business days</w:t>
            </w:r>
          </w:p>
        </w:tc>
      </w:tr>
    </w:tbl>
    <w:p w14:paraId="2268E2AB" w14:textId="77777777" w:rsidR="008C1F90" w:rsidRDefault="008C1F90" w:rsidP="00534A39">
      <w:pPr>
        <w:pStyle w:val="NoSpacing"/>
        <w:ind w:left="900" w:hanging="540"/>
        <w:rPr>
          <w:bCs/>
          <w:color w:val="auto"/>
          <w:sz w:val="22"/>
          <w:szCs w:val="22"/>
        </w:rPr>
      </w:pPr>
    </w:p>
    <w:p w14:paraId="56E283E7" w14:textId="77777777" w:rsidR="001572EE" w:rsidRPr="004A1E1D" w:rsidRDefault="001572EE" w:rsidP="001572EE">
      <w:pPr>
        <w:pStyle w:val="NoSpacing"/>
      </w:pPr>
    </w:p>
    <w:p w14:paraId="0CCEF76E" w14:textId="7454A029" w:rsidR="00142909" w:rsidRDefault="008845C7" w:rsidP="00142909">
      <w:pPr>
        <w:pStyle w:val="NoSpacing"/>
        <w:ind w:left="360" w:hanging="360"/>
        <w:outlineLvl w:val="0"/>
        <w:rPr>
          <w:b/>
          <w:color w:val="auto"/>
          <w:sz w:val="22"/>
          <w:szCs w:val="22"/>
        </w:rPr>
      </w:pPr>
      <w:r>
        <w:rPr>
          <w:b/>
          <w:color w:val="auto"/>
          <w:sz w:val="22"/>
          <w:szCs w:val="22"/>
        </w:rPr>
        <w:t>ADDITIONAL RESOURCES</w:t>
      </w:r>
    </w:p>
    <w:p w14:paraId="6E0A75A2" w14:textId="224FC61C" w:rsidR="00E4491E" w:rsidRDefault="00CB03F7" w:rsidP="00E4491E">
      <w:pPr>
        <w:pStyle w:val="NoSpacing"/>
        <w:rPr>
          <w:color w:val="auto"/>
          <w:sz w:val="22"/>
          <w:szCs w:val="22"/>
        </w:rPr>
      </w:pPr>
      <w:hyperlink r:id="rId17" w:history="1">
        <w:r w:rsidRPr="00CB03F7">
          <w:rPr>
            <w:rStyle w:val="Hyperlink"/>
            <w:sz w:val="22"/>
            <w:szCs w:val="22"/>
          </w:rPr>
          <w:t>SOP RNI Reporting by Researchers</w:t>
        </w:r>
      </w:hyperlink>
    </w:p>
    <w:p w14:paraId="02791495" w14:textId="77777777" w:rsidR="00E4491E" w:rsidRDefault="00E4491E" w:rsidP="00E4491E">
      <w:pPr>
        <w:pStyle w:val="NoSpacing"/>
        <w:rPr>
          <w:color w:val="auto"/>
          <w:sz w:val="22"/>
          <w:szCs w:val="22"/>
        </w:rPr>
      </w:pPr>
    </w:p>
    <w:tbl>
      <w:tblPr>
        <w:tblStyle w:val="TableGrid"/>
        <w:tblW w:w="1017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1710"/>
        <w:gridCol w:w="1620"/>
        <w:gridCol w:w="2355"/>
        <w:gridCol w:w="4485"/>
      </w:tblGrid>
      <w:tr w:rsidR="00B9263B" w:rsidRPr="00ED134C" w14:paraId="237E37BD" w14:textId="77777777" w:rsidTr="00914087">
        <w:trPr>
          <w:trHeight w:val="233"/>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447909E1" w14:textId="413268A5" w:rsidR="00B9263B" w:rsidRPr="008C1F90" w:rsidRDefault="791D9845" w:rsidP="6C802FC0">
            <w:pPr>
              <w:pStyle w:val="NoSpacing"/>
              <w:jc w:val="center"/>
              <w:rPr>
                <w:b/>
                <w:bCs/>
                <w:color w:val="FFFFFF" w:themeColor="background1"/>
                <w:sz w:val="22"/>
                <w:szCs w:val="22"/>
              </w:rPr>
            </w:pPr>
            <w:r w:rsidRPr="008C1F90">
              <w:rPr>
                <w:color w:val="FFFFFF" w:themeColor="background1"/>
                <w:sz w:val="22"/>
                <w:szCs w:val="22"/>
              </w:rPr>
              <w:t xml:space="preserve"> </w:t>
            </w:r>
            <w:r w:rsidR="011323B6" w:rsidRPr="008C1F90">
              <w:rPr>
                <w:b/>
                <w:bCs/>
                <w:color w:val="FFFFFF" w:themeColor="background1"/>
                <w:sz w:val="22"/>
                <w:szCs w:val="22"/>
              </w:rPr>
              <w:t>Version Number</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tcPr>
          <w:p w14:paraId="727CE0B1" w14:textId="77777777" w:rsidR="00B9263B" w:rsidRPr="008C1F90" w:rsidRDefault="011323B6" w:rsidP="6C802FC0">
            <w:pPr>
              <w:pStyle w:val="NoSpacing"/>
              <w:jc w:val="center"/>
              <w:rPr>
                <w:b/>
                <w:bCs/>
                <w:color w:val="FFFFFF" w:themeColor="background1"/>
                <w:sz w:val="22"/>
                <w:szCs w:val="22"/>
              </w:rPr>
            </w:pPr>
            <w:r w:rsidRPr="008C1F90">
              <w:rPr>
                <w:b/>
                <w:bCs/>
                <w:color w:val="FFFFFF" w:themeColor="background1"/>
                <w:sz w:val="22"/>
                <w:szCs w:val="22"/>
              </w:rPr>
              <w:t>Posted Date</w:t>
            </w:r>
          </w:p>
        </w:tc>
        <w:tc>
          <w:tcPr>
            <w:tcW w:w="2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BC4CBFB" w14:textId="77777777" w:rsidR="00B9263B" w:rsidRPr="008C1F90" w:rsidRDefault="011323B6" w:rsidP="6C802FC0">
            <w:pPr>
              <w:pStyle w:val="NoSpacing"/>
              <w:jc w:val="center"/>
              <w:rPr>
                <w:b/>
                <w:bCs/>
                <w:color w:val="FFFFFF" w:themeColor="background1"/>
                <w:sz w:val="22"/>
                <w:szCs w:val="22"/>
              </w:rPr>
            </w:pPr>
            <w:r w:rsidRPr="008C1F90">
              <w:rPr>
                <w:b/>
                <w:bCs/>
                <w:color w:val="FFFFFF" w:themeColor="background1"/>
                <w:sz w:val="22"/>
                <w:szCs w:val="22"/>
              </w:rPr>
              <w:t>Implementation Date</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07D22265" w14:textId="77777777" w:rsidR="00B9263B" w:rsidRPr="008C1F90" w:rsidRDefault="011323B6" w:rsidP="6C802FC0">
            <w:pPr>
              <w:pStyle w:val="NoSpacing"/>
              <w:jc w:val="center"/>
              <w:rPr>
                <w:b/>
                <w:bCs/>
                <w:color w:val="FFFFFF" w:themeColor="background1"/>
                <w:sz w:val="22"/>
                <w:szCs w:val="22"/>
              </w:rPr>
            </w:pPr>
            <w:r w:rsidRPr="008C1F90">
              <w:rPr>
                <w:b/>
                <w:bCs/>
                <w:color w:val="FFFFFF" w:themeColor="background1"/>
                <w:sz w:val="22"/>
                <w:szCs w:val="22"/>
              </w:rPr>
              <w:t>Summary of Changes</w:t>
            </w:r>
          </w:p>
        </w:tc>
      </w:tr>
      <w:tr w:rsidR="008C1F90" w:rsidRPr="00D26748" w14:paraId="4BC49DCE" w14:textId="77777777" w:rsidTr="00914087">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6CCB8D" w14:textId="2B294423" w:rsidR="008C1F90" w:rsidRPr="008C1F90" w:rsidRDefault="008C1F90" w:rsidP="00F17C71">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1.1</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C9C7C7" w14:textId="2FA17A4D" w:rsidR="008C1F90" w:rsidRPr="008C1F90" w:rsidRDefault="0011626D" w:rsidP="00F17C71">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02.13</w:t>
            </w:r>
            <w:r w:rsidR="008C1F90">
              <w:rPr>
                <w:rFonts w:ascii="Calibri" w:eastAsiaTheme="majorEastAsia" w:hAnsi="Calibri" w:cstheme="majorBidi"/>
                <w:color w:val="auto"/>
                <w:sz w:val="22"/>
                <w:szCs w:val="22"/>
              </w:rPr>
              <w:t>.2026</w:t>
            </w:r>
          </w:p>
        </w:tc>
        <w:tc>
          <w:tcPr>
            <w:tcW w:w="2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01D1F8" w14:textId="7402BB3F" w:rsidR="008C1F90" w:rsidRPr="008C1F90" w:rsidRDefault="0011626D" w:rsidP="00B9263B">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02.13</w:t>
            </w:r>
            <w:r w:rsidR="008C1F90">
              <w:rPr>
                <w:rFonts w:ascii="Calibri" w:eastAsiaTheme="majorEastAsia" w:hAnsi="Calibri" w:cstheme="majorBidi"/>
                <w:color w:val="auto"/>
                <w:sz w:val="22"/>
                <w:szCs w:val="22"/>
              </w:rPr>
              <w:t>.2026</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E0E52C" w14:textId="325A3359" w:rsidR="008C1F90" w:rsidRPr="008C1F90" w:rsidRDefault="008C1F90" w:rsidP="00F17C71">
            <w:pPr>
              <w:pStyle w:val="NoSpacing"/>
              <w:rPr>
                <w:rFonts w:ascii="Calibri" w:eastAsiaTheme="majorEastAsia" w:hAnsi="Calibri" w:cstheme="majorBidi"/>
                <w:color w:val="auto"/>
                <w:sz w:val="22"/>
                <w:szCs w:val="22"/>
              </w:rPr>
            </w:pPr>
            <w:r>
              <w:rPr>
                <w:rFonts w:ascii="Calibri" w:eastAsiaTheme="majorEastAsia" w:hAnsi="Calibri" w:cstheme="majorBidi"/>
                <w:color w:val="auto"/>
                <w:sz w:val="22"/>
                <w:szCs w:val="22"/>
              </w:rPr>
              <w:t>Updates for accessibility</w:t>
            </w:r>
          </w:p>
        </w:tc>
      </w:tr>
      <w:tr w:rsidR="00B9263B" w:rsidRPr="00D26748" w14:paraId="03CF7C0D" w14:textId="77777777" w:rsidTr="00914087">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2D063B" w14:textId="60518D54" w:rsidR="00B9263B" w:rsidRPr="008C1F90" w:rsidRDefault="00CB03F7" w:rsidP="00F17C71">
            <w:pPr>
              <w:pStyle w:val="NoSpacing"/>
              <w:jc w:val="center"/>
              <w:rPr>
                <w:rFonts w:ascii="Calibri" w:eastAsiaTheme="majorEastAsia" w:hAnsi="Calibri" w:cstheme="majorBidi"/>
                <w:color w:val="auto"/>
                <w:sz w:val="22"/>
                <w:szCs w:val="22"/>
              </w:rPr>
            </w:pPr>
            <w:r w:rsidRPr="008C1F90">
              <w:rPr>
                <w:rFonts w:ascii="Calibri" w:eastAsiaTheme="majorEastAsia" w:hAnsi="Calibri" w:cstheme="majorBidi"/>
                <w:color w:val="auto"/>
                <w:sz w:val="22"/>
                <w:szCs w:val="22"/>
              </w:rPr>
              <w:t>1.0</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54E498" w14:textId="1B339E4D" w:rsidR="00B9263B" w:rsidRPr="008C1F90" w:rsidRDefault="008F44AA" w:rsidP="00F17C71">
            <w:pPr>
              <w:pStyle w:val="NoSpacing"/>
              <w:jc w:val="center"/>
              <w:rPr>
                <w:rFonts w:ascii="Calibri" w:eastAsiaTheme="majorEastAsia" w:hAnsi="Calibri" w:cstheme="majorBidi"/>
                <w:color w:val="auto"/>
                <w:sz w:val="22"/>
                <w:szCs w:val="22"/>
              </w:rPr>
            </w:pPr>
            <w:r w:rsidRPr="008C1F90">
              <w:rPr>
                <w:rFonts w:ascii="Calibri" w:eastAsiaTheme="majorEastAsia" w:hAnsi="Calibri" w:cstheme="majorBidi"/>
                <w:color w:val="auto"/>
                <w:sz w:val="22"/>
                <w:szCs w:val="22"/>
              </w:rPr>
              <w:t>03</w:t>
            </w:r>
            <w:r w:rsidR="00B3600D" w:rsidRPr="008C1F90">
              <w:rPr>
                <w:rFonts w:ascii="Calibri" w:eastAsiaTheme="majorEastAsia" w:hAnsi="Calibri" w:cstheme="majorBidi"/>
                <w:color w:val="auto"/>
                <w:sz w:val="22"/>
                <w:szCs w:val="22"/>
              </w:rPr>
              <w:t>.</w:t>
            </w:r>
            <w:r w:rsidRPr="008C1F90">
              <w:rPr>
                <w:rFonts w:ascii="Calibri" w:eastAsiaTheme="majorEastAsia" w:hAnsi="Calibri" w:cstheme="majorBidi"/>
                <w:color w:val="auto"/>
                <w:sz w:val="22"/>
                <w:szCs w:val="22"/>
              </w:rPr>
              <w:t>27</w:t>
            </w:r>
            <w:r w:rsidR="00B3600D" w:rsidRPr="008C1F90">
              <w:rPr>
                <w:rFonts w:ascii="Calibri" w:eastAsiaTheme="majorEastAsia" w:hAnsi="Calibri" w:cstheme="majorBidi"/>
                <w:color w:val="auto"/>
                <w:sz w:val="22"/>
                <w:szCs w:val="22"/>
              </w:rPr>
              <w:t>.</w:t>
            </w:r>
            <w:r w:rsidRPr="008C1F90">
              <w:rPr>
                <w:rFonts w:ascii="Calibri" w:eastAsiaTheme="majorEastAsia" w:hAnsi="Calibri" w:cstheme="majorBidi"/>
                <w:color w:val="auto"/>
                <w:sz w:val="22"/>
                <w:szCs w:val="22"/>
              </w:rPr>
              <w:t>2020</w:t>
            </w:r>
          </w:p>
        </w:tc>
        <w:tc>
          <w:tcPr>
            <w:tcW w:w="2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FE713" w14:textId="176973EE" w:rsidR="00B9263B" w:rsidRPr="008C1F90" w:rsidRDefault="008F44AA" w:rsidP="00B9263B">
            <w:pPr>
              <w:pStyle w:val="NoSpacing"/>
              <w:jc w:val="center"/>
              <w:rPr>
                <w:rFonts w:ascii="Calibri" w:eastAsiaTheme="majorEastAsia" w:hAnsi="Calibri" w:cstheme="majorBidi"/>
                <w:color w:val="auto"/>
                <w:sz w:val="22"/>
                <w:szCs w:val="22"/>
              </w:rPr>
            </w:pPr>
            <w:r w:rsidRPr="008C1F90">
              <w:rPr>
                <w:rFonts w:ascii="Calibri" w:eastAsiaTheme="majorEastAsia" w:hAnsi="Calibri" w:cstheme="majorBidi"/>
                <w:color w:val="auto"/>
                <w:sz w:val="22"/>
                <w:szCs w:val="22"/>
              </w:rPr>
              <w:t>03</w:t>
            </w:r>
            <w:r w:rsidR="00B3600D" w:rsidRPr="008C1F90">
              <w:rPr>
                <w:rFonts w:ascii="Calibri" w:eastAsiaTheme="majorEastAsia" w:hAnsi="Calibri" w:cstheme="majorBidi"/>
                <w:color w:val="auto"/>
                <w:sz w:val="22"/>
                <w:szCs w:val="22"/>
              </w:rPr>
              <w:t>.</w:t>
            </w:r>
            <w:r w:rsidRPr="008C1F90">
              <w:rPr>
                <w:rFonts w:ascii="Calibri" w:eastAsiaTheme="majorEastAsia" w:hAnsi="Calibri" w:cstheme="majorBidi"/>
                <w:color w:val="auto"/>
                <w:sz w:val="22"/>
                <w:szCs w:val="22"/>
              </w:rPr>
              <w:t>27</w:t>
            </w:r>
            <w:r w:rsidR="00B3600D" w:rsidRPr="008C1F90">
              <w:rPr>
                <w:rFonts w:ascii="Calibri" w:eastAsiaTheme="majorEastAsia" w:hAnsi="Calibri" w:cstheme="majorBidi"/>
                <w:color w:val="auto"/>
                <w:sz w:val="22"/>
                <w:szCs w:val="22"/>
              </w:rPr>
              <w:t>.</w:t>
            </w:r>
            <w:r w:rsidRPr="008C1F90">
              <w:rPr>
                <w:rFonts w:ascii="Calibri" w:eastAsiaTheme="majorEastAsia" w:hAnsi="Calibri" w:cstheme="majorBidi"/>
                <w:color w:val="auto"/>
                <w:sz w:val="22"/>
                <w:szCs w:val="22"/>
              </w:rPr>
              <w:t>2020</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20865E" w14:textId="5BBCF9C0" w:rsidR="00B9263B" w:rsidRPr="008C1F90" w:rsidRDefault="00CB03F7" w:rsidP="00F17C71">
            <w:pPr>
              <w:pStyle w:val="NoSpacing"/>
              <w:rPr>
                <w:rFonts w:ascii="Calibri" w:eastAsiaTheme="majorEastAsia" w:hAnsi="Calibri" w:cstheme="majorBidi"/>
                <w:color w:val="auto"/>
                <w:sz w:val="22"/>
                <w:szCs w:val="22"/>
              </w:rPr>
            </w:pPr>
            <w:r w:rsidRPr="008C1F90">
              <w:rPr>
                <w:rFonts w:ascii="Calibri" w:eastAsiaTheme="majorEastAsia" w:hAnsi="Calibri" w:cstheme="majorBidi"/>
                <w:color w:val="auto"/>
                <w:sz w:val="22"/>
                <w:szCs w:val="22"/>
              </w:rPr>
              <w:t>New document</w:t>
            </w:r>
          </w:p>
        </w:tc>
      </w:tr>
    </w:tbl>
    <w:p w14:paraId="3AAD607C" w14:textId="695BDEF7" w:rsidR="0087553C" w:rsidRPr="0087553C" w:rsidRDefault="0087553C" w:rsidP="00B45E1A">
      <w:pPr>
        <w:tabs>
          <w:tab w:val="left" w:pos="8762"/>
        </w:tabs>
        <w:spacing w:before="160" w:after="0"/>
        <w:rPr>
          <w:sz w:val="18"/>
          <w:szCs w:val="18"/>
        </w:rPr>
      </w:pPr>
      <w:r>
        <w:rPr>
          <w:b/>
          <w:bCs/>
          <w:sz w:val="18"/>
          <w:szCs w:val="18"/>
        </w:rPr>
        <w:t>Key</w:t>
      </w:r>
      <w:r w:rsidR="00B3600D">
        <w:rPr>
          <w:b/>
          <w:bCs/>
          <w:sz w:val="18"/>
          <w:szCs w:val="18"/>
        </w:rPr>
        <w:t>w</w:t>
      </w:r>
      <w:r>
        <w:rPr>
          <w:b/>
          <w:bCs/>
          <w:sz w:val="18"/>
          <w:szCs w:val="18"/>
        </w:rPr>
        <w:t xml:space="preserve">ords: </w:t>
      </w:r>
      <w:r>
        <w:rPr>
          <w:sz w:val="18"/>
          <w:szCs w:val="18"/>
        </w:rPr>
        <w:t>Internal reliance; Multi-site; Noncompliance; Reporting; Single IRB</w:t>
      </w:r>
    </w:p>
    <w:sectPr w:rsidR="0087553C" w:rsidRPr="0087553C" w:rsidSect="00B91761">
      <w:footerReference w:type="default" r:id="rId1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3C2A" w14:textId="77777777" w:rsidR="00B93E09" w:rsidRDefault="00B93E09" w:rsidP="00BC532C">
      <w:pPr>
        <w:spacing w:after="0" w:line="240" w:lineRule="auto"/>
      </w:pPr>
      <w:r>
        <w:separator/>
      </w:r>
    </w:p>
  </w:endnote>
  <w:endnote w:type="continuationSeparator" w:id="0">
    <w:p w14:paraId="69E9C7A7" w14:textId="77777777" w:rsidR="00B93E09" w:rsidRDefault="00B93E09" w:rsidP="00BC5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2389" w14:textId="20D4061B" w:rsidR="00534A39" w:rsidRDefault="00534A39" w:rsidP="00534A39">
    <w:pPr>
      <w:pStyle w:val="Footer"/>
      <w:tabs>
        <w:tab w:val="clear" w:pos="4680"/>
        <w:tab w:val="clear" w:pos="9360"/>
        <w:tab w:val="center" w:pos="5310"/>
        <w:tab w:val="right" w:pos="10800"/>
      </w:tabs>
    </w:pPr>
    <w:r w:rsidRPr="005031DB">
      <w:rPr>
        <w:rFonts w:cs="Calibri"/>
        <w:sz w:val="18"/>
        <w:szCs w:val="18"/>
      </w:rPr>
      <w:t xml:space="preserve">Date Posted </w:t>
    </w:r>
    <w:r w:rsidR="0011626D">
      <w:rPr>
        <w:rFonts w:cs="Calibri"/>
        <w:sz w:val="18"/>
        <w:szCs w:val="18"/>
      </w:rPr>
      <w:t>02.13</w:t>
    </w:r>
    <w:r>
      <w:rPr>
        <w:rFonts w:cs="Calibri"/>
        <w:sz w:val="18"/>
        <w:szCs w:val="18"/>
      </w:rPr>
      <w:t>.2026</w:t>
    </w:r>
  </w:p>
  <w:p w14:paraId="79E7007A" w14:textId="6072EA17" w:rsidR="00534A39" w:rsidRDefault="00534A39" w:rsidP="00534A39">
    <w:pPr>
      <w:pStyle w:val="Footer"/>
      <w:tabs>
        <w:tab w:val="clear" w:pos="4680"/>
        <w:tab w:val="clear" w:pos="9360"/>
        <w:tab w:val="center" w:pos="5310"/>
        <w:tab w:val="right" w:pos="10800"/>
      </w:tabs>
      <w:rPr>
        <w:rFonts w:cs="Calibri"/>
        <w:sz w:val="18"/>
        <w:szCs w:val="18"/>
      </w:rPr>
    </w:pPr>
    <w:r>
      <w:rPr>
        <w:rFonts w:cs="Calibri"/>
        <w:sz w:val="18"/>
        <w:szCs w:val="18"/>
      </w:rPr>
      <w:t>RELYING SITES Reporting of New Information</w:t>
    </w:r>
  </w:p>
  <w:p w14:paraId="2E0A53FD" w14:textId="4C60438D" w:rsidR="00534A39" w:rsidRDefault="00534A39" w:rsidP="00534A39">
    <w:pPr>
      <w:pStyle w:val="Footer"/>
      <w:tabs>
        <w:tab w:val="clear" w:pos="4680"/>
        <w:tab w:val="clear" w:pos="9360"/>
        <w:tab w:val="center" w:pos="5310"/>
        <w:tab w:val="right" w:pos="10800"/>
      </w:tabs>
      <w:rPr>
        <w:rFonts w:cs="Calibri"/>
        <w:sz w:val="18"/>
        <w:szCs w:val="18"/>
      </w:rPr>
    </w:pPr>
    <w:r w:rsidRPr="1331C5BB">
      <w:rPr>
        <w:rFonts w:cs="Calibri"/>
        <w:sz w:val="18"/>
        <w:szCs w:val="18"/>
      </w:rPr>
      <w:t xml:space="preserve">Version </w:t>
    </w:r>
    <w:r>
      <w:rPr>
        <w:rFonts w:cs="Calibri"/>
        <w:sz w:val="18"/>
        <w:szCs w:val="18"/>
      </w:rPr>
      <w:t>1.1</w:t>
    </w:r>
  </w:p>
  <w:p w14:paraId="05BB0CB6" w14:textId="5DC9D421" w:rsidR="00925C4A" w:rsidRPr="00534A39" w:rsidRDefault="00534A39" w:rsidP="00534A39">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4</w:t>
    </w:r>
    <w:r w:rsidRPr="005031DB">
      <w:rPr>
        <w:rFonts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0B43C" w14:textId="77777777" w:rsidR="00B93E09" w:rsidRDefault="00B93E09" w:rsidP="00BC532C">
      <w:pPr>
        <w:spacing w:after="0" w:line="240" w:lineRule="auto"/>
      </w:pPr>
      <w:r>
        <w:separator/>
      </w:r>
    </w:p>
  </w:footnote>
  <w:footnote w:type="continuationSeparator" w:id="0">
    <w:p w14:paraId="3C68AEEC" w14:textId="77777777" w:rsidR="00B93E09" w:rsidRDefault="00B93E09" w:rsidP="00BC53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B4B"/>
    <w:multiLevelType w:val="hybridMultilevel"/>
    <w:tmpl w:val="C1F8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A6CB3"/>
    <w:multiLevelType w:val="hybridMultilevel"/>
    <w:tmpl w:val="D0526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2037"/>
    <w:multiLevelType w:val="hybridMultilevel"/>
    <w:tmpl w:val="0ACEBCCC"/>
    <w:name w:val="SOP List2"/>
    <w:lvl w:ilvl="0" w:tplc="9AA2C1F2">
      <w:start w:val="1"/>
      <w:numFmt w:val="decimal"/>
      <w:lvlText w:val="1.%1"/>
      <w:lvlJc w:val="left"/>
      <w:pPr>
        <w:ind w:left="1800" w:hanging="360"/>
      </w:pPr>
      <w:rPr>
        <w:rFonts w:ascii="Calibri" w:hAnsi="Calibri" w:hint="default"/>
        <w:b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AB67FC"/>
    <w:multiLevelType w:val="hybridMultilevel"/>
    <w:tmpl w:val="D91A5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7D201A"/>
    <w:multiLevelType w:val="hybridMultilevel"/>
    <w:tmpl w:val="6C80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F4032"/>
    <w:multiLevelType w:val="hybridMultilevel"/>
    <w:tmpl w:val="FFB8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F69D5"/>
    <w:multiLevelType w:val="multilevel"/>
    <w:tmpl w:val="E9389894"/>
    <w:styleLink w:val="SOPHeadings"/>
    <w:lvl w:ilvl="0">
      <w:start w:val="1"/>
      <w:numFmt w:val="decimal"/>
      <w:lvlText w:val="%1"/>
      <w:lvlJc w:val="left"/>
      <w:pPr>
        <w:ind w:left="360" w:hanging="360"/>
      </w:pPr>
      <w:rPr>
        <w:rFonts w:ascii="Calibri" w:hAnsi="Calibri" w:hint="default"/>
        <w:b/>
        <w:i w:val="0"/>
        <w:caps/>
        <w:sz w:val="22"/>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8" w15:restartNumberingAfterBreak="0">
    <w:nsid w:val="19C37A7A"/>
    <w:multiLevelType w:val="hybridMultilevel"/>
    <w:tmpl w:val="E934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661E1"/>
    <w:multiLevelType w:val="hybridMultilevel"/>
    <w:tmpl w:val="9606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4435C"/>
    <w:multiLevelType w:val="hybridMultilevel"/>
    <w:tmpl w:val="F2B6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717B4A"/>
    <w:multiLevelType w:val="hybridMultilevel"/>
    <w:tmpl w:val="12F8F1E0"/>
    <w:lvl w:ilvl="0" w:tplc="06068BC2">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3594C"/>
    <w:multiLevelType w:val="hybridMultilevel"/>
    <w:tmpl w:val="2298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B2FDA"/>
    <w:multiLevelType w:val="hybridMultilevel"/>
    <w:tmpl w:val="134C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B5717"/>
    <w:multiLevelType w:val="hybridMultilevel"/>
    <w:tmpl w:val="A0ECFB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974751"/>
    <w:multiLevelType w:val="hybridMultilevel"/>
    <w:tmpl w:val="7CEE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94E80"/>
    <w:multiLevelType w:val="hybridMultilevel"/>
    <w:tmpl w:val="AE4C1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E45E00"/>
    <w:multiLevelType w:val="hybridMultilevel"/>
    <w:tmpl w:val="FA4A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4781B"/>
    <w:multiLevelType w:val="hybridMultilevel"/>
    <w:tmpl w:val="CDC6C868"/>
    <w:lvl w:ilvl="0" w:tplc="6868C72C">
      <w:start w:val="1"/>
      <w:numFmt w:val="decimal"/>
      <w:lvlText w:val="1.%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336160"/>
    <w:multiLevelType w:val="hybridMultilevel"/>
    <w:tmpl w:val="ECCC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F27B00"/>
    <w:multiLevelType w:val="multilevel"/>
    <w:tmpl w:val="396A1A7A"/>
    <w:name w:val="SOP List"/>
    <w:lvl w:ilvl="0">
      <w:start w:val="1"/>
      <w:numFmt w:val="decimal"/>
      <w:lvlText w:val="%1"/>
      <w:lvlJc w:val="left"/>
      <w:pPr>
        <w:ind w:left="720" w:hanging="360"/>
      </w:pPr>
      <w:rPr>
        <w:rFonts w:ascii="Calibri" w:hAnsi="Calibri" w:hint="default"/>
        <w:b/>
        <w:i w:val="0"/>
        <w:sz w:val="22"/>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8A142C5"/>
    <w:multiLevelType w:val="hybridMultilevel"/>
    <w:tmpl w:val="8998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E694A"/>
    <w:multiLevelType w:val="hybridMultilevel"/>
    <w:tmpl w:val="29DE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0535C4"/>
    <w:multiLevelType w:val="hybridMultilevel"/>
    <w:tmpl w:val="DB0E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2A3166"/>
    <w:multiLevelType w:val="hybridMultilevel"/>
    <w:tmpl w:val="A4BA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A00667"/>
    <w:multiLevelType w:val="hybridMultilevel"/>
    <w:tmpl w:val="83AE4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1749F"/>
    <w:multiLevelType w:val="hybridMultilevel"/>
    <w:tmpl w:val="90DCDD6E"/>
    <w:lvl w:ilvl="0" w:tplc="5C8844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FE5DD0"/>
    <w:multiLevelType w:val="hybridMultilevel"/>
    <w:tmpl w:val="8C84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A83112"/>
    <w:multiLevelType w:val="hybridMultilevel"/>
    <w:tmpl w:val="6242E4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B116CC"/>
    <w:multiLevelType w:val="multilevel"/>
    <w:tmpl w:val="D5DC0158"/>
    <w:styleLink w:val="HSDSOPHeadings"/>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decimal"/>
      <w:lvlText w:val="%1.%2.%3.%4"/>
      <w:lvlJc w:val="left"/>
      <w:pPr>
        <w:tabs>
          <w:tab w:val="num" w:pos="1512"/>
        </w:tabs>
        <w:ind w:left="2376" w:hanging="864"/>
      </w:pPr>
      <w:rPr>
        <w:rFonts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E136E8"/>
    <w:multiLevelType w:val="hybridMultilevel"/>
    <w:tmpl w:val="2450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287D8D"/>
    <w:multiLevelType w:val="hybridMultilevel"/>
    <w:tmpl w:val="D2EC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25AD0"/>
    <w:multiLevelType w:val="multilevel"/>
    <w:tmpl w:val="D5DC0158"/>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decimal"/>
      <w:lvlText w:val="%1.%2.%3.%4"/>
      <w:lvlJc w:val="left"/>
      <w:pPr>
        <w:tabs>
          <w:tab w:val="num" w:pos="1512"/>
        </w:tabs>
        <w:ind w:left="2376" w:hanging="864"/>
      </w:pPr>
      <w:rPr>
        <w:rFonts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6B8525D4"/>
    <w:multiLevelType w:val="hybridMultilevel"/>
    <w:tmpl w:val="EB82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D337CB"/>
    <w:multiLevelType w:val="hybridMultilevel"/>
    <w:tmpl w:val="67F4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423EF"/>
    <w:multiLevelType w:val="hybridMultilevel"/>
    <w:tmpl w:val="68FE3830"/>
    <w:lvl w:ilvl="0" w:tplc="21BA4D04">
      <w:start w:val="1"/>
      <w:numFmt w:val="decimal"/>
      <w:lvlText w:val="1.%1"/>
      <w:lvlJc w:val="left"/>
      <w:pPr>
        <w:ind w:left="1440" w:hanging="360"/>
      </w:pPr>
      <w:rPr>
        <w:rFonts w:ascii="Calibri" w:hAnsi="Calibri"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C9070F9"/>
    <w:multiLevelType w:val="hybridMultilevel"/>
    <w:tmpl w:val="8274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96749"/>
    <w:multiLevelType w:val="hybridMultilevel"/>
    <w:tmpl w:val="316E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5255060">
    <w:abstractNumId w:val="20"/>
  </w:num>
  <w:num w:numId="2" w16cid:durableId="1542741060">
    <w:abstractNumId w:val="18"/>
  </w:num>
  <w:num w:numId="3" w16cid:durableId="1593508497">
    <w:abstractNumId w:val="37"/>
  </w:num>
  <w:num w:numId="4" w16cid:durableId="1674868943">
    <w:abstractNumId w:val="20"/>
  </w:num>
  <w:num w:numId="5" w16cid:durableId="1874882684">
    <w:abstractNumId w:val="3"/>
  </w:num>
  <w:num w:numId="6" w16cid:durableId="1941255832">
    <w:abstractNumId w:val="7"/>
  </w:num>
  <w:num w:numId="7" w16cid:durableId="1740747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8994291">
    <w:abstractNumId w:val="7"/>
  </w:num>
  <w:num w:numId="9" w16cid:durableId="168907298">
    <w:abstractNumId w:val="8"/>
  </w:num>
  <w:num w:numId="10" w16cid:durableId="1712605164">
    <w:abstractNumId w:val="4"/>
  </w:num>
  <w:num w:numId="11" w16cid:durableId="22218451">
    <w:abstractNumId w:val="39"/>
  </w:num>
  <w:num w:numId="12" w16cid:durableId="1732918921">
    <w:abstractNumId w:val="13"/>
  </w:num>
  <w:num w:numId="13" w16cid:durableId="1801533763">
    <w:abstractNumId w:val="33"/>
  </w:num>
  <w:num w:numId="14" w16cid:durableId="770397082">
    <w:abstractNumId w:val="9"/>
  </w:num>
  <w:num w:numId="15" w16cid:durableId="730037344">
    <w:abstractNumId w:val="12"/>
  </w:num>
  <w:num w:numId="16" w16cid:durableId="10302558">
    <w:abstractNumId w:val="10"/>
  </w:num>
  <w:num w:numId="17" w16cid:durableId="68117149">
    <w:abstractNumId w:val="29"/>
  </w:num>
  <w:num w:numId="18" w16cid:durableId="608053658">
    <w:abstractNumId w:val="2"/>
  </w:num>
  <w:num w:numId="19" w16cid:durableId="32583233">
    <w:abstractNumId w:val="1"/>
  </w:num>
  <w:num w:numId="20" w16cid:durableId="1766881564">
    <w:abstractNumId w:val="21"/>
  </w:num>
  <w:num w:numId="21" w16cid:durableId="91167546">
    <w:abstractNumId w:val="31"/>
  </w:num>
  <w:num w:numId="22" w16cid:durableId="1469199137">
    <w:abstractNumId w:val="19"/>
  </w:num>
  <w:num w:numId="23" w16cid:durableId="1142580498">
    <w:abstractNumId w:val="5"/>
  </w:num>
  <w:num w:numId="24" w16cid:durableId="1461145586">
    <w:abstractNumId w:val="25"/>
  </w:num>
  <w:num w:numId="25" w16cid:durableId="39206158">
    <w:abstractNumId w:val="23"/>
  </w:num>
  <w:num w:numId="26" w16cid:durableId="1648515002">
    <w:abstractNumId w:val="22"/>
  </w:num>
  <w:num w:numId="27" w16cid:durableId="1942562371">
    <w:abstractNumId w:val="15"/>
  </w:num>
  <w:num w:numId="28" w16cid:durableId="175852829">
    <w:abstractNumId w:val="35"/>
  </w:num>
  <w:num w:numId="29" w16cid:durableId="166990039">
    <w:abstractNumId w:val="32"/>
  </w:num>
  <w:num w:numId="30" w16cid:durableId="2133666541">
    <w:abstractNumId w:val="24"/>
  </w:num>
  <w:num w:numId="31" w16cid:durableId="547881660">
    <w:abstractNumId w:val="17"/>
  </w:num>
  <w:num w:numId="32" w16cid:durableId="904071316">
    <w:abstractNumId w:val="36"/>
  </w:num>
  <w:num w:numId="33" w16cid:durableId="673382921">
    <w:abstractNumId w:val="0"/>
  </w:num>
  <w:num w:numId="34" w16cid:durableId="1930579383">
    <w:abstractNumId w:val="38"/>
  </w:num>
  <w:num w:numId="35" w16cid:durableId="1819227042">
    <w:abstractNumId w:val="6"/>
  </w:num>
  <w:num w:numId="36" w16cid:durableId="1016230195">
    <w:abstractNumId w:val="27"/>
  </w:num>
  <w:num w:numId="37" w16cid:durableId="2096046473">
    <w:abstractNumId w:val="11"/>
  </w:num>
  <w:num w:numId="38" w16cid:durableId="1883126373">
    <w:abstractNumId w:val="26"/>
  </w:num>
  <w:num w:numId="39" w16cid:durableId="1324427384">
    <w:abstractNumId w:val="16"/>
  </w:num>
  <w:num w:numId="40" w16cid:durableId="2066831269">
    <w:abstractNumId w:val="30"/>
  </w:num>
  <w:num w:numId="41" w16cid:durableId="772549826">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64" w:hanging="504"/>
        </w:pPr>
        <w:rPr>
          <w:rFonts w:hint="default"/>
        </w:rPr>
      </w:lvl>
    </w:lvlOverride>
    <w:lvlOverride w:ilvl="2">
      <w:lvl w:ilvl="2">
        <w:start w:val="1"/>
        <w:numFmt w:val="decimal"/>
        <w:lvlText w:val="%1.%2.%3"/>
        <w:lvlJc w:val="left"/>
        <w:pPr>
          <w:ind w:left="1512" w:hanging="648"/>
        </w:pPr>
        <w:rPr>
          <w:rFonts w:hint="default"/>
        </w:rPr>
      </w:lvl>
    </w:lvlOverride>
    <w:lvlOverride w:ilvl="3">
      <w:lvl w:ilvl="3">
        <w:start w:val="1"/>
        <w:numFmt w:val="decimal"/>
        <w:lvlText w:val="%1.%2.%3.%4"/>
        <w:lvlJc w:val="left"/>
        <w:pPr>
          <w:tabs>
            <w:tab w:val="num" w:pos="1512"/>
          </w:tabs>
          <w:ind w:left="2376" w:hanging="864"/>
        </w:pPr>
        <w:rPr>
          <w:rFonts w:hint="default"/>
          <w:b w:val="0"/>
        </w:rPr>
      </w:lvl>
    </w:lvlOverride>
    <w:lvlOverride w:ilvl="4">
      <w:lvl w:ilvl="4">
        <w:start w:val="1"/>
        <w:numFmt w:val="decimal"/>
        <w:lvlText w:val="%1.%2.%3.%4.%5"/>
        <w:lvlJc w:val="left"/>
        <w:pPr>
          <w:tabs>
            <w:tab w:val="num" w:pos="2376"/>
          </w:tabs>
          <w:ind w:left="3456" w:hanging="1080"/>
        </w:pPr>
        <w:rPr>
          <w:rFonts w:hint="default"/>
        </w:rPr>
      </w:lvl>
    </w:lvlOverride>
    <w:lvlOverride w:ilvl="5">
      <w:lvl w:ilvl="5">
        <w:start w:val="1"/>
        <w:numFmt w:val="decimal"/>
        <w:lvlText w:val="%1.%2.%3.%4.%5.%6"/>
        <w:lvlJc w:val="left"/>
        <w:pPr>
          <w:tabs>
            <w:tab w:val="num" w:pos="3456"/>
          </w:tabs>
          <w:ind w:left="4680" w:hanging="1224"/>
        </w:pPr>
        <w:rPr>
          <w:rFonts w:hint="default"/>
        </w:rPr>
      </w:lvl>
    </w:lvlOverride>
    <w:lvlOverride w:ilvl="6">
      <w:lvl w:ilvl="6">
        <w:start w:val="1"/>
        <w:numFmt w:val="decimal"/>
        <w:lvlText w:val="%1.%2.%3.%4.%5.%6.%7"/>
        <w:lvlJc w:val="left"/>
        <w:pPr>
          <w:tabs>
            <w:tab w:val="num" w:pos="3672"/>
          </w:tabs>
          <w:ind w:left="5040" w:hanging="1368"/>
        </w:pPr>
        <w:rPr>
          <w:rFonts w:hint="default"/>
        </w:rPr>
      </w:lvl>
    </w:lvlOverride>
    <w:lvlOverride w:ilvl="7">
      <w:lvl w:ilvl="7">
        <w:start w:val="1"/>
        <w:numFmt w:val="decimal"/>
        <w:lvlText w:val="%1.%2.%3.%4.%5.%6.%7.%8"/>
        <w:lvlJc w:val="left"/>
        <w:pPr>
          <w:tabs>
            <w:tab w:val="num" w:pos="4176"/>
          </w:tabs>
          <w:ind w:left="5472" w:hanging="1512"/>
        </w:pPr>
        <w:rPr>
          <w:rFonts w:hint="default"/>
        </w:rPr>
      </w:lvl>
    </w:lvlOverride>
    <w:lvlOverride w:ilvl="8">
      <w:lvl w:ilvl="8">
        <w:start w:val="1"/>
        <w:numFmt w:val="decimal"/>
        <w:lvlText w:val="%1.%2.%3.%4.%5.%6.%7.%8.%9"/>
        <w:lvlJc w:val="left"/>
        <w:pPr>
          <w:ind w:left="6120" w:hanging="1800"/>
        </w:pPr>
        <w:rPr>
          <w:rFonts w:hint="default"/>
        </w:rPr>
      </w:lvl>
    </w:lvlOverride>
  </w:num>
  <w:num w:numId="42" w16cid:durableId="1986815812">
    <w:abstractNumId w:val="14"/>
  </w:num>
  <w:num w:numId="43" w16cid:durableId="4656639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61"/>
    <w:rsid w:val="000058CC"/>
    <w:rsid w:val="0001525B"/>
    <w:rsid w:val="00032560"/>
    <w:rsid w:val="000651A1"/>
    <w:rsid w:val="00074749"/>
    <w:rsid w:val="00082DCA"/>
    <w:rsid w:val="000A4D85"/>
    <w:rsid w:val="000A6546"/>
    <w:rsid w:val="000B7FBC"/>
    <w:rsid w:val="000C25E0"/>
    <w:rsid w:val="000F3417"/>
    <w:rsid w:val="0011626D"/>
    <w:rsid w:val="0014155E"/>
    <w:rsid w:val="00142909"/>
    <w:rsid w:val="001475DC"/>
    <w:rsid w:val="00151784"/>
    <w:rsid w:val="00154A04"/>
    <w:rsid w:val="001572EE"/>
    <w:rsid w:val="00165C97"/>
    <w:rsid w:val="0016753F"/>
    <w:rsid w:val="00183ABF"/>
    <w:rsid w:val="001B1196"/>
    <w:rsid w:val="001C327D"/>
    <w:rsid w:val="001D1591"/>
    <w:rsid w:val="001D1C9B"/>
    <w:rsid w:val="001D37D4"/>
    <w:rsid w:val="001E1945"/>
    <w:rsid w:val="001E441B"/>
    <w:rsid w:val="001F12A4"/>
    <w:rsid w:val="00200AFC"/>
    <w:rsid w:val="00217C39"/>
    <w:rsid w:val="00236168"/>
    <w:rsid w:val="002468F3"/>
    <w:rsid w:val="00265A0B"/>
    <w:rsid w:val="00267228"/>
    <w:rsid w:val="002767F8"/>
    <w:rsid w:val="002E6543"/>
    <w:rsid w:val="002F7B77"/>
    <w:rsid w:val="00322AF4"/>
    <w:rsid w:val="00325DEB"/>
    <w:rsid w:val="003638AC"/>
    <w:rsid w:val="00375221"/>
    <w:rsid w:val="00376A83"/>
    <w:rsid w:val="003803AC"/>
    <w:rsid w:val="003975E5"/>
    <w:rsid w:val="00402916"/>
    <w:rsid w:val="004070A0"/>
    <w:rsid w:val="00432F8C"/>
    <w:rsid w:val="004561A4"/>
    <w:rsid w:val="00461414"/>
    <w:rsid w:val="00474DD1"/>
    <w:rsid w:val="00487E77"/>
    <w:rsid w:val="00497376"/>
    <w:rsid w:val="004A1E1D"/>
    <w:rsid w:val="004A47EE"/>
    <w:rsid w:val="004B3908"/>
    <w:rsid w:val="004F46F9"/>
    <w:rsid w:val="004F5BF1"/>
    <w:rsid w:val="00501E5B"/>
    <w:rsid w:val="00510120"/>
    <w:rsid w:val="005172F4"/>
    <w:rsid w:val="00534A39"/>
    <w:rsid w:val="00543DD2"/>
    <w:rsid w:val="00560204"/>
    <w:rsid w:val="005640FC"/>
    <w:rsid w:val="00590473"/>
    <w:rsid w:val="00592A19"/>
    <w:rsid w:val="00597665"/>
    <w:rsid w:val="005E1D24"/>
    <w:rsid w:val="00600013"/>
    <w:rsid w:val="00600D18"/>
    <w:rsid w:val="006067EC"/>
    <w:rsid w:val="00647F10"/>
    <w:rsid w:val="00680828"/>
    <w:rsid w:val="006935B8"/>
    <w:rsid w:val="006B513A"/>
    <w:rsid w:val="006E46B6"/>
    <w:rsid w:val="006E5CB5"/>
    <w:rsid w:val="00714898"/>
    <w:rsid w:val="00717467"/>
    <w:rsid w:val="007211CD"/>
    <w:rsid w:val="00740DDB"/>
    <w:rsid w:val="00762248"/>
    <w:rsid w:val="007640AF"/>
    <w:rsid w:val="00782371"/>
    <w:rsid w:val="007A611F"/>
    <w:rsid w:val="007A73D0"/>
    <w:rsid w:val="007D49C1"/>
    <w:rsid w:val="007D7BAF"/>
    <w:rsid w:val="007E1DEC"/>
    <w:rsid w:val="008123E9"/>
    <w:rsid w:val="008239B7"/>
    <w:rsid w:val="0082624C"/>
    <w:rsid w:val="0087553C"/>
    <w:rsid w:val="00875FC3"/>
    <w:rsid w:val="00883A03"/>
    <w:rsid w:val="008845C7"/>
    <w:rsid w:val="008A5835"/>
    <w:rsid w:val="008C1F90"/>
    <w:rsid w:val="008D613C"/>
    <w:rsid w:val="008D6D57"/>
    <w:rsid w:val="008E1A19"/>
    <w:rsid w:val="008E7422"/>
    <w:rsid w:val="008F44AA"/>
    <w:rsid w:val="00914087"/>
    <w:rsid w:val="00925C4A"/>
    <w:rsid w:val="00925F6C"/>
    <w:rsid w:val="009420FE"/>
    <w:rsid w:val="009441C3"/>
    <w:rsid w:val="0095315E"/>
    <w:rsid w:val="00954C91"/>
    <w:rsid w:val="009601AC"/>
    <w:rsid w:val="00961264"/>
    <w:rsid w:val="0097683A"/>
    <w:rsid w:val="00977495"/>
    <w:rsid w:val="009A4EE5"/>
    <w:rsid w:val="009B187A"/>
    <w:rsid w:val="009D39EC"/>
    <w:rsid w:val="009E38C1"/>
    <w:rsid w:val="009E552A"/>
    <w:rsid w:val="009F2510"/>
    <w:rsid w:val="009F53DE"/>
    <w:rsid w:val="00A03C60"/>
    <w:rsid w:val="00A222E8"/>
    <w:rsid w:val="00A71D4E"/>
    <w:rsid w:val="00A848AA"/>
    <w:rsid w:val="00A929A9"/>
    <w:rsid w:val="00AA2580"/>
    <w:rsid w:val="00AD5583"/>
    <w:rsid w:val="00AE49A5"/>
    <w:rsid w:val="00B00AFA"/>
    <w:rsid w:val="00B13FCD"/>
    <w:rsid w:val="00B229B8"/>
    <w:rsid w:val="00B31DE1"/>
    <w:rsid w:val="00B3358F"/>
    <w:rsid w:val="00B3600D"/>
    <w:rsid w:val="00B44AD7"/>
    <w:rsid w:val="00B45E1A"/>
    <w:rsid w:val="00B55261"/>
    <w:rsid w:val="00B55584"/>
    <w:rsid w:val="00B5609A"/>
    <w:rsid w:val="00B61206"/>
    <w:rsid w:val="00B91761"/>
    <w:rsid w:val="00B9263B"/>
    <w:rsid w:val="00B93E09"/>
    <w:rsid w:val="00BB3D7D"/>
    <w:rsid w:val="00BC532C"/>
    <w:rsid w:val="00BE1C70"/>
    <w:rsid w:val="00BE1F64"/>
    <w:rsid w:val="00BF0F77"/>
    <w:rsid w:val="00C03519"/>
    <w:rsid w:val="00C06212"/>
    <w:rsid w:val="00C07185"/>
    <w:rsid w:val="00C2234D"/>
    <w:rsid w:val="00C279A6"/>
    <w:rsid w:val="00C378D2"/>
    <w:rsid w:val="00C40A04"/>
    <w:rsid w:val="00C449B1"/>
    <w:rsid w:val="00C6746B"/>
    <w:rsid w:val="00C74168"/>
    <w:rsid w:val="00CA0AE0"/>
    <w:rsid w:val="00CA2F63"/>
    <w:rsid w:val="00CB03F7"/>
    <w:rsid w:val="00CD274A"/>
    <w:rsid w:val="00CD2FA9"/>
    <w:rsid w:val="00CD3C8F"/>
    <w:rsid w:val="00CD5079"/>
    <w:rsid w:val="00CD53ED"/>
    <w:rsid w:val="00CE2FB5"/>
    <w:rsid w:val="00CE3179"/>
    <w:rsid w:val="00CF0BB9"/>
    <w:rsid w:val="00CF7D7D"/>
    <w:rsid w:val="00D81383"/>
    <w:rsid w:val="00DA40D9"/>
    <w:rsid w:val="00DB2326"/>
    <w:rsid w:val="00DB50D9"/>
    <w:rsid w:val="00E12C16"/>
    <w:rsid w:val="00E15F47"/>
    <w:rsid w:val="00E4491E"/>
    <w:rsid w:val="00E705F5"/>
    <w:rsid w:val="00E8640E"/>
    <w:rsid w:val="00ED0E2D"/>
    <w:rsid w:val="00ED134C"/>
    <w:rsid w:val="00ED1539"/>
    <w:rsid w:val="00ED27C2"/>
    <w:rsid w:val="00EE1798"/>
    <w:rsid w:val="00EF507E"/>
    <w:rsid w:val="00F21F09"/>
    <w:rsid w:val="00F3072D"/>
    <w:rsid w:val="00F335C0"/>
    <w:rsid w:val="00F4304B"/>
    <w:rsid w:val="00F63634"/>
    <w:rsid w:val="00F846DA"/>
    <w:rsid w:val="00F87816"/>
    <w:rsid w:val="00FA2BB7"/>
    <w:rsid w:val="00FC372E"/>
    <w:rsid w:val="011323B6"/>
    <w:rsid w:val="0B881E5E"/>
    <w:rsid w:val="118723B5"/>
    <w:rsid w:val="17C10C6E"/>
    <w:rsid w:val="1B6F4261"/>
    <w:rsid w:val="20ADA7F4"/>
    <w:rsid w:val="23532EF4"/>
    <w:rsid w:val="2A3925F1"/>
    <w:rsid w:val="2DB05732"/>
    <w:rsid w:val="3307B719"/>
    <w:rsid w:val="34B5781F"/>
    <w:rsid w:val="3777AFC2"/>
    <w:rsid w:val="406D25F4"/>
    <w:rsid w:val="4218C27C"/>
    <w:rsid w:val="42673C31"/>
    <w:rsid w:val="495D83A3"/>
    <w:rsid w:val="4D8B6FF4"/>
    <w:rsid w:val="4F80B92F"/>
    <w:rsid w:val="5144B9FC"/>
    <w:rsid w:val="57F01BEB"/>
    <w:rsid w:val="58BCC529"/>
    <w:rsid w:val="5EE92BD5"/>
    <w:rsid w:val="648D8D46"/>
    <w:rsid w:val="654A5B9C"/>
    <w:rsid w:val="68D7EA40"/>
    <w:rsid w:val="6A15D792"/>
    <w:rsid w:val="6C802FC0"/>
    <w:rsid w:val="726B72CA"/>
    <w:rsid w:val="788F87CF"/>
    <w:rsid w:val="791D9845"/>
    <w:rsid w:val="7DBB4617"/>
    <w:rsid w:val="7E30D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7715"/>
  <w15:docId w15:val="{6F431DF8-CFD4-4E3D-A8C1-3A4D79BF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link w:val="Heading2Char"/>
    <w:uiPriority w:val="9"/>
    <w:unhideWhenUsed/>
    <w:qFormat/>
    <w:rsid w:val="004A1E1D"/>
    <w:pPr>
      <w:spacing w:before="200" w:after="80" w:line="240" w:lineRule="auto"/>
      <w:ind w:left="864" w:hanging="504"/>
      <w:outlineLvl w:val="1"/>
    </w:pPr>
    <w:rPr>
      <w:rFonts w:ascii="Calibri" w:hAnsi="Calibri"/>
      <w:color w:val="auto"/>
      <w:sz w:val="22"/>
      <w:szCs w:val="26"/>
    </w:rPr>
  </w:style>
  <w:style w:type="paragraph" w:styleId="Heading3">
    <w:name w:val="heading 3"/>
    <w:basedOn w:val="Heading2"/>
    <w:link w:val="Heading3Char"/>
    <w:uiPriority w:val="9"/>
    <w:unhideWhenUsed/>
    <w:qFormat/>
    <w:rsid w:val="004A1E1D"/>
    <w:pPr>
      <w:spacing w:before="0"/>
      <w:ind w:left="1512" w:hanging="648"/>
      <w:outlineLvl w:val="2"/>
    </w:pPr>
    <w:rPr>
      <w:bCs/>
    </w:rPr>
  </w:style>
  <w:style w:type="paragraph" w:styleId="Heading4">
    <w:name w:val="heading 4"/>
    <w:basedOn w:val="Heading3"/>
    <w:link w:val="Heading4Char"/>
    <w:uiPriority w:val="9"/>
    <w:unhideWhenUsed/>
    <w:qFormat/>
    <w:rsid w:val="004A1E1D"/>
    <w:pPr>
      <w:tabs>
        <w:tab w:val="num" w:pos="1512"/>
      </w:tabs>
      <w:ind w:left="2376" w:hanging="864"/>
      <w:outlineLvl w:val="3"/>
    </w:pPr>
    <w:rPr>
      <w:bCs w:val="0"/>
      <w:iCs/>
    </w:rPr>
  </w:style>
  <w:style w:type="paragraph" w:styleId="Heading5">
    <w:name w:val="heading 5"/>
    <w:basedOn w:val="Heading4"/>
    <w:link w:val="Heading5Char"/>
    <w:uiPriority w:val="9"/>
    <w:unhideWhenUsed/>
    <w:qFormat/>
    <w:rsid w:val="004A1E1D"/>
    <w:pPr>
      <w:tabs>
        <w:tab w:val="clear" w:pos="1512"/>
        <w:tab w:val="num" w:pos="2376"/>
      </w:tabs>
      <w:ind w:left="3456" w:hanging="1080"/>
      <w:outlineLvl w:val="4"/>
    </w:pPr>
  </w:style>
  <w:style w:type="paragraph" w:styleId="Heading6">
    <w:name w:val="heading 6"/>
    <w:basedOn w:val="Heading5"/>
    <w:link w:val="Heading6Char"/>
    <w:uiPriority w:val="9"/>
    <w:unhideWhenUsed/>
    <w:qFormat/>
    <w:rsid w:val="004A1E1D"/>
    <w:pPr>
      <w:tabs>
        <w:tab w:val="clear" w:pos="2376"/>
        <w:tab w:val="num" w:pos="3456"/>
      </w:tabs>
      <w:ind w:left="4680" w:hanging="1224"/>
      <w:outlineLvl w:val="5"/>
    </w:pPr>
    <w:rPr>
      <w:iCs w:val="0"/>
    </w:rPr>
  </w:style>
  <w:style w:type="paragraph" w:styleId="Heading7">
    <w:name w:val="heading 7"/>
    <w:basedOn w:val="Heading6"/>
    <w:link w:val="Heading7Char"/>
    <w:uiPriority w:val="9"/>
    <w:unhideWhenUsed/>
    <w:qFormat/>
    <w:rsid w:val="004A1E1D"/>
    <w:pPr>
      <w:tabs>
        <w:tab w:val="clear" w:pos="3456"/>
        <w:tab w:val="num" w:pos="3672"/>
      </w:tabs>
      <w:ind w:left="5040" w:hanging="1368"/>
      <w:outlineLvl w:val="6"/>
    </w:pPr>
    <w:rPr>
      <w:iCs/>
    </w:rPr>
  </w:style>
  <w:style w:type="paragraph" w:styleId="Heading8">
    <w:name w:val="heading 8"/>
    <w:basedOn w:val="Heading7"/>
    <w:link w:val="Heading8Char"/>
    <w:uiPriority w:val="9"/>
    <w:unhideWhenUsed/>
    <w:qFormat/>
    <w:rsid w:val="004A1E1D"/>
    <w:pPr>
      <w:tabs>
        <w:tab w:val="clear" w:pos="3672"/>
        <w:tab w:val="num" w:pos="4176"/>
      </w:tabs>
      <w:ind w:left="5472" w:hanging="1512"/>
      <w:outlineLvl w:val="7"/>
    </w:pPr>
    <w:rPr>
      <w:szCs w:val="20"/>
    </w:rPr>
  </w:style>
  <w:style w:type="paragraph" w:styleId="Heading9">
    <w:name w:val="heading 9"/>
    <w:basedOn w:val="Heading8"/>
    <w:link w:val="Heading9Char"/>
    <w:uiPriority w:val="9"/>
    <w:unhideWhenUsed/>
    <w:qFormat/>
    <w:rsid w:val="004A1E1D"/>
    <w:pPr>
      <w:tabs>
        <w:tab w:val="clear" w:pos="4176"/>
      </w:tabs>
      <w:ind w:left="6120" w:hanging="180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2C"/>
  </w:style>
  <w:style w:type="paragraph" w:styleId="Footer">
    <w:name w:val="footer"/>
    <w:basedOn w:val="Normal"/>
    <w:link w:val="FooterChar"/>
    <w:uiPriority w:val="99"/>
    <w:unhideWhenUsed/>
    <w:qFormat/>
    <w:rsid w:val="00BC5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2C"/>
  </w:style>
  <w:style w:type="paragraph" w:styleId="NoSpacing">
    <w:name w:val="No Spacing"/>
    <w:uiPriority w:val="1"/>
    <w:qFormat/>
    <w:rsid w:val="00BC532C"/>
    <w:pPr>
      <w:spacing w:after="0" w:line="240" w:lineRule="auto"/>
    </w:pPr>
    <w:rPr>
      <w:color w:val="44546A" w:themeColor="text2"/>
      <w:sz w:val="20"/>
      <w:szCs w:val="20"/>
    </w:rPr>
  </w:style>
  <w:style w:type="table" w:styleId="TableGrid">
    <w:name w:val="Table Grid"/>
    <w:basedOn w:val="TableNormal"/>
    <w:uiPriority w:val="59"/>
    <w:rsid w:val="00BC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25E0"/>
    <w:rPr>
      <w:rFonts w:asciiTheme="majorHAnsi" w:eastAsiaTheme="majorEastAsia" w:hAnsiTheme="majorHAnsi" w:cstheme="majorBidi"/>
      <w:color w:val="2E74B5" w:themeColor="accent1" w:themeShade="BF"/>
      <w:sz w:val="32"/>
      <w:szCs w:val="32"/>
    </w:rPr>
  </w:style>
  <w:style w:type="numbering" w:customStyle="1" w:styleId="SOPHeadings">
    <w:name w:val="SOP Headings"/>
    <w:uiPriority w:val="99"/>
    <w:rsid w:val="00647F10"/>
    <w:pPr>
      <w:numPr>
        <w:numId w:val="6"/>
      </w:numPr>
    </w:pPr>
  </w:style>
  <w:style w:type="paragraph" w:styleId="BalloonText">
    <w:name w:val="Balloon Text"/>
    <w:basedOn w:val="Normal"/>
    <w:link w:val="BalloonTextChar"/>
    <w:uiPriority w:val="99"/>
    <w:semiHidden/>
    <w:unhideWhenUsed/>
    <w:rsid w:val="002E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43"/>
    <w:rPr>
      <w:rFonts w:ascii="Tahoma" w:hAnsi="Tahoma" w:cs="Tahoma"/>
      <w:sz w:val="16"/>
      <w:szCs w:val="16"/>
    </w:rPr>
  </w:style>
  <w:style w:type="character" w:styleId="CommentReference">
    <w:name w:val="annotation reference"/>
    <w:basedOn w:val="DefaultParagraphFont"/>
    <w:uiPriority w:val="99"/>
    <w:semiHidden/>
    <w:unhideWhenUsed/>
    <w:rsid w:val="00A03C60"/>
    <w:rPr>
      <w:sz w:val="16"/>
      <w:szCs w:val="16"/>
    </w:rPr>
  </w:style>
  <w:style w:type="paragraph" w:styleId="CommentText">
    <w:name w:val="annotation text"/>
    <w:basedOn w:val="Normal"/>
    <w:link w:val="CommentTextChar"/>
    <w:uiPriority w:val="99"/>
    <w:unhideWhenUsed/>
    <w:rsid w:val="00A03C60"/>
    <w:pPr>
      <w:spacing w:line="240" w:lineRule="auto"/>
    </w:pPr>
    <w:rPr>
      <w:sz w:val="20"/>
      <w:szCs w:val="20"/>
    </w:rPr>
  </w:style>
  <w:style w:type="character" w:customStyle="1" w:styleId="CommentTextChar">
    <w:name w:val="Comment Text Char"/>
    <w:basedOn w:val="DefaultParagraphFont"/>
    <w:link w:val="CommentText"/>
    <w:uiPriority w:val="99"/>
    <w:rsid w:val="00A03C60"/>
    <w:rPr>
      <w:sz w:val="20"/>
      <w:szCs w:val="20"/>
    </w:rPr>
  </w:style>
  <w:style w:type="paragraph" w:styleId="CommentSubject">
    <w:name w:val="annotation subject"/>
    <w:basedOn w:val="CommentText"/>
    <w:next w:val="CommentText"/>
    <w:link w:val="CommentSubjectChar"/>
    <w:uiPriority w:val="99"/>
    <w:semiHidden/>
    <w:unhideWhenUsed/>
    <w:rsid w:val="00A03C60"/>
    <w:rPr>
      <w:b/>
      <w:bCs/>
    </w:rPr>
  </w:style>
  <w:style w:type="character" w:customStyle="1" w:styleId="CommentSubjectChar">
    <w:name w:val="Comment Subject Char"/>
    <w:basedOn w:val="CommentTextChar"/>
    <w:link w:val="CommentSubject"/>
    <w:uiPriority w:val="99"/>
    <w:semiHidden/>
    <w:rsid w:val="00A03C60"/>
    <w:rPr>
      <w:b/>
      <w:bCs/>
      <w:sz w:val="20"/>
      <w:szCs w:val="20"/>
    </w:rPr>
  </w:style>
  <w:style w:type="table" w:customStyle="1" w:styleId="TableGrid1">
    <w:name w:val="Table Grid1"/>
    <w:basedOn w:val="TableNormal"/>
    <w:next w:val="TableGrid"/>
    <w:uiPriority w:val="59"/>
    <w:rsid w:val="00BF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F77"/>
    <w:pPr>
      <w:ind w:left="720"/>
      <w:contextualSpacing/>
    </w:pPr>
  </w:style>
  <w:style w:type="character" w:styleId="Hyperlink">
    <w:name w:val="Hyperlink"/>
    <w:basedOn w:val="DefaultParagraphFont"/>
    <w:uiPriority w:val="99"/>
    <w:unhideWhenUsed/>
    <w:rsid w:val="006935B8"/>
    <w:rPr>
      <w:color w:val="0563C1" w:themeColor="hyperlink"/>
      <w:u w:val="single"/>
    </w:rPr>
  </w:style>
  <w:style w:type="paragraph" w:styleId="Revision">
    <w:name w:val="Revision"/>
    <w:hidden/>
    <w:uiPriority w:val="99"/>
    <w:semiHidden/>
    <w:rsid w:val="00F21F09"/>
    <w:pPr>
      <w:spacing w:after="0" w:line="240" w:lineRule="auto"/>
    </w:pPr>
  </w:style>
  <w:style w:type="character" w:styleId="UnresolvedMention">
    <w:name w:val="Unresolved Mention"/>
    <w:basedOn w:val="DefaultParagraphFont"/>
    <w:uiPriority w:val="99"/>
    <w:semiHidden/>
    <w:unhideWhenUsed/>
    <w:rsid w:val="00CB03F7"/>
    <w:rPr>
      <w:color w:val="605E5C"/>
      <w:shd w:val="clear" w:color="auto" w:fill="E1DFDD"/>
    </w:rPr>
  </w:style>
  <w:style w:type="character" w:customStyle="1" w:styleId="Heading2Char">
    <w:name w:val="Heading 2 Char"/>
    <w:basedOn w:val="DefaultParagraphFont"/>
    <w:link w:val="Heading2"/>
    <w:uiPriority w:val="9"/>
    <w:rsid w:val="004A1E1D"/>
    <w:rPr>
      <w:rFonts w:ascii="Calibri" w:eastAsiaTheme="majorEastAsia" w:hAnsi="Calibri" w:cstheme="majorBidi"/>
      <w:szCs w:val="26"/>
    </w:rPr>
  </w:style>
  <w:style w:type="character" w:customStyle="1" w:styleId="Heading3Char">
    <w:name w:val="Heading 3 Char"/>
    <w:basedOn w:val="DefaultParagraphFont"/>
    <w:link w:val="Heading3"/>
    <w:uiPriority w:val="9"/>
    <w:rsid w:val="004A1E1D"/>
    <w:rPr>
      <w:rFonts w:ascii="Calibri" w:eastAsiaTheme="majorEastAsia" w:hAnsi="Calibri" w:cstheme="majorBidi"/>
      <w:bCs/>
      <w:szCs w:val="26"/>
    </w:rPr>
  </w:style>
  <w:style w:type="character" w:customStyle="1" w:styleId="Heading4Char">
    <w:name w:val="Heading 4 Char"/>
    <w:basedOn w:val="DefaultParagraphFont"/>
    <w:link w:val="Heading4"/>
    <w:uiPriority w:val="9"/>
    <w:rsid w:val="004A1E1D"/>
    <w:rPr>
      <w:rFonts w:ascii="Calibri" w:eastAsiaTheme="majorEastAsia" w:hAnsi="Calibri" w:cstheme="majorBidi"/>
      <w:iCs/>
      <w:szCs w:val="26"/>
    </w:rPr>
  </w:style>
  <w:style w:type="character" w:customStyle="1" w:styleId="Heading5Char">
    <w:name w:val="Heading 5 Char"/>
    <w:basedOn w:val="DefaultParagraphFont"/>
    <w:link w:val="Heading5"/>
    <w:uiPriority w:val="9"/>
    <w:rsid w:val="004A1E1D"/>
    <w:rPr>
      <w:rFonts w:ascii="Calibri" w:eastAsiaTheme="majorEastAsia" w:hAnsi="Calibri" w:cstheme="majorBidi"/>
      <w:iCs/>
      <w:szCs w:val="26"/>
    </w:rPr>
  </w:style>
  <w:style w:type="character" w:customStyle="1" w:styleId="Heading6Char">
    <w:name w:val="Heading 6 Char"/>
    <w:basedOn w:val="DefaultParagraphFont"/>
    <w:link w:val="Heading6"/>
    <w:uiPriority w:val="9"/>
    <w:rsid w:val="004A1E1D"/>
    <w:rPr>
      <w:rFonts w:ascii="Calibri" w:eastAsiaTheme="majorEastAsia" w:hAnsi="Calibri" w:cstheme="majorBidi"/>
      <w:szCs w:val="26"/>
    </w:rPr>
  </w:style>
  <w:style w:type="character" w:customStyle="1" w:styleId="Heading7Char">
    <w:name w:val="Heading 7 Char"/>
    <w:basedOn w:val="DefaultParagraphFont"/>
    <w:link w:val="Heading7"/>
    <w:uiPriority w:val="9"/>
    <w:rsid w:val="004A1E1D"/>
    <w:rPr>
      <w:rFonts w:ascii="Calibri" w:eastAsiaTheme="majorEastAsia" w:hAnsi="Calibri" w:cstheme="majorBidi"/>
      <w:iCs/>
      <w:szCs w:val="26"/>
    </w:rPr>
  </w:style>
  <w:style w:type="character" w:customStyle="1" w:styleId="Heading8Char">
    <w:name w:val="Heading 8 Char"/>
    <w:basedOn w:val="DefaultParagraphFont"/>
    <w:link w:val="Heading8"/>
    <w:uiPriority w:val="9"/>
    <w:rsid w:val="004A1E1D"/>
    <w:rPr>
      <w:rFonts w:ascii="Calibri" w:eastAsiaTheme="majorEastAsia" w:hAnsi="Calibri" w:cstheme="majorBidi"/>
      <w:iCs/>
      <w:szCs w:val="20"/>
    </w:rPr>
  </w:style>
  <w:style w:type="character" w:customStyle="1" w:styleId="Heading9Char">
    <w:name w:val="Heading 9 Char"/>
    <w:basedOn w:val="DefaultParagraphFont"/>
    <w:link w:val="Heading9"/>
    <w:uiPriority w:val="9"/>
    <w:rsid w:val="004A1E1D"/>
    <w:rPr>
      <w:rFonts w:ascii="Calibri" w:eastAsiaTheme="majorEastAsia" w:hAnsi="Calibri" w:cstheme="majorBidi"/>
      <w:szCs w:val="20"/>
    </w:rPr>
  </w:style>
  <w:style w:type="numbering" w:customStyle="1" w:styleId="HSDSOPHeadings">
    <w:name w:val="HSD SOP Headings"/>
    <w:uiPriority w:val="99"/>
    <w:rsid w:val="004A1E1D"/>
    <w:pPr>
      <w:numPr>
        <w:numId w:val="40"/>
      </w:numPr>
    </w:pPr>
  </w:style>
  <w:style w:type="character" w:styleId="FollowedHyperlink">
    <w:name w:val="FollowedHyperlink"/>
    <w:basedOn w:val="DefaultParagraphFont"/>
    <w:uiPriority w:val="99"/>
    <w:semiHidden/>
    <w:unhideWhenUsed/>
    <w:rsid w:val="009E55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glossary/unanticipated-proble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shington.edu/research/glossary/protected-health-information-phi/" TargetMode="External"/><Relationship Id="rId17" Type="http://schemas.openxmlformats.org/officeDocument/2006/relationships/hyperlink" Target="https://www.washington.edu/research/policies/sop-rni-reporting-by-researchers/" TargetMode="External"/><Relationship Id="rId2" Type="http://schemas.openxmlformats.org/officeDocument/2006/relationships/customXml" Target="../customXml/item2.xml"/><Relationship Id="rId16" Type="http://schemas.openxmlformats.org/officeDocument/2006/relationships/hyperlink" Target="https://www.washington.edu/research/glossary/continuing-non-compli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ashington.edu/research/glossary/serious-non-complian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glossary/unanticipated-adverse-device-eff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Updated links</Change_x0020_Notes>
    <Posted_x0020_Date xmlns="7c9d0ed2-8163-4b50-bae4-466292e5dd21">2021-06-24T07:00:00+00:00</Posted_x0020_Date>
    <Taxonomy0 xmlns="7c9d0ed2-8163-4b50-bae4-466292e5dd21">
      <Value>SOP (Standard Operating Procedure)</Value>
    </Taxonomy0>
    <Version_x0020_Number xmlns="7c9d0ed2-8163-4b50-bae4-466292e5dd21">1.01</Version_x0020_Number>
    <Internal_x003f__x0020__x0028_HSD_x0020_F_x0020_Drive_x0029_ xmlns="7c9d0ed2-8163-4b50-bae4-466292e5dd21">false</Internal_x003f__x0020__x0028_HSD_x0020_F_x0020_Drive_x0029_>
    <Web_x0020_Page_x0020_URL xmlns="7c9d0ed2-8163-4b50-bae4-466292e5dd21">
      <Url>https://www.washington.edu/research/policies/relying-sites-reporting-of-new-information/</Url>
      <Description>https://www.washington.edu/research/policies/relying-sites-reporting-of-new-information/</Description>
    </Web_x0020_Page_x0020_URL>
    <Archive_x003f__x0028_checkifyes_x0029_ xmlns="7c9d0ed2-8163-4b50-bae4-466292e5dd21">true</Archive_x003f__x0028_checkifyes_x0029_>
    <SharePointOwner xmlns="7c9d0ed2-8163-4b50-bae4-466292e5dd21">
      <UserInfo>
        <DisplayName>Dolly Morse</DisplayName>
        <AccountId>75</AccountId>
        <AccountType/>
      </UserInfo>
    </SharePointOwner>
    <ContentOwner xmlns="7c9d0ed2-8163-4b50-bae4-466292e5dd21">
      <UserInfo>
        <DisplayName>Jean Kang</DisplayName>
        <AccountId>98</AccountId>
        <AccountType/>
      </UserInfo>
    </Content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1D4FF-C054-4439-8AE4-E320D9D29ED1}">
  <ds:schemaRefs>
    <ds:schemaRef ds:uri="http://schemas.microsoft.com/sharepoint/v3/contenttype/forms"/>
  </ds:schemaRefs>
</ds:datastoreItem>
</file>

<file path=customXml/itemProps2.xml><?xml version="1.0" encoding="utf-8"?>
<ds:datastoreItem xmlns:ds="http://schemas.openxmlformats.org/officeDocument/2006/customXml" ds:itemID="{1201F726-B134-4AE0-8793-64FF55E0497C}">
  <ds:schemaRefs>
    <ds:schemaRef ds:uri="http://schemas.openxmlformats.org/officeDocument/2006/bibliography"/>
  </ds:schemaRefs>
</ds:datastoreItem>
</file>

<file path=customXml/itemProps3.xml><?xml version="1.0" encoding="utf-8"?>
<ds:datastoreItem xmlns:ds="http://schemas.openxmlformats.org/officeDocument/2006/customXml" ds:itemID="{3B27D2F4-EED9-4FC1-B6C2-4F7A88C40369}">
  <ds:schemaRefs>
    <ds:schemaRef ds:uri="http://schemas.microsoft.com/office/2006/metadata/properties"/>
    <ds:schemaRef ds:uri="http://schemas.microsoft.com/office/infopath/2007/PartnerControls"/>
    <ds:schemaRef ds:uri="7c9d0ed2-8163-4b50-bae4-466292e5dd21"/>
  </ds:schemaRefs>
</ds:datastoreItem>
</file>

<file path=customXml/itemProps4.xml><?xml version="1.0" encoding="utf-8"?>
<ds:datastoreItem xmlns:ds="http://schemas.openxmlformats.org/officeDocument/2006/customXml" ds:itemID="{4F3B91F6-EDF3-476D-92CA-FC2EBAEEC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735</Words>
  <Characters>4374</Characters>
  <Application>Microsoft Office Word</Application>
  <DocSecurity>0</DocSecurity>
  <Lines>104</Lines>
  <Paragraphs>31</Paragraphs>
  <ScaleCrop>false</ScaleCrop>
  <HeadingPairs>
    <vt:vector size="2" baseType="variant">
      <vt:variant>
        <vt:lpstr>Title</vt:lpstr>
      </vt:variant>
      <vt:variant>
        <vt:i4>1</vt:i4>
      </vt:variant>
    </vt:vector>
  </HeadingPairs>
  <TitlesOfParts>
    <vt:vector size="1" baseType="lpstr">
      <vt:lpstr>RELYING_SITES_Reporting_of_New_Information_v1.01_2021.06.24</vt:lpstr>
    </vt:vector>
  </TitlesOfParts>
  <Company>University of Washington</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RELYING_SITES_Reporting_of_New_Information_v1.01_2021.06.24</dc:title>
  <dc:creator>Sherry Edwards</dc:creator>
  <cp:keywords>;#Internal reliance;#Multi-site;#Noncompliance;#Regulatory affairs;#Reporting;#Single IRB;#</cp:keywords>
  <cp:lastModifiedBy>Jenny Maki</cp:lastModifiedBy>
  <cp:revision>4</cp:revision>
  <dcterms:created xsi:type="dcterms:W3CDTF">2026-02-06T16:51:00Z</dcterms:created>
  <dcterms:modified xsi:type="dcterms:W3CDTF">2026-02-06T17:45:00Z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