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8C0F" w14:textId="06C18D7F" w:rsidR="00B51A7C" w:rsidRDefault="00B51A7C" w:rsidP="00B51A7C">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5C81DD62" wp14:editId="7D16F2CE">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GUIDANCE HIPAA</w:t>
      </w:r>
    </w:p>
    <w:p w14:paraId="11419F6D" w14:textId="77777777" w:rsidR="00B51A7C" w:rsidRPr="005D37AA" w:rsidRDefault="00B51A7C" w:rsidP="00B51A7C">
      <w:pPr>
        <w:pStyle w:val="Header"/>
        <w:tabs>
          <w:tab w:val="clear" w:pos="4680"/>
          <w:tab w:val="clear" w:pos="9360"/>
          <w:tab w:val="right" w:pos="10800"/>
        </w:tabs>
        <w:jc w:val="right"/>
      </w:pPr>
    </w:p>
    <w:p w14:paraId="6792B5CB" w14:textId="5623CCC7" w:rsidR="009D39EC" w:rsidRPr="006B513A" w:rsidRDefault="009D39EC" w:rsidP="00492D3C">
      <w:pPr>
        <w:shd w:val="clear" w:color="auto" w:fill="33006F"/>
        <w:tabs>
          <w:tab w:val="right" w:pos="10080"/>
        </w:tabs>
        <w:rPr>
          <w:b/>
        </w:rPr>
      </w:pPr>
    </w:p>
    <w:p w14:paraId="007DF2B2" w14:textId="2755DBB0" w:rsidR="00BF0F77" w:rsidRDefault="00BF0F77" w:rsidP="00492D3C">
      <w:pPr>
        <w:pStyle w:val="NoSpacing"/>
        <w:rPr>
          <w:sz w:val="22"/>
          <w:szCs w:val="22"/>
        </w:rPr>
      </w:pPr>
    </w:p>
    <w:p w14:paraId="3BA5078F" w14:textId="1E6453F1" w:rsidR="00B00AFA" w:rsidRDefault="00BE1C70" w:rsidP="00492D3C">
      <w:pPr>
        <w:pStyle w:val="NoSpacing"/>
        <w:ind w:left="360" w:hanging="360"/>
        <w:outlineLvl w:val="0"/>
        <w:rPr>
          <w:b/>
          <w:color w:val="auto"/>
          <w:sz w:val="22"/>
          <w:szCs w:val="22"/>
        </w:rPr>
      </w:pPr>
      <w:r>
        <w:rPr>
          <w:b/>
          <w:color w:val="auto"/>
          <w:sz w:val="22"/>
          <w:szCs w:val="22"/>
        </w:rPr>
        <w:t>1</w:t>
      </w:r>
      <w:r>
        <w:rPr>
          <w:b/>
          <w:color w:val="auto"/>
          <w:sz w:val="22"/>
          <w:szCs w:val="22"/>
        </w:rPr>
        <w:tab/>
      </w:r>
      <w:r w:rsidR="00B00AFA" w:rsidRPr="00CD274A">
        <w:rPr>
          <w:b/>
          <w:color w:val="auto"/>
          <w:sz w:val="22"/>
          <w:szCs w:val="22"/>
        </w:rPr>
        <w:t>P</w:t>
      </w:r>
      <w:r w:rsidR="00A03C60" w:rsidRPr="00CD274A">
        <w:rPr>
          <w:b/>
          <w:color w:val="auto"/>
          <w:sz w:val="22"/>
          <w:szCs w:val="22"/>
        </w:rPr>
        <w:t>URPOSE</w:t>
      </w:r>
      <w:r w:rsidR="00FC372E">
        <w:rPr>
          <w:b/>
          <w:color w:val="auto"/>
          <w:sz w:val="22"/>
          <w:szCs w:val="22"/>
        </w:rPr>
        <w:t xml:space="preserve"> </w:t>
      </w:r>
      <w:r w:rsidR="00FC372E" w:rsidRPr="00135B00">
        <w:rPr>
          <w:b/>
          <w:color w:val="auto"/>
          <w:sz w:val="22"/>
          <w:szCs w:val="22"/>
        </w:rPr>
        <w:t>and APPLICABILITY</w:t>
      </w:r>
    </w:p>
    <w:p w14:paraId="1E18305C" w14:textId="77777777" w:rsidR="00BE1C70" w:rsidRDefault="00BE1C70" w:rsidP="00644911">
      <w:pPr>
        <w:pStyle w:val="NoSpacing"/>
        <w:ind w:left="360" w:hanging="360"/>
        <w:rPr>
          <w:color w:val="auto"/>
          <w:sz w:val="22"/>
          <w:szCs w:val="22"/>
        </w:rPr>
      </w:pPr>
    </w:p>
    <w:p w14:paraId="77FFEEAD" w14:textId="6027E8B7" w:rsidR="004B64FE" w:rsidRPr="008B241F" w:rsidRDefault="008B241F" w:rsidP="00644911">
      <w:pPr>
        <w:pStyle w:val="NoSpacing"/>
        <w:ind w:left="360"/>
        <w:rPr>
          <w:bCs/>
          <w:color w:val="auto"/>
          <w:sz w:val="22"/>
          <w:szCs w:val="22"/>
        </w:rPr>
      </w:pPr>
      <w:r>
        <w:rPr>
          <w:bCs/>
          <w:color w:val="auto"/>
          <w:sz w:val="22"/>
          <w:szCs w:val="22"/>
        </w:rPr>
        <w:t>To provide guidance about the research use of protected health information (PHI), as governed by the federal HIPAA regulations, WA state laws, and UW institutional policies.</w:t>
      </w:r>
    </w:p>
    <w:p w14:paraId="1E8F1CAE" w14:textId="77777777" w:rsidR="008B241F" w:rsidRDefault="008B241F" w:rsidP="00644911">
      <w:pPr>
        <w:pStyle w:val="NoSpacing"/>
        <w:ind w:left="360" w:hanging="360"/>
        <w:rPr>
          <w:b/>
          <w:color w:val="auto"/>
          <w:sz w:val="22"/>
          <w:szCs w:val="22"/>
        </w:rPr>
      </w:pPr>
    </w:p>
    <w:p w14:paraId="0DEE0488" w14:textId="590908E9" w:rsidR="00A03C60" w:rsidRDefault="00AA2580" w:rsidP="00492D3C">
      <w:pPr>
        <w:pStyle w:val="NoSpacing"/>
        <w:ind w:left="360" w:hanging="360"/>
        <w:outlineLvl w:val="0"/>
        <w:rPr>
          <w:b/>
          <w:color w:val="auto"/>
          <w:sz w:val="22"/>
          <w:szCs w:val="22"/>
        </w:rPr>
      </w:pPr>
      <w:r>
        <w:rPr>
          <w:b/>
          <w:color w:val="auto"/>
          <w:sz w:val="22"/>
          <w:szCs w:val="22"/>
        </w:rPr>
        <w:t xml:space="preserve">2 </w:t>
      </w:r>
      <w:r>
        <w:rPr>
          <w:b/>
          <w:color w:val="auto"/>
          <w:sz w:val="22"/>
          <w:szCs w:val="22"/>
        </w:rPr>
        <w:tab/>
      </w:r>
      <w:r w:rsidR="008B241F">
        <w:rPr>
          <w:b/>
          <w:color w:val="auto"/>
          <w:sz w:val="22"/>
          <w:szCs w:val="22"/>
        </w:rPr>
        <w:t>RELEVANCE</w:t>
      </w:r>
      <w:r w:rsidR="00A848AA" w:rsidRPr="00CD274A">
        <w:rPr>
          <w:b/>
          <w:color w:val="auto"/>
          <w:sz w:val="22"/>
          <w:szCs w:val="22"/>
        </w:rPr>
        <w:t xml:space="preserve"> </w:t>
      </w:r>
    </w:p>
    <w:p w14:paraId="254CC08E" w14:textId="5B985F47" w:rsidR="00AA2580" w:rsidRDefault="00AA2580" w:rsidP="00644911">
      <w:pPr>
        <w:pStyle w:val="NoSpacing"/>
        <w:ind w:left="360" w:hanging="360"/>
        <w:rPr>
          <w:color w:val="auto"/>
          <w:sz w:val="22"/>
          <w:szCs w:val="22"/>
        </w:rPr>
      </w:pPr>
    </w:p>
    <w:p w14:paraId="7F8C020D" w14:textId="41ACE4C3" w:rsidR="00AA2580" w:rsidRPr="008B241F" w:rsidRDefault="008B241F" w:rsidP="00644911">
      <w:pPr>
        <w:pStyle w:val="NoSpacing"/>
        <w:ind w:left="360"/>
        <w:rPr>
          <w:color w:val="auto"/>
          <w:sz w:val="22"/>
          <w:szCs w:val="22"/>
        </w:rPr>
      </w:pPr>
      <w:r>
        <w:rPr>
          <w:color w:val="auto"/>
          <w:sz w:val="22"/>
          <w:szCs w:val="22"/>
        </w:rPr>
        <w:t xml:space="preserve">Researchers that will obtain and use PHI must obtain: </w:t>
      </w:r>
      <w:r>
        <w:rPr>
          <w:b/>
          <w:bCs/>
          <w:color w:val="auto"/>
          <w:sz w:val="22"/>
          <w:szCs w:val="22"/>
        </w:rPr>
        <w:t xml:space="preserve">(a) </w:t>
      </w:r>
      <w:r>
        <w:rPr>
          <w:color w:val="auto"/>
          <w:sz w:val="22"/>
          <w:szCs w:val="22"/>
        </w:rPr>
        <w:t xml:space="preserve">authorization from the </w:t>
      </w:r>
      <w:r w:rsidR="00494460">
        <w:rPr>
          <w:color w:val="auto"/>
          <w:sz w:val="22"/>
          <w:szCs w:val="22"/>
        </w:rPr>
        <w:t>participant</w:t>
      </w:r>
      <w:r>
        <w:rPr>
          <w:color w:val="auto"/>
          <w:sz w:val="22"/>
          <w:szCs w:val="22"/>
        </w:rPr>
        <w:t xml:space="preserve">; </w:t>
      </w:r>
      <w:r>
        <w:rPr>
          <w:b/>
          <w:bCs/>
          <w:color w:val="auto"/>
          <w:sz w:val="22"/>
          <w:szCs w:val="22"/>
        </w:rPr>
        <w:t xml:space="preserve">or (b) </w:t>
      </w:r>
      <w:r>
        <w:rPr>
          <w:color w:val="auto"/>
          <w:sz w:val="22"/>
          <w:szCs w:val="22"/>
        </w:rPr>
        <w:t xml:space="preserve">a waiver of authorization granted by an IRB, unless the PHI is: </w:t>
      </w:r>
      <w:r>
        <w:rPr>
          <w:b/>
          <w:bCs/>
          <w:color w:val="auto"/>
          <w:sz w:val="22"/>
          <w:szCs w:val="22"/>
        </w:rPr>
        <w:t xml:space="preserve">(1) </w:t>
      </w:r>
      <w:r>
        <w:rPr>
          <w:color w:val="auto"/>
          <w:sz w:val="22"/>
          <w:szCs w:val="22"/>
        </w:rPr>
        <w:t xml:space="preserve">de-identified; </w:t>
      </w:r>
      <w:r>
        <w:rPr>
          <w:b/>
          <w:bCs/>
          <w:color w:val="auto"/>
          <w:sz w:val="22"/>
          <w:szCs w:val="22"/>
        </w:rPr>
        <w:t xml:space="preserve">(2) </w:t>
      </w:r>
      <w:r>
        <w:rPr>
          <w:color w:val="auto"/>
          <w:sz w:val="22"/>
          <w:szCs w:val="22"/>
        </w:rPr>
        <w:t xml:space="preserve">a limited data set, </w:t>
      </w:r>
      <w:r>
        <w:rPr>
          <w:b/>
          <w:bCs/>
          <w:color w:val="auto"/>
          <w:sz w:val="22"/>
          <w:szCs w:val="22"/>
        </w:rPr>
        <w:t xml:space="preserve">or (3) </w:t>
      </w:r>
      <w:r>
        <w:rPr>
          <w:color w:val="auto"/>
          <w:sz w:val="22"/>
          <w:szCs w:val="22"/>
        </w:rPr>
        <w:t>from decedents.</w:t>
      </w:r>
    </w:p>
    <w:p w14:paraId="0250FF3B" w14:textId="77777777" w:rsidR="008B241F" w:rsidRDefault="008B241F" w:rsidP="00644911">
      <w:pPr>
        <w:pStyle w:val="NoSpacing"/>
        <w:ind w:left="360" w:hanging="360"/>
        <w:rPr>
          <w:color w:val="auto"/>
          <w:sz w:val="22"/>
          <w:szCs w:val="22"/>
        </w:rPr>
      </w:pPr>
    </w:p>
    <w:p w14:paraId="029206F7" w14:textId="77777777" w:rsidR="00FF51D6" w:rsidRDefault="00142909" w:rsidP="00492D3C">
      <w:pPr>
        <w:pStyle w:val="NoSpacing"/>
        <w:ind w:left="360" w:hanging="360"/>
        <w:outlineLvl w:val="0"/>
        <w:rPr>
          <w:b/>
          <w:color w:val="auto"/>
          <w:sz w:val="22"/>
          <w:szCs w:val="22"/>
        </w:rPr>
      </w:pPr>
      <w:r w:rsidRPr="00590473">
        <w:rPr>
          <w:b/>
          <w:color w:val="auto"/>
          <w:sz w:val="22"/>
          <w:szCs w:val="22"/>
        </w:rPr>
        <w:t xml:space="preserve">3 </w:t>
      </w:r>
      <w:r w:rsidRPr="00590473">
        <w:rPr>
          <w:b/>
          <w:color w:val="auto"/>
          <w:sz w:val="22"/>
          <w:szCs w:val="22"/>
        </w:rPr>
        <w:tab/>
      </w:r>
      <w:r w:rsidR="008B241F">
        <w:rPr>
          <w:b/>
          <w:color w:val="auto"/>
          <w:sz w:val="22"/>
          <w:szCs w:val="22"/>
        </w:rPr>
        <w:t>DEFINITIONS</w:t>
      </w:r>
      <w:r w:rsidR="00FF51D6">
        <w:rPr>
          <w:b/>
          <w:color w:val="auto"/>
          <w:sz w:val="22"/>
          <w:szCs w:val="22"/>
        </w:rPr>
        <w:t xml:space="preserve"> </w:t>
      </w:r>
    </w:p>
    <w:p w14:paraId="5505976B" w14:textId="3721D58D" w:rsidR="00142909" w:rsidRPr="00FF51D6" w:rsidRDefault="00FF51D6" w:rsidP="00644911">
      <w:pPr>
        <w:pStyle w:val="NoSpacing"/>
        <w:ind w:left="360" w:hanging="360"/>
        <w:rPr>
          <w:bCs/>
          <w:i/>
          <w:iCs/>
          <w:color w:val="auto"/>
          <w:sz w:val="22"/>
          <w:szCs w:val="22"/>
        </w:rPr>
      </w:pPr>
      <w:r>
        <w:rPr>
          <w:b/>
          <w:color w:val="auto"/>
          <w:sz w:val="22"/>
          <w:szCs w:val="22"/>
        </w:rPr>
        <w:tab/>
      </w:r>
      <w:r>
        <w:rPr>
          <w:bCs/>
          <w:i/>
          <w:iCs/>
          <w:color w:val="auto"/>
          <w:sz w:val="22"/>
          <w:szCs w:val="22"/>
        </w:rPr>
        <w:t>These definitions come from the HIPAA regulations and UW Medicine Compliance Policy “Glossary of Terms”. The glossary contains additional definitions.</w:t>
      </w:r>
    </w:p>
    <w:p w14:paraId="5577D5A8" w14:textId="77777777" w:rsidR="008B241F" w:rsidRDefault="008B241F" w:rsidP="00644911">
      <w:pPr>
        <w:pStyle w:val="NoSpacing"/>
        <w:ind w:left="360" w:hanging="360"/>
        <w:rPr>
          <w:b/>
          <w:color w:val="auto"/>
          <w:sz w:val="22"/>
          <w:szCs w:val="22"/>
        </w:rPr>
      </w:pPr>
    </w:p>
    <w:p w14:paraId="7822FBB6" w14:textId="034E4C57" w:rsidR="00AA2580" w:rsidRDefault="008B241F" w:rsidP="00644911">
      <w:pPr>
        <w:pStyle w:val="NoSpacing"/>
        <w:spacing w:after="120"/>
        <w:ind w:left="360"/>
        <w:rPr>
          <w:color w:val="auto"/>
          <w:sz w:val="22"/>
          <w:szCs w:val="22"/>
        </w:rPr>
      </w:pPr>
      <w:r>
        <w:rPr>
          <w:b/>
          <w:bCs/>
          <w:color w:val="auto"/>
          <w:sz w:val="22"/>
          <w:szCs w:val="22"/>
        </w:rPr>
        <w:t xml:space="preserve">HIPAA: </w:t>
      </w:r>
      <w:r>
        <w:rPr>
          <w:color w:val="auto"/>
          <w:sz w:val="22"/>
          <w:szCs w:val="22"/>
        </w:rPr>
        <w:t>The federal Health Insurance Portability and Accountability Act (HIPAA) has three components, all of which are enforced by the federal Office for Civil Rights:</w:t>
      </w:r>
    </w:p>
    <w:p w14:paraId="61383EDA" w14:textId="4B53FFA9" w:rsidR="008B241F" w:rsidRDefault="00897B96" w:rsidP="00644911">
      <w:pPr>
        <w:pStyle w:val="NoSpacing"/>
        <w:numPr>
          <w:ilvl w:val="0"/>
          <w:numId w:val="2"/>
        </w:numPr>
        <w:spacing w:after="60"/>
        <w:ind w:left="900" w:hanging="270"/>
        <w:rPr>
          <w:color w:val="auto"/>
          <w:sz w:val="22"/>
          <w:szCs w:val="22"/>
        </w:rPr>
      </w:pPr>
      <w:r>
        <w:rPr>
          <w:b/>
          <w:bCs/>
          <w:color w:val="auto"/>
          <w:sz w:val="22"/>
          <w:szCs w:val="22"/>
        </w:rPr>
        <w:t xml:space="preserve">HIPAA Privacy Rule </w:t>
      </w:r>
      <w:r>
        <w:rPr>
          <w:color w:val="auto"/>
          <w:sz w:val="22"/>
          <w:szCs w:val="22"/>
        </w:rPr>
        <w:t>protects the privacy of individually identifiable health information</w:t>
      </w:r>
    </w:p>
    <w:p w14:paraId="52A7D294" w14:textId="7083C7B0" w:rsidR="00897B96" w:rsidRDefault="00897B96" w:rsidP="00644911">
      <w:pPr>
        <w:pStyle w:val="NoSpacing"/>
        <w:numPr>
          <w:ilvl w:val="0"/>
          <w:numId w:val="2"/>
        </w:numPr>
        <w:spacing w:after="60"/>
        <w:ind w:left="900" w:hanging="270"/>
        <w:rPr>
          <w:color w:val="auto"/>
          <w:sz w:val="22"/>
          <w:szCs w:val="22"/>
        </w:rPr>
      </w:pPr>
      <w:r>
        <w:rPr>
          <w:b/>
          <w:bCs/>
          <w:color w:val="auto"/>
          <w:sz w:val="22"/>
          <w:szCs w:val="22"/>
        </w:rPr>
        <w:t>HIPAA Security Rule</w:t>
      </w:r>
      <w:r>
        <w:rPr>
          <w:color w:val="auto"/>
          <w:sz w:val="22"/>
          <w:szCs w:val="22"/>
        </w:rPr>
        <w:t xml:space="preserve"> sets standards for the security of electronic protected health information</w:t>
      </w:r>
    </w:p>
    <w:p w14:paraId="1C178E62" w14:textId="0A90AE37" w:rsidR="000B1759" w:rsidRPr="00EF4720" w:rsidRDefault="00897B96" w:rsidP="00644911">
      <w:pPr>
        <w:pStyle w:val="NoSpacing"/>
        <w:numPr>
          <w:ilvl w:val="0"/>
          <w:numId w:val="2"/>
        </w:numPr>
        <w:spacing w:after="120"/>
        <w:ind w:left="900" w:hanging="270"/>
        <w:rPr>
          <w:color w:val="auto"/>
          <w:sz w:val="22"/>
          <w:szCs w:val="22"/>
        </w:rPr>
      </w:pPr>
      <w:r>
        <w:rPr>
          <w:b/>
          <w:bCs/>
          <w:color w:val="auto"/>
          <w:sz w:val="22"/>
          <w:szCs w:val="22"/>
        </w:rPr>
        <w:t>HIPAA Breach Notification Rule</w:t>
      </w:r>
      <w:r>
        <w:rPr>
          <w:color w:val="auto"/>
          <w:sz w:val="22"/>
          <w:szCs w:val="22"/>
        </w:rPr>
        <w:t xml:space="preserve"> requires covered entities and business associates to provide notification following a breach of unsecured protected health information</w:t>
      </w:r>
    </w:p>
    <w:p w14:paraId="7D61748D" w14:textId="40290A43" w:rsidR="000B1759" w:rsidRDefault="000B1759" w:rsidP="00644911">
      <w:pPr>
        <w:pStyle w:val="NoSpacing"/>
        <w:spacing w:after="120"/>
        <w:ind w:left="360"/>
        <w:rPr>
          <w:color w:val="auto"/>
          <w:sz w:val="22"/>
          <w:szCs w:val="22"/>
        </w:rPr>
      </w:pPr>
      <w:r>
        <w:rPr>
          <w:b/>
          <w:bCs/>
          <w:color w:val="auto"/>
          <w:sz w:val="22"/>
          <w:szCs w:val="22"/>
        </w:rPr>
        <w:t xml:space="preserve">Protected Health Information (PHI): </w:t>
      </w:r>
      <w:r>
        <w:rPr>
          <w:color w:val="auto"/>
          <w:sz w:val="22"/>
          <w:szCs w:val="22"/>
        </w:rPr>
        <w:t>Individually identifiable health information held or transmitted by a covered entity or its business associates, in any form or media, whether electronic, paper, or oral.</w:t>
      </w:r>
    </w:p>
    <w:p w14:paraId="77BE0813" w14:textId="42C411FA" w:rsidR="000B1759" w:rsidRDefault="000B1759" w:rsidP="00644911">
      <w:pPr>
        <w:pStyle w:val="NoSpacing"/>
        <w:numPr>
          <w:ilvl w:val="0"/>
          <w:numId w:val="3"/>
        </w:numPr>
        <w:spacing w:after="120"/>
        <w:ind w:left="900" w:hanging="270"/>
        <w:rPr>
          <w:color w:val="auto"/>
          <w:sz w:val="22"/>
          <w:szCs w:val="22"/>
        </w:rPr>
      </w:pPr>
      <w:r>
        <w:rPr>
          <w:b/>
          <w:bCs/>
          <w:color w:val="auto"/>
          <w:sz w:val="22"/>
          <w:szCs w:val="22"/>
        </w:rPr>
        <w:t xml:space="preserve">International research. </w:t>
      </w:r>
      <w:r>
        <w:rPr>
          <w:color w:val="auto"/>
          <w:sz w:val="22"/>
          <w:szCs w:val="22"/>
        </w:rPr>
        <w:t>UW researchers collect individually identifiable health information in other countries. Is this considered to be PHI, and governed by HIPAA regulations?</w:t>
      </w:r>
      <w:r w:rsidR="00FF51D6">
        <w:rPr>
          <w:color w:val="auto"/>
          <w:sz w:val="22"/>
          <w:szCs w:val="22"/>
        </w:rPr>
        <w:t xml:space="preserve"> </w:t>
      </w:r>
      <w:r w:rsidR="00FF51D6">
        <w:rPr>
          <w:b/>
          <w:bCs/>
          <w:color w:val="auto"/>
          <w:sz w:val="22"/>
          <w:szCs w:val="22"/>
        </w:rPr>
        <w:t>No, because:</w:t>
      </w:r>
    </w:p>
    <w:p w14:paraId="772BCDD3" w14:textId="4D299609" w:rsidR="00912DD8" w:rsidRDefault="00912DD8" w:rsidP="00644911">
      <w:pPr>
        <w:pStyle w:val="NoSpacing"/>
        <w:numPr>
          <w:ilvl w:val="1"/>
          <w:numId w:val="4"/>
        </w:numPr>
        <w:spacing w:after="60"/>
        <w:ind w:left="1350" w:hanging="270"/>
        <w:rPr>
          <w:color w:val="auto"/>
          <w:sz w:val="22"/>
          <w:szCs w:val="22"/>
        </w:rPr>
      </w:pPr>
      <w:r>
        <w:rPr>
          <w:color w:val="auto"/>
          <w:sz w:val="22"/>
          <w:szCs w:val="22"/>
        </w:rPr>
        <w:t>These researchers are neither collecting health information for a HIPAA-covered entity nor transmitting health information to or from a covered entity.</w:t>
      </w:r>
    </w:p>
    <w:p w14:paraId="048EA1AA" w14:textId="7D3EF0F4" w:rsidR="00912DD8" w:rsidRPr="00EF4720" w:rsidRDefault="00912DD8" w:rsidP="00644911">
      <w:pPr>
        <w:pStyle w:val="NoSpacing"/>
        <w:numPr>
          <w:ilvl w:val="1"/>
          <w:numId w:val="4"/>
        </w:numPr>
        <w:spacing w:after="120"/>
        <w:ind w:left="1350" w:hanging="270"/>
        <w:rPr>
          <w:color w:val="auto"/>
          <w:sz w:val="22"/>
          <w:szCs w:val="22"/>
        </w:rPr>
      </w:pPr>
      <w:r>
        <w:rPr>
          <w:color w:val="auto"/>
          <w:sz w:val="22"/>
          <w:szCs w:val="22"/>
        </w:rPr>
        <w:t>UW healthcare providers who conduct research are doing their research as UW academic employees or agents rather than on behalf of the UW health care entity. Research data and records are in</w:t>
      </w:r>
      <w:r w:rsidR="00FF51D6">
        <w:rPr>
          <w:color w:val="auto"/>
          <w:sz w:val="22"/>
          <w:szCs w:val="22"/>
        </w:rPr>
        <w:t xml:space="preserve"> the</w:t>
      </w:r>
      <w:r>
        <w:rPr>
          <w:color w:val="auto"/>
          <w:sz w:val="22"/>
          <w:szCs w:val="22"/>
        </w:rPr>
        <w:t xml:space="preserve"> academic units (not part of the covered entity). </w:t>
      </w:r>
    </w:p>
    <w:p w14:paraId="2E04D7DF" w14:textId="04B6AFB1" w:rsidR="00912DD8" w:rsidRPr="00EF4720" w:rsidRDefault="00912DD8" w:rsidP="00644911">
      <w:pPr>
        <w:pStyle w:val="NoSpacing"/>
        <w:numPr>
          <w:ilvl w:val="0"/>
          <w:numId w:val="3"/>
        </w:numPr>
        <w:spacing w:after="120"/>
        <w:ind w:left="900" w:hanging="270"/>
        <w:rPr>
          <w:color w:val="auto"/>
          <w:sz w:val="22"/>
          <w:szCs w:val="22"/>
        </w:rPr>
      </w:pPr>
      <w:r>
        <w:rPr>
          <w:b/>
          <w:bCs/>
          <w:color w:val="auto"/>
          <w:sz w:val="22"/>
          <w:szCs w:val="22"/>
        </w:rPr>
        <w:t xml:space="preserve">PHI </w:t>
      </w:r>
      <w:proofErr w:type="gramStart"/>
      <w:r>
        <w:rPr>
          <w:b/>
          <w:bCs/>
          <w:color w:val="auto"/>
          <w:sz w:val="22"/>
          <w:szCs w:val="22"/>
        </w:rPr>
        <w:t>held</w:t>
      </w:r>
      <w:proofErr w:type="gramEnd"/>
      <w:r>
        <w:rPr>
          <w:b/>
          <w:bCs/>
          <w:color w:val="auto"/>
          <w:sz w:val="22"/>
          <w:szCs w:val="22"/>
        </w:rPr>
        <w:t xml:space="preserve"> in the form of clinical knowledge. </w:t>
      </w:r>
      <w:r w:rsidR="00D60820">
        <w:rPr>
          <w:color w:val="auto"/>
          <w:sz w:val="22"/>
          <w:szCs w:val="22"/>
        </w:rPr>
        <w:t xml:space="preserve">Healthcare providers may assist in study recruiting by informing (in writing, by email, or verbally) a researcher about potential </w:t>
      </w:r>
      <w:r w:rsidR="00494460">
        <w:rPr>
          <w:color w:val="auto"/>
          <w:sz w:val="22"/>
          <w:szCs w:val="22"/>
        </w:rPr>
        <w:t>participants</w:t>
      </w:r>
      <w:r w:rsidR="00D60820">
        <w:rPr>
          <w:color w:val="auto"/>
          <w:sz w:val="22"/>
          <w:szCs w:val="22"/>
        </w:rPr>
        <w:t xml:space="preserve">, or informing potential </w:t>
      </w:r>
      <w:r w:rsidR="00494460">
        <w:rPr>
          <w:color w:val="auto"/>
          <w:sz w:val="22"/>
          <w:szCs w:val="22"/>
        </w:rPr>
        <w:t xml:space="preserve">participants </w:t>
      </w:r>
      <w:r w:rsidR="00D60820">
        <w:rPr>
          <w:color w:val="auto"/>
          <w:sz w:val="22"/>
          <w:szCs w:val="22"/>
        </w:rPr>
        <w:t>about a study, based on their knowledge of their patients rather than by examining medical records. This is not considered to be an access and use of PHI.</w:t>
      </w:r>
    </w:p>
    <w:p w14:paraId="649936CF" w14:textId="4CF42906" w:rsidR="00D60820" w:rsidRPr="00EF4720" w:rsidRDefault="00912DD8" w:rsidP="00644911">
      <w:pPr>
        <w:pStyle w:val="NoSpacing"/>
        <w:numPr>
          <w:ilvl w:val="0"/>
          <w:numId w:val="3"/>
        </w:numPr>
        <w:spacing w:after="120"/>
        <w:ind w:left="900" w:hanging="270"/>
        <w:rPr>
          <w:color w:val="auto"/>
          <w:sz w:val="22"/>
          <w:szCs w:val="22"/>
        </w:rPr>
      </w:pPr>
      <w:r>
        <w:rPr>
          <w:b/>
          <w:bCs/>
          <w:color w:val="auto"/>
          <w:sz w:val="22"/>
          <w:szCs w:val="22"/>
        </w:rPr>
        <w:t>Other forms of PHI.</w:t>
      </w:r>
      <w:r w:rsidR="00D60820">
        <w:rPr>
          <w:b/>
          <w:bCs/>
          <w:color w:val="auto"/>
          <w:sz w:val="22"/>
          <w:szCs w:val="22"/>
        </w:rPr>
        <w:t xml:space="preserve"> </w:t>
      </w:r>
      <w:r w:rsidR="00D60820">
        <w:rPr>
          <w:color w:val="auto"/>
          <w:sz w:val="22"/>
          <w:szCs w:val="22"/>
        </w:rPr>
        <w:t xml:space="preserve">There are other formats/media by which PHI may be stored or exchanged that may not be recognized as such by researchers. Examples include but are not limited </w:t>
      </w:r>
      <w:proofErr w:type="gramStart"/>
      <w:r w:rsidR="00D60820">
        <w:rPr>
          <w:color w:val="auto"/>
          <w:sz w:val="22"/>
          <w:szCs w:val="22"/>
        </w:rPr>
        <w:t>to:</w:t>
      </w:r>
      <w:proofErr w:type="gramEnd"/>
      <w:r w:rsidR="00D60820">
        <w:rPr>
          <w:color w:val="auto"/>
          <w:sz w:val="22"/>
          <w:szCs w:val="22"/>
        </w:rPr>
        <w:t xml:space="preserve"> verbal exchanges; clinic scheduling records; a whiteboard in an outpatient surgery suite.</w:t>
      </w:r>
    </w:p>
    <w:p w14:paraId="766632FC" w14:textId="714BCDEF" w:rsidR="00D60820" w:rsidRDefault="00D60820" w:rsidP="00644911">
      <w:pPr>
        <w:pStyle w:val="NoSpacing"/>
        <w:numPr>
          <w:ilvl w:val="0"/>
          <w:numId w:val="3"/>
        </w:numPr>
        <w:spacing w:after="120"/>
        <w:ind w:left="900" w:hanging="270"/>
        <w:rPr>
          <w:color w:val="auto"/>
          <w:sz w:val="22"/>
          <w:szCs w:val="22"/>
        </w:rPr>
      </w:pPr>
      <w:r>
        <w:rPr>
          <w:b/>
          <w:bCs/>
          <w:color w:val="auto"/>
          <w:sz w:val="22"/>
          <w:szCs w:val="22"/>
        </w:rPr>
        <w:t xml:space="preserve">Washington State law. </w:t>
      </w:r>
      <w:r>
        <w:rPr>
          <w:color w:val="auto"/>
          <w:sz w:val="22"/>
          <w:szCs w:val="22"/>
        </w:rPr>
        <w:t xml:space="preserve">Washington State has laws governing the disclosure of health information. Those laws use the term “health care information” instead of PHI. </w:t>
      </w:r>
      <w:r>
        <w:rPr>
          <w:b/>
          <w:bCs/>
          <w:color w:val="auto"/>
          <w:sz w:val="22"/>
          <w:szCs w:val="22"/>
        </w:rPr>
        <w:t xml:space="preserve">Health care information </w:t>
      </w:r>
      <w:r>
        <w:rPr>
          <w:color w:val="auto"/>
          <w:sz w:val="22"/>
          <w:szCs w:val="22"/>
        </w:rPr>
        <w:t xml:space="preserve">is defined as “any information, whether oral or recorded in any form or medium, that identifies or can readily be </w:t>
      </w:r>
      <w:r>
        <w:rPr>
          <w:color w:val="auto"/>
          <w:sz w:val="22"/>
          <w:szCs w:val="22"/>
        </w:rPr>
        <w:lastRenderedPageBreak/>
        <w:t xml:space="preserve">associated with </w:t>
      </w:r>
      <w:r w:rsidR="00634DBA">
        <w:rPr>
          <w:color w:val="auto"/>
          <w:sz w:val="22"/>
          <w:szCs w:val="22"/>
        </w:rPr>
        <w:t>the identity of a patient and directly relates to the patient’s health care, including a patient’s deoxyribonucleic acid and identified sequence of chemical base pairs.” The term PHI is used by HSD throughout its written materials to include “health care information”.</w:t>
      </w:r>
    </w:p>
    <w:p w14:paraId="709F8D2B" w14:textId="74D6EA17" w:rsidR="006257EE" w:rsidRDefault="006257EE" w:rsidP="00644911">
      <w:pPr>
        <w:pStyle w:val="NoSpacing"/>
        <w:spacing w:after="120"/>
        <w:ind w:left="360"/>
        <w:rPr>
          <w:color w:val="auto"/>
          <w:sz w:val="22"/>
          <w:szCs w:val="22"/>
        </w:rPr>
      </w:pPr>
      <w:r>
        <w:rPr>
          <w:b/>
          <w:bCs/>
          <w:color w:val="auto"/>
          <w:sz w:val="22"/>
          <w:szCs w:val="22"/>
        </w:rPr>
        <w:t xml:space="preserve">Individually identifiable information. </w:t>
      </w:r>
      <w:r>
        <w:rPr>
          <w:color w:val="auto"/>
          <w:sz w:val="22"/>
          <w:szCs w:val="22"/>
        </w:rPr>
        <w:t>Information, including demographic data, that:</w:t>
      </w:r>
    </w:p>
    <w:p w14:paraId="5C2BBEDA" w14:textId="05154D21" w:rsidR="006257EE" w:rsidRDefault="006257EE" w:rsidP="00644911">
      <w:pPr>
        <w:pStyle w:val="NoSpacing"/>
        <w:numPr>
          <w:ilvl w:val="0"/>
          <w:numId w:val="18"/>
        </w:numPr>
        <w:spacing w:after="60"/>
        <w:ind w:left="900" w:hanging="270"/>
        <w:rPr>
          <w:color w:val="auto"/>
          <w:sz w:val="22"/>
          <w:szCs w:val="22"/>
        </w:rPr>
      </w:pPr>
      <w:r>
        <w:rPr>
          <w:color w:val="auto"/>
          <w:sz w:val="22"/>
          <w:szCs w:val="22"/>
        </w:rPr>
        <w:t xml:space="preserve">Identifies the individual or for which there is a reasonable basis to believe it can be used to identify the individual, </w:t>
      </w:r>
      <w:r>
        <w:rPr>
          <w:b/>
          <w:bCs/>
          <w:color w:val="auto"/>
          <w:sz w:val="22"/>
          <w:szCs w:val="22"/>
        </w:rPr>
        <w:t>AND</w:t>
      </w:r>
    </w:p>
    <w:p w14:paraId="5D54BC91" w14:textId="4B8A3A25" w:rsidR="006257EE" w:rsidRDefault="006257EE" w:rsidP="00644911">
      <w:pPr>
        <w:pStyle w:val="NoSpacing"/>
        <w:numPr>
          <w:ilvl w:val="0"/>
          <w:numId w:val="18"/>
        </w:numPr>
        <w:ind w:left="900" w:hanging="270"/>
        <w:rPr>
          <w:color w:val="auto"/>
          <w:sz w:val="22"/>
          <w:szCs w:val="22"/>
        </w:rPr>
      </w:pPr>
      <w:r>
        <w:rPr>
          <w:color w:val="auto"/>
          <w:sz w:val="22"/>
          <w:szCs w:val="22"/>
        </w:rPr>
        <w:t>Relates to:</w:t>
      </w:r>
    </w:p>
    <w:p w14:paraId="4FB32498" w14:textId="4E7D73F7" w:rsidR="006257EE" w:rsidRDefault="006257EE" w:rsidP="00644911">
      <w:pPr>
        <w:pStyle w:val="NoSpacing"/>
        <w:numPr>
          <w:ilvl w:val="1"/>
          <w:numId w:val="9"/>
        </w:numPr>
        <w:spacing w:after="60"/>
        <w:ind w:left="1350" w:hanging="270"/>
        <w:rPr>
          <w:color w:val="auto"/>
          <w:sz w:val="22"/>
          <w:szCs w:val="22"/>
        </w:rPr>
      </w:pPr>
      <w:r>
        <w:rPr>
          <w:color w:val="auto"/>
          <w:sz w:val="22"/>
          <w:szCs w:val="22"/>
        </w:rPr>
        <w:t>The individual’s past, present, or future physical or mental health or condition</w:t>
      </w:r>
    </w:p>
    <w:p w14:paraId="6FAAB8BE" w14:textId="1A4703F9" w:rsidR="006257EE" w:rsidRDefault="006257EE" w:rsidP="00644911">
      <w:pPr>
        <w:pStyle w:val="NoSpacing"/>
        <w:numPr>
          <w:ilvl w:val="1"/>
          <w:numId w:val="9"/>
        </w:numPr>
        <w:spacing w:after="60"/>
        <w:ind w:left="1350" w:hanging="270"/>
        <w:rPr>
          <w:color w:val="auto"/>
          <w:sz w:val="22"/>
          <w:szCs w:val="22"/>
        </w:rPr>
      </w:pPr>
      <w:r>
        <w:rPr>
          <w:color w:val="auto"/>
          <w:sz w:val="22"/>
          <w:szCs w:val="22"/>
        </w:rPr>
        <w:t xml:space="preserve">The provision of health care to the individual </w:t>
      </w:r>
      <w:r>
        <w:rPr>
          <w:b/>
          <w:bCs/>
          <w:color w:val="auto"/>
          <w:sz w:val="22"/>
          <w:szCs w:val="22"/>
        </w:rPr>
        <w:t>OR</w:t>
      </w:r>
    </w:p>
    <w:p w14:paraId="2CDA211B" w14:textId="26918633" w:rsidR="006257EE" w:rsidRPr="00EF4720" w:rsidRDefault="006257EE" w:rsidP="00644911">
      <w:pPr>
        <w:pStyle w:val="NoSpacing"/>
        <w:numPr>
          <w:ilvl w:val="1"/>
          <w:numId w:val="9"/>
        </w:numPr>
        <w:spacing w:after="120"/>
        <w:ind w:left="1350" w:hanging="270"/>
        <w:rPr>
          <w:color w:val="auto"/>
          <w:sz w:val="22"/>
          <w:szCs w:val="22"/>
        </w:rPr>
      </w:pPr>
      <w:r>
        <w:rPr>
          <w:color w:val="auto"/>
          <w:sz w:val="22"/>
          <w:szCs w:val="22"/>
        </w:rPr>
        <w:t>The past, present, or future payment for health care to the individual</w:t>
      </w:r>
    </w:p>
    <w:p w14:paraId="59AAE98F" w14:textId="1901609F" w:rsidR="00142909" w:rsidRDefault="006257EE" w:rsidP="00644911">
      <w:pPr>
        <w:pStyle w:val="NoSpacing"/>
        <w:spacing w:after="120"/>
        <w:ind w:left="360"/>
        <w:rPr>
          <w:color w:val="auto"/>
          <w:sz w:val="22"/>
          <w:szCs w:val="22"/>
        </w:rPr>
      </w:pPr>
      <w:r>
        <w:rPr>
          <w:b/>
          <w:bCs/>
          <w:color w:val="auto"/>
          <w:sz w:val="22"/>
          <w:szCs w:val="22"/>
        </w:rPr>
        <w:t xml:space="preserve">De-identified PHI. </w:t>
      </w:r>
      <w:r>
        <w:rPr>
          <w:color w:val="auto"/>
          <w:sz w:val="22"/>
          <w:szCs w:val="22"/>
        </w:rPr>
        <w:t>PHI is no longer considered individually identifiable if there is no basis to believe it can be used to identify the individual. There are two ways to de-identify PHI:</w:t>
      </w:r>
    </w:p>
    <w:p w14:paraId="2D5B92AA" w14:textId="0C79F5D4" w:rsidR="006257EE" w:rsidRPr="006257EE" w:rsidRDefault="006257EE" w:rsidP="00644911">
      <w:pPr>
        <w:pStyle w:val="NoSpacing"/>
        <w:numPr>
          <w:ilvl w:val="0"/>
          <w:numId w:val="19"/>
        </w:numPr>
        <w:spacing w:after="60"/>
        <w:ind w:left="900" w:hanging="270"/>
        <w:rPr>
          <w:color w:val="auto"/>
          <w:sz w:val="22"/>
          <w:szCs w:val="22"/>
        </w:rPr>
      </w:pPr>
      <w:r>
        <w:rPr>
          <w:color w:val="auto"/>
          <w:sz w:val="22"/>
          <w:szCs w:val="22"/>
        </w:rPr>
        <w:t>Removal of 18 HIPAA-specified identifiers (</w:t>
      </w:r>
      <w:hyperlink r:id="rId12" w:history="1">
        <w:r w:rsidRPr="004C0D2C">
          <w:rPr>
            <w:rStyle w:val="Hyperlink"/>
            <w:sz w:val="22"/>
            <w:szCs w:val="22"/>
          </w:rPr>
          <w:t>Use and Disclosure of Protected Health Information (PHI) – COMP.103</w:t>
        </w:r>
      </w:hyperlink>
      <w:r>
        <w:rPr>
          <w:color w:val="auto"/>
          <w:sz w:val="22"/>
          <w:szCs w:val="22"/>
        </w:rPr>
        <w:t xml:space="preserve">), provided that there is no knowledge that the resulting information could be used alone or in combination with other information to identify individuals </w:t>
      </w:r>
      <w:r>
        <w:rPr>
          <w:b/>
          <w:bCs/>
          <w:color w:val="auto"/>
          <w:sz w:val="22"/>
          <w:szCs w:val="22"/>
        </w:rPr>
        <w:t>OR</w:t>
      </w:r>
    </w:p>
    <w:p w14:paraId="63E39873" w14:textId="2C44A913" w:rsidR="00DD54DE" w:rsidRPr="00EF4720" w:rsidRDefault="006257EE" w:rsidP="00644911">
      <w:pPr>
        <w:pStyle w:val="NoSpacing"/>
        <w:numPr>
          <w:ilvl w:val="0"/>
          <w:numId w:val="19"/>
        </w:numPr>
        <w:spacing w:after="120"/>
        <w:ind w:left="900" w:hanging="270"/>
        <w:rPr>
          <w:color w:val="auto"/>
          <w:sz w:val="22"/>
          <w:szCs w:val="22"/>
        </w:rPr>
      </w:pPr>
      <w:r>
        <w:rPr>
          <w:color w:val="auto"/>
          <w:sz w:val="22"/>
          <w:szCs w:val="22"/>
        </w:rPr>
        <w:t>A person with appropriate knowledge and experience applying generally accepted statistical and scientific methods for rendering information not individually identifiable</w:t>
      </w:r>
      <w:r w:rsidR="008E1713">
        <w:rPr>
          <w:color w:val="auto"/>
          <w:sz w:val="22"/>
          <w:szCs w:val="22"/>
        </w:rPr>
        <w:t xml:space="preserve">: </w:t>
      </w:r>
      <w:r w:rsidR="008E1713">
        <w:rPr>
          <w:b/>
          <w:bCs/>
          <w:color w:val="auto"/>
          <w:sz w:val="22"/>
          <w:szCs w:val="22"/>
        </w:rPr>
        <w:t>(1)</w:t>
      </w:r>
      <w:r>
        <w:rPr>
          <w:color w:val="auto"/>
          <w:sz w:val="22"/>
          <w:szCs w:val="22"/>
        </w:rPr>
        <w:t xml:space="preserve"> applies such principles/methods</w:t>
      </w:r>
      <w:r w:rsidR="008E1713">
        <w:rPr>
          <w:color w:val="auto"/>
          <w:sz w:val="22"/>
          <w:szCs w:val="22"/>
        </w:rPr>
        <w:t xml:space="preserve">; </w:t>
      </w:r>
      <w:r w:rsidR="008E1713">
        <w:rPr>
          <w:b/>
          <w:bCs/>
          <w:color w:val="auto"/>
          <w:sz w:val="22"/>
          <w:szCs w:val="22"/>
        </w:rPr>
        <w:t>(2)</w:t>
      </w:r>
      <w:r>
        <w:rPr>
          <w:color w:val="auto"/>
          <w:sz w:val="22"/>
          <w:szCs w:val="22"/>
        </w:rPr>
        <w:t xml:space="preserve"> determines the risk is very small that the information could be used alone or in combination with other available information to identify an individual, </w:t>
      </w:r>
      <w:r w:rsidRPr="008E1713">
        <w:rPr>
          <w:b/>
          <w:bCs/>
          <w:color w:val="auto"/>
          <w:sz w:val="22"/>
          <w:szCs w:val="22"/>
        </w:rPr>
        <w:t>and</w:t>
      </w:r>
      <w:r w:rsidR="008E1713">
        <w:rPr>
          <w:color w:val="auto"/>
          <w:sz w:val="22"/>
          <w:szCs w:val="22"/>
        </w:rPr>
        <w:t xml:space="preserve"> </w:t>
      </w:r>
      <w:r w:rsidR="008E1713">
        <w:rPr>
          <w:b/>
          <w:bCs/>
          <w:color w:val="auto"/>
          <w:sz w:val="22"/>
          <w:szCs w:val="22"/>
        </w:rPr>
        <w:t>(3)</w:t>
      </w:r>
      <w:r>
        <w:rPr>
          <w:color w:val="auto"/>
          <w:sz w:val="22"/>
          <w:szCs w:val="22"/>
        </w:rPr>
        <w:t xml:space="preserve"> documents the methods/results that justify the determination.</w:t>
      </w:r>
    </w:p>
    <w:p w14:paraId="6B6D258F" w14:textId="61170096" w:rsidR="00DD54DE" w:rsidRDefault="00DD54DE" w:rsidP="00644911">
      <w:pPr>
        <w:pStyle w:val="NoSpacing"/>
        <w:spacing w:after="120"/>
        <w:ind w:left="360"/>
        <w:rPr>
          <w:color w:val="auto"/>
          <w:sz w:val="22"/>
          <w:szCs w:val="22"/>
        </w:rPr>
      </w:pPr>
      <w:r>
        <w:rPr>
          <w:b/>
          <w:bCs/>
          <w:color w:val="auto"/>
          <w:sz w:val="22"/>
          <w:szCs w:val="22"/>
        </w:rPr>
        <w:t xml:space="preserve">Honest Broker. </w:t>
      </w:r>
      <w:r>
        <w:rPr>
          <w:color w:val="auto"/>
          <w:sz w:val="22"/>
          <w:szCs w:val="22"/>
        </w:rPr>
        <w:t>An individual or group acting on behalf of a covered entity to search the entity’s health care records, collect PHI, and make the PHI available to researchers. The PHI may be de-identified, coded (with the researcher having no access to the code link) or identifiable. The Honest Broker acts as a gatekeeper and must be independent of the research team.</w:t>
      </w:r>
    </w:p>
    <w:p w14:paraId="00547269" w14:textId="7EEB4705" w:rsidR="00AC2963" w:rsidRPr="00115483" w:rsidRDefault="00F079A0" w:rsidP="00644911">
      <w:pPr>
        <w:pStyle w:val="NoSpacing"/>
        <w:numPr>
          <w:ilvl w:val="0"/>
          <w:numId w:val="21"/>
        </w:numPr>
        <w:spacing w:before="240" w:after="240"/>
        <w:rPr>
          <w:color w:val="595959" w:themeColor="text1" w:themeTint="A6"/>
          <w:sz w:val="22"/>
          <w:szCs w:val="22"/>
        </w:rPr>
      </w:pPr>
      <w:r w:rsidRPr="00115483">
        <w:rPr>
          <w:color w:val="auto"/>
          <w:sz w:val="22"/>
          <w:szCs w:val="22"/>
        </w:rPr>
        <w:t>For information about the circumstances in which UW Medicine PHI may be released for research purposes</w:t>
      </w:r>
      <w:r w:rsidR="00E920C7">
        <w:rPr>
          <w:color w:val="auto"/>
          <w:sz w:val="22"/>
          <w:szCs w:val="22"/>
        </w:rPr>
        <w:t xml:space="preserve"> and UW Medicine’s definition of an honest broker</w:t>
      </w:r>
      <w:r w:rsidRPr="00115483">
        <w:rPr>
          <w:color w:val="auto"/>
          <w:sz w:val="22"/>
          <w:szCs w:val="22"/>
        </w:rPr>
        <w:t xml:space="preserve">, </w:t>
      </w:r>
      <w:r w:rsidR="00B357BE">
        <w:rPr>
          <w:color w:val="auto"/>
          <w:sz w:val="22"/>
          <w:szCs w:val="22"/>
        </w:rPr>
        <w:t>refer</w:t>
      </w:r>
      <w:r w:rsidR="00E920C7">
        <w:rPr>
          <w:color w:val="auto"/>
          <w:sz w:val="22"/>
          <w:szCs w:val="22"/>
        </w:rPr>
        <w:t xml:space="preserve"> to</w:t>
      </w:r>
      <w:r w:rsidRPr="00115483">
        <w:rPr>
          <w:color w:val="auto"/>
        </w:rPr>
        <w:t xml:space="preserve"> </w:t>
      </w:r>
      <w:hyperlink r:id="rId13" w:history="1">
        <w:r w:rsidRPr="00115483">
          <w:rPr>
            <w:rStyle w:val="Hyperlink"/>
            <w:sz w:val="22"/>
            <w:szCs w:val="22"/>
          </w:rPr>
          <w:t>Comp.306 Release of Clinical Data for Research Purposes</w:t>
        </w:r>
      </w:hyperlink>
      <w:r w:rsidRPr="00115483">
        <w:rPr>
          <w:color w:val="595959" w:themeColor="text1" w:themeTint="A6"/>
          <w:sz w:val="22"/>
          <w:szCs w:val="22"/>
        </w:rPr>
        <w:t xml:space="preserve"> </w:t>
      </w:r>
      <w:r w:rsidRPr="00115483">
        <w:rPr>
          <w:color w:val="auto"/>
          <w:sz w:val="22"/>
          <w:szCs w:val="22"/>
        </w:rPr>
        <w:t xml:space="preserve">and </w:t>
      </w:r>
      <w:hyperlink r:id="rId14" w:history="1">
        <w:r w:rsidRPr="00115483">
          <w:rPr>
            <w:rStyle w:val="Hyperlink"/>
            <w:sz w:val="22"/>
            <w:szCs w:val="22"/>
          </w:rPr>
          <w:t>Comp. 307 Honest Broker Policy for UW Medicine Clinical Data</w:t>
        </w:r>
      </w:hyperlink>
      <w:r w:rsidRPr="00115483">
        <w:rPr>
          <w:color w:val="595959" w:themeColor="text1" w:themeTint="A6"/>
          <w:sz w:val="22"/>
          <w:szCs w:val="22"/>
        </w:rPr>
        <w:t xml:space="preserve">. </w:t>
      </w:r>
      <w:r w:rsidRPr="00115483">
        <w:rPr>
          <w:color w:val="auto"/>
          <w:sz w:val="22"/>
          <w:szCs w:val="22"/>
        </w:rPr>
        <w:t xml:space="preserve">Additional information can also be found on the </w:t>
      </w:r>
      <w:hyperlink r:id="rId15" w:history="1">
        <w:r w:rsidRPr="00115483">
          <w:rPr>
            <w:rStyle w:val="Hyperlink"/>
            <w:sz w:val="22"/>
            <w:szCs w:val="22"/>
          </w:rPr>
          <w:t>UW Medicine Honest Broker Program website</w:t>
        </w:r>
      </w:hyperlink>
      <w:r w:rsidRPr="00115483">
        <w:rPr>
          <w:color w:val="595959" w:themeColor="text1" w:themeTint="A6"/>
          <w:sz w:val="22"/>
          <w:szCs w:val="22"/>
        </w:rPr>
        <w:t>.</w:t>
      </w:r>
    </w:p>
    <w:p w14:paraId="06E10461" w14:textId="2C6A52FA" w:rsidR="00F87836" w:rsidRPr="00EF4720" w:rsidRDefault="00DD54DE" w:rsidP="00644911">
      <w:pPr>
        <w:pStyle w:val="NoSpacing"/>
        <w:spacing w:after="120"/>
        <w:ind w:left="360"/>
        <w:rPr>
          <w:color w:val="auto"/>
          <w:sz w:val="22"/>
          <w:szCs w:val="22"/>
        </w:rPr>
      </w:pPr>
      <w:r>
        <w:rPr>
          <w:b/>
          <w:bCs/>
          <w:color w:val="auto"/>
          <w:sz w:val="22"/>
          <w:szCs w:val="22"/>
        </w:rPr>
        <w:t>Limited data set.</w:t>
      </w:r>
      <w:r w:rsidR="00027EE2">
        <w:rPr>
          <w:b/>
          <w:bCs/>
          <w:color w:val="auto"/>
          <w:sz w:val="22"/>
          <w:szCs w:val="22"/>
        </w:rPr>
        <w:t xml:space="preserve"> </w:t>
      </w:r>
      <w:r w:rsidR="00027EE2">
        <w:rPr>
          <w:color w:val="auto"/>
          <w:sz w:val="22"/>
          <w:szCs w:val="22"/>
        </w:rPr>
        <w:t>PHI from which 16 specific individual identifiers have been removed</w:t>
      </w:r>
      <w:r w:rsidR="00F87836">
        <w:rPr>
          <w:color w:val="auto"/>
          <w:sz w:val="22"/>
          <w:szCs w:val="22"/>
        </w:rPr>
        <w:t xml:space="preserve"> (</w:t>
      </w:r>
      <w:hyperlink r:id="rId16" w:history="1">
        <w:r w:rsidR="00F87836" w:rsidRPr="00F87836">
          <w:rPr>
            <w:rStyle w:val="Hyperlink"/>
            <w:sz w:val="22"/>
            <w:szCs w:val="22"/>
          </w:rPr>
          <w:t>COMP</w:t>
        </w:r>
        <w:r w:rsidR="0047572F">
          <w:rPr>
            <w:rStyle w:val="Hyperlink"/>
            <w:sz w:val="22"/>
            <w:szCs w:val="22"/>
          </w:rPr>
          <w:t>.</w:t>
        </w:r>
        <w:r w:rsidR="00F87836" w:rsidRPr="00F87836">
          <w:rPr>
            <w:rStyle w:val="Hyperlink"/>
            <w:sz w:val="22"/>
            <w:szCs w:val="22"/>
          </w:rPr>
          <w:t>103</w:t>
        </w:r>
      </w:hyperlink>
      <w:r w:rsidR="00F87836">
        <w:rPr>
          <w:color w:val="auto"/>
          <w:sz w:val="22"/>
          <w:szCs w:val="22"/>
        </w:rPr>
        <w:t>).</w:t>
      </w:r>
    </w:p>
    <w:p w14:paraId="5F5A6D53" w14:textId="50252D5C" w:rsidR="00DD54DE" w:rsidRPr="00F87836" w:rsidRDefault="00DD54DE" w:rsidP="00644911">
      <w:pPr>
        <w:pStyle w:val="NoSpacing"/>
        <w:ind w:left="360"/>
        <w:rPr>
          <w:color w:val="auto"/>
          <w:sz w:val="22"/>
          <w:szCs w:val="22"/>
        </w:rPr>
      </w:pPr>
      <w:r>
        <w:rPr>
          <w:b/>
          <w:bCs/>
          <w:color w:val="auto"/>
          <w:sz w:val="22"/>
          <w:szCs w:val="22"/>
        </w:rPr>
        <w:t>Covered entity.</w:t>
      </w:r>
      <w:r w:rsidR="00F87836">
        <w:rPr>
          <w:b/>
          <w:bCs/>
          <w:color w:val="auto"/>
          <w:sz w:val="22"/>
          <w:szCs w:val="22"/>
        </w:rPr>
        <w:t xml:space="preserve"> </w:t>
      </w:r>
      <w:r w:rsidR="00F87836">
        <w:rPr>
          <w:color w:val="auto"/>
          <w:sz w:val="22"/>
          <w:szCs w:val="22"/>
        </w:rPr>
        <w:t xml:space="preserve">The term used for the holder/transmitter of PHI. Specifically, it </w:t>
      </w:r>
      <w:proofErr w:type="gramStart"/>
      <w:r w:rsidR="00F87836">
        <w:rPr>
          <w:color w:val="auto"/>
          <w:sz w:val="22"/>
          <w:szCs w:val="22"/>
        </w:rPr>
        <w:t>means:</w:t>
      </w:r>
      <w:proofErr w:type="gramEnd"/>
      <w:r w:rsidR="00F87836">
        <w:rPr>
          <w:color w:val="auto"/>
          <w:sz w:val="22"/>
          <w:szCs w:val="22"/>
        </w:rPr>
        <w:t xml:space="preserve"> health plans, health care clearinghouses, and health care providers who transmit health information in electronic form in connection with transactions for which the Secretary of Health &amp; Human Services (HHS) has adopted standards under HIPAA.</w:t>
      </w:r>
    </w:p>
    <w:p w14:paraId="3A7B22B0" w14:textId="77777777" w:rsidR="006257EE" w:rsidRPr="00B00AFA" w:rsidRDefault="006257EE" w:rsidP="00644911">
      <w:pPr>
        <w:pStyle w:val="NoSpacing"/>
        <w:rPr>
          <w:color w:val="auto"/>
          <w:sz w:val="22"/>
          <w:szCs w:val="22"/>
        </w:rPr>
      </w:pPr>
    </w:p>
    <w:p w14:paraId="2A7053F1" w14:textId="53FF1CEB" w:rsidR="000B0517" w:rsidRDefault="000B0517" w:rsidP="00492D3C">
      <w:pPr>
        <w:pStyle w:val="NoSpacing"/>
        <w:ind w:left="360" w:hanging="360"/>
        <w:outlineLvl w:val="0"/>
        <w:rPr>
          <w:b/>
          <w:color w:val="auto"/>
          <w:sz w:val="22"/>
          <w:szCs w:val="22"/>
        </w:rPr>
      </w:pPr>
      <w:r>
        <w:rPr>
          <w:b/>
          <w:color w:val="auto"/>
          <w:sz w:val="22"/>
          <w:szCs w:val="22"/>
        </w:rPr>
        <w:t>4</w:t>
      </w:r>
      <w:r>
        <w:rPr>
          <w:b/>
          <w:color w:val="auto"/>
          <w:sz w:val="22"/>
          <w:szCs w:val="22"/>
        </w:rPr>
        <w:tab/>
      </w:r>
      <w:r w:rsidR="00903915">
        <w:rPr>
          <w:b/>
          <w:color w:val="auto"/>
          <w:sz w:val="22"/>
          <w:szCs w:val="22"/>
        </w:rPr>
        <w:t>THE UW COVERED ENTITY</w:t>
      </w:r>
    </w:p>
    <w:p w14:paraId="0B884163" w14:textId="51379E49" w:rsidR="000B0517" w:rsidRDefault="000B0517" w:rsidP="00644911">
      <w:pPr>
        <w:pStyle w:val="NoSpacing"/>
        <w:ind w:left="360"/>
        <w:rPr>
          <w:b/>
          <w:color w:val="auto"/>
          <w:sz w:val="22"/>
          <w:szCs w:val="22"/>
        </w:rPr>
      </w:pPr>
    </w:p>
    <w:p w14:paraId="6FEB0B9D" w14:textId="0C67746B" w:rsidR="008F5163" w:rsidRDefault="008F5163" w:rsidP="00644911">
      <w:pPr>
        <w:pStyle w:val="NoSpacing"/>
        <w:spacing w:after="120"/>
        <w:ind w:left="360"/>
        <w:rPr>
          <w:bCs/>
          <w:color w:val="auto"/>
          <w:sz w:val="22"/>
          <w:szCs w:val="22"/>
        </w:rPr>
      </w:pPr>
      <w:r w:rsidRPr="008F5163">
        <w:rPr>
          <w:b/>
          <w:color w:val="auto"/>
          <w:sz w:val="22"/>
          <w:szCs w:val="22"/>
        </w:rPr>
        <w:t>The UW covered entity is a hybrid covered entity.</w:t>
      </w:r>
      <w:r>
        <w:rPr>
          <w:bCs/>
          <w:color w:val="auto"/>
          <w:sz w:val="22"/>
          <w:szCs w:val="22"/>
        </w:rPr>
        <w:t xml:space="preserve"> This means that some, but not all, components of the UW provide health care and are therefore subject to HIPAA and related WA state law.</w:t>
      </w:r>
    </w:p>
    <w:p w14:paraId="0AAE8A30" w14:textId="14472272" w:rsidR="0047572F" w:rsidRDefault="0047572F" w:rsidP="00644911">
      <w:pPr>
        <w:pStyle w:val="NoSpacing"/>
        <w:numPr>
          <w:ilvl w:val="0"/>
          <w:numId w:val="7"/>
        </w:numPr>
        <w:ind w:left="900" w:hanging="270"/>
        <w:rPr>
          <w:bCs/>
          <w:color w:val="auto"/>
          <w:sz w:val="22"/>
          <w:szCs w:val="22"/>
        </w:rPr>
      </w:pPr>
      <w:r>
        <w:rPr>
          <w:bCs/>
          <w:color w:val="auto"/>
          <w:sz w:val="22"/>
          <w:szCs w:val="22"/>
        </w:rPr>
        <w:t xml:space="preserve">The UW covered entity is a complex set of institutions, described in UW Medicine’s </w:t>
      </w:r>
      <w:hyperlink r:id="rId17" w:history="1">
        <w:r w:rsidR="008E1713" w:rsidRPr="008E1713">
          <w:rPr>
            <w:rStyle w:val="Hyperlink"/>
            <w:bCs/>
            <w:sz w:val="22"/>
            <w:szCs w:val="22"/>
          </w:rPr>
          <w:t xml:space="preserve">Patient information Privacy and Security Compliance Program and Administrative Requirements - </w:t>
        </w:r>
        <w:r w:rsidRPr="008E1713">
          <w:rPr>
            <w:rStyle w:val="Hyperlink"/>
            <w:bCs/>
            <w:sz w:val="22"/>
            <w:szCs w:val="22"/>
          </w:rPr>
          <w:t>COMP.101</w:t>
        </w:r>
      </w:hyperlink>
      <w:r>
        <w:rPr>
          <w:bCs/>
          <w:color w:val="auto"/>
          <w:sz w:val="22"/>
          <w:szCs w:val="22"/>
        </w:rPr>
        <w:t xml:space="preserve"> and its related resource </w:t>
      </w:r>
      <w:hyperlink r:id="rId18" w:history="1">
        <w:r w:rsidRPr="008E1713">
          <w:rPr>
            <w:rStyle w:val="Hyperlink"/>
            <w:bCs/>
            <w:sz w:val="22"/>
            <w:szCs w:val="22"/>
          </w:rPr>
          <w:t>101.G1</w:t>
        </w:r>
        <w:r w:rsidR="008E1713" w:rsidRPr="008E1713">
          <w:rPr>
            <w:rStyle w:val="Hyperlink"/>
            <w:bCs/>
            <w:sz w:val="22"/>
            <w:szCs w:val="22"/>
          </w:rPr>
          <w:t xml:space="preserve"> UW HIPAA Designation</w:t>
        </w:r>
      </w:hyperlink>
      <w:r>
        <w:rPr>
          <w:bCs/>
          <w:color w:val="auto"/>
          <w:sz w:val="22"/>
          <w:szCs w:val="22"/>
        </w:rPr>
        <w:t>. The Harborview Madison Clinic is part of the UW covered entity.</w:t>
      </w:r>
    </w:p>
    <w:p w14:paraId="5E70B274" w14:textId="2FA4DA33" w:rsidR="0047572F" w:rsidRDefault="0047572F" w:rsidP="00644911">
      <w:pPr>
        <w:pStyle w:val="NoSpacing"/>
        <w:numPr>
          <w:ilvl w:val="0"/>
          <w:numId w:val="7"/>
        </w:numPr>
        <w:ind w:left="900" w:hanging="270"/>
        <w:rPr>
          <w:bCs/>
          <w:color w:val="auto"/>
          <w:sz w:val="22"/>
          <w:szCs w:val="22"/>
        </w:rPr>
      </w:pPr>
      <w:r>
        <w:rPr>
          <w:bCs/>
          <w:color w:val="auto"/>
          <w:sz w:val="22"/>
          <w:szCs w:val="22"/>
        </w:rPr>
        <w:lastRenderedPageBreak/>
        <w:t>The following regional hospitals and health care systems are affiliated with UW Medicine but are not part of the UW covered entity:</w:t>
      </w:r>
    </w:p>
    <w:p w14:paraId="3DADAE53" w14:textId="7FC124F3" w:rsidR="0047572F" w:rsidRDefault="0047572F" w:rsidP="00644911">
      <w:pPr>
        <w:pStyle w:val="NoSpacing"/>
        <w:numPr>
          <w:ilvl w:val="1"/>
          <w:numId w:val="8"/>
        </w:numPr>
        <w:spacing w:after="60"/>
        <w:ind w:left="1350" w:hanging="270"/>
        <w:rPr>
          <w:bCs/>
          <w:color w:val="auto"/>
          <w:sz w:val="22"/>
          <w:szCs w:val="22"/>
        </w:rPr>
      </w:pPr>
      <w:r>
        <w:rPr>
          <w:bCs/>
          <w:color w:val="auto"/>
          <w:sz w:val="22"/>
          <w:szCs w:val="22"/>
        </w:rPr>
        <w:t>Peace Health</w:t>
      </w:r>
    </w:p>
    <w:p w14:paraId="13448F3A" w14:textId="71AE3CB2" w:rsidR="0047572F" w:rsidRDefault="0047572F" w:rsidP="00644911">
      <w:pPr>
        <w:pStyle w:val="NoSpacing"/>
        <w:numPr>
          <w:ilvl w:val="1"/>
          <w:numId w:val="8"/>
        </w:numPr>
        <w:spacing w:after="60"/>
        <w:ind w:left="1350" w:hanging="270"/>
        <w:rPr>
          <w:bCs/>
          <w:color w:val="auto"/>
          <w:sz w:val="22"/>
          <w:szCs w:val="22"/>
        </w:rPr>
      </w:pPr>
      <w:r>
        <w:rPr>
          <w:bCs/>
          <w:color w:val="auto"/>
          <w:sz w:val="22"/>
          <w:szCs w:val="22"/>
        </w:rPr>
        <w:t>Cascade Valley Hospital and Clinics</w:t>
      </w:r>
    </w:p>
    <w:p w14:paraId="74D8C6F1" w14:textId="6C7A8AB8" w:rsidR="0047572F" w:rsidRDefault="0047572F" w:rsidP="00644911">
      <w:pPr>
        <w:pStyle w:val="NoSpacing"/>
        <w:numPr>
          <w:ilvl w:val="1"/>
          <w:numId w:val="8"/>
        </w:numPr>
        <w:spacing w:after="120"/>
        <w:ind w:left="1350" w:hanging="270"/>
        <w:rPr>
          <w:bCs/>
          <w:color w:val="auto"/>
          <w:sz w:val="22"/>
          <w:szCs w:val="22"/>
        </w:rPr>
      </w:pPr>
      <w:r>
        <w:rPr>
          <w:bCs/>
          <w:color w:val="auto"/>
          <w:sz w:val="22"/>
          <w:szCs w:val="22"/>
        </w:rPr>
        <w:t>Skagit Regional Health</w:t>
      </w:r>
    </w:p>
    <w:p w14:paraId="348BA266" w14:textId="1BC96D8D" w:rsidR="0054245E" w:rsidRDefault="0054245E" w:rsidP="00644911">
      <w:pPr>
        <w:pStyle w:val="NoSpacing"/>
        <w:spacing w:after="120"/>
        <w:ind w:left="360"/>
        <w:rPr>
          <w:bCs/>
          <w:color w:val="auto"/>
          <w:sz w:val="22"/>
          <w:szCs w:val="22"/>
        </w:rPr>
      </w:pPr>
      <w:r w:rsidRPr="0054245E">
        <w:rPr>
          <w:b/>
          <w:color w:val="auto"/>
          <w:sz w:val="22"/>
          <w:szCs w:val="22"/>
        </w:rPr>
        <w:t xml:space="preserve">The UW Medicine Privacy Office oversees </w:t>
      </w:r>
      <w:r w:rsidRPr="00C021E1">
        <w:rPr>
          <w:b/>
          <w:color w:val="auto"/>
          <w:sz w:val="22"/>
          <w:szCs w:val="22"/>
        </w:rPr>
        <w:t>HIPAA and related WA state law compliance for UW Medicine.</w:t>
      </w:r>
      <w:r>
        <w:rPr>
          <w:bCs/>
          <w:color w:val="auto"/>
          <w:sz w:val="22"/>
          <w:szCs w:val="22"/>
        </w:rPr>
        <w:t xml:space="preserve"> Researchers who will obtain and use UW Medicine PHI must comply with UW Medicine Privacy Policies. Most of the non-UW Medicine components of the UW covered entity have adopted UW Medicine Privacy Policies.</w:t>
      </w:r>
    </w:p>
    <w:p w14:paraId="5517ACBD" w14:textId="7B6F938F" w:rsidR="0054245E" w:rsidRDefault="0054245E" w:rsidP="00644911">
      <w:pPr>
        <w:pStyle w:val="NoSpacing"/>
        <w:ind w:left="360"/>
        <w:rPr>
          <w:bCs/>
          <w:color w:val="auto"/>
          <w:sz w:val="22"/>
          <w:szCs w:val="22"/>
        </w:rPr>
      </w:pPr>
      <w:r w:rsidRPr="00C021E1">
        <w:rPr>
          <w:b/>
          <w:color w:val="auto"/>
          <w:sz w:val="22"/>
          <w:szCs w:val="22"/>
        </w:rPr>
        <w:t>Obtaining PHI from the UW covered entity for research purposes almost always involves removing PHI from the covered entity.</w:t>
      </w:r>
      <w:r>
        <w:rPr>
          <w:bCs/>
          <w:color w:val="auto"/>
          <w:sz w:val="22"/>
          <w:szCs w:val="22"/>
        </w:rPr>
        <w:t xml:space="preserve"> This is because researchers usually take PHI out of the health care components of the UW covered entity (e.g., UW Medicine) and place it into their research records in their academic units (e.g., Department of Medicine) which are not part of the UW covered entity.</w:t>
      </w:r>
    </w:p>
    <w:p w14:paraId="70F205F5" w14:textId="77777777" w:rsidR="0054245E" w:rsidRPr="0054245E" w:rsidRDefault="0054245E" w:rsidP="00644911">
      <w:pPr>
        <w:pStyle w:val="NoSpacing"/>
        <w:ind w:left="360"/>
        <w:rPr>
          <w:bCs/>
          <w:color w:val="auto"/>
          <w:sz w:val="22"/>
          <w:szCs w:val="22"/>
        </w:rPr>
      </w:pPr>
    </w:p>
    <w:p w14:paraId="0C8CAEB6" w14:textId="17A2A41D" w:rsidR="00903915" w:rsidRDefault="00903915" w:rsidP="00492D3C">
      <w:pPr>
        <w:pStyle w:val="NoSpacing"/>
        <w:ind w:left="360" w:hanging="360"/>
        <w:outlineLvl w:val="0"/>
        <w:rPr>
          <w:b/>
          <w:color w:val="auto"/>
          <w:sz w:val="22"/>
          <w:szCs w:val="22"/>
        </w:rPr>
      </w:pPr>
      <w:r>
        <w:rPr>
          <w:b/>
          <w:color w:val="auto"/>
          <w:sz w:val="22"/>
          <w:szCs w:val="22"/>
        </w:rPr>
        <w:t>5</w:t>
      </w:r>
      <w:r>
        <w:rPr>
          <w:b/>
          <w:color w:val="auto"/>
          <w:sz w:val="22"/>
          <w:szCs w:val="22"/>
        </w:rPr>
        <w:tab/>
        <w:t>COVERED ENTITIES AND THE UW IRB</w:t>
      </w:r>
    </w:p>
    <w:p w14:paraId="75AF75C1" w14:textId="77777777" w:rsidR="0033681B" w:rsidRDefault="0033681B" w:rsidP="001C01CA">
      <w:pPr>
        <w:pStyle w:val="NoSpacing"/>
        <w:ind w:left="360" w:hanging="360"/>
        <w:rPr>
          <w:b/>
          <w:color w:val="auto"/>
          <w:sz w:val="22"/>
          <w:szCs w:val="22"/>
        </w:rPr>
      </w:pPr>
    </w:p>
    <w:p w14:paraId="3C2EA080" w14:textId="197C836E" w:rsidR="00645920" w:rsidRPr="00645920" w:rsidRDefault="00645920" w:rsidP="001C01CA">
      <w:pPr>
        <w:pStyle w:val="NoSpacing"/>
        <w:ind w:left="360"/>
        <w:rPr>
          <w:bCs/>
          <w:color w:val="auto"/>
          <w:sz w:val="22"/>
          <w:szCs w:val="22"/>
        </w:rPr>
      </w:pPr>
      <w:r>
        <w:rPr>
          <w:bCs/>
          <w:color w:val="auto"/>
          <w:sz w:val="22"/>
          <w:szCs w:val="22"/>
        </w:rPr>
        <w:t>The UW IRB is the IRB of record for all health care components of the UW, UW Medicine</w:t>
      </w:r>
      <w:r w:rsidR="00614F6F">
        <w:rPr>
          <w:bCs/>
          <w:color w:val="auto"/>
          <w:sz w:val="22"/>
          <w:szCs w:val="22"/>
        </w:rPr>
        <w:t>,</w:t>
      </w:r>
      <w:r>
        <w:rPr>
          <w:bCs/>
          <w:color w:val="auto"/>
          <w:sz w:val="22"/>
          <w:szCs w:val="22"/>
        </w:rPr>
        <w:t xml:space="preserve"> and affiliated covered entity outlined in </w:t>
      </w:r>
      <w:hyperlink r:id="rId19" w:history="1">
        <w:r w:rsidRPr="00645920">
          <w:rPr>
            <w:rStyle w:val="Hyperlink"/>
            <w:bCs/>
            <w:sz w:val="22"/>
            <w:szCs w:val="22"/>
          </w:rPr>
          <w:t>COMP.101.G1</w:t>
        </w:r>
      </w:hyperlink>
      <w:r>
        <w:rPr>
          <w:bCs/>
          <w:color w:val="auto"/>
          <w:sz w:val="22"/>
          <w:szCs w:val="22"/>
        </w:rPr>
        <w:t xml:space="preserve">, </w:t>
      </w:r>
      <w:r>
        <w:rPr>
          <w:b/>
          <w:color w:val="auto"/>
          <w:sz w:val="22"/>
          <w:szCs w:val="22"/>
        </w:rPr>
        <w:t>except</w:t>
      </w:r>
      <w:r>
        <w:rPr>
          <w:bCs/>
          <w:color w:val="auto"/>
          <w:sz w:val="22"/>
          <w:szCs w:val="22"/>
        </w:rPr>
        <w:t xml:space="preserve"> Valley Medical Center and its associated clinics. </w:t>
      </w:r>
    </w:p>
    <w:p w14:paraId="70AF0A35" w14:textId="77777777" w:rsidR="00903915" w:rsidRDefault="00903915" w:rsidP="001C01CA">
      <w:pPr>
        <w:pStyle w:val="NoSpacing"/>
        <w:ind w:left="360" w:hanging="360"/>
        <w:rPr>
          <w:b/>
          <w:color w:val="auto"/>
          <w:sz w:val="22"/>
          <w:szCs w:val="22"/>
        </w:rPr>
      </w:pPr>
    </w:p>
    <w:p w14:paraId="5829905C" w14:textId="0112B643" w:rsidR="00903915" w:rsidRDefault="00903915" w:rsidP="00492D3C">
      <w:pPr>
        <w:pStyle w:val="NoSpacing"/>
        <w:ind w:left="360" w:hanging="360"/>
        <w:outlineLvl w:val="0"/>
        <w:rPr>
          <w:b/>
          <w:color w:val="auto"/>
          <w:sz w:val="22"/>
          <w:szCs w:val="22"/>
        </w:rPr>
      </w:pPr>
      <w:r>
        <w:rPr>
          <w:b/>
          <w:color w:val="auto"/>
          <w:sz w:val="22"/>
          <w:szCs w:val="22"/>
        </w:rPr>
        <w:t>6</w:t>
      </w:r>
      <w:r>
        <w:rPr>
          <w:b/>
          <w:color w:val="auto"/>
          <w:sz w:val="22"/>
          <w:szCs w:val="22"/>
        </w:rPr>
        <w:tab/>
        <w:t>CLINICAL VS RESEARCH ACCESS TO PHI</w:t>
      </w:r>
    </w:p>
    <w:p w14:paraId="448A4424" w14:textId="77777777" w:rsidR="00645920" w:rsidRDefault="00645920" w:rsidP="001C01CA">
      <w:pPr>
        <w:pStyle w:val="NoSpacing"/>
        <w:ind w:left="360" w:hanging="360"/>
        <w:rPr>
          <w:b/>
          <w:color w:val="auto"/>
          <w:sz w:val="22"/>
          <w:szCs w:val="22"/>
        </w:rPr>
      </w:pPr>
    </w:p>
    <w:p w14:paraId="14947F80" w14:textId="733DA8E2" w:rsidR="00645920" w:rsidRPr="0033681B" w:rsidRDefault="00645920" w:rsidP="001C01CA">
      <w:pPr>
        <w:pStyle w:val="NoSpacing"/>
        <w:ind w:left="360"/>
        <w:rPr>
          <w:bCs/>
          <w:color w:val="auto"/>
          <w:sz w:val="22"/>
          <w:szCs w:val="22"/>
        </w:rPr>
      </w:pPr>
      <w:r>
        <w:rPr>
          <w:bCs/>
          <w:color w:val="auto"/>
          <w:sz w:val="22"/>
          <w:szCs w:val="22"/>
        </w:rPr>
        <w:t xml:space="preserve">Many UW researchers are also health care providers for the UW covered entity. This means that they have access to UW PHI in order to fulfill their clinical responsibilities. These individuals may wish to use PHI for research purposes, for the same patients they see for clinical practice. These researchers must follow all policies, procedures, and requirements about the research use of PHI. For example, accessing patient records for </w:t>
      </w:r>
      <w:r w:rsidR="00494460">
        <w:rPr>
          <w:bCs/>
          <w:color w:val="auto"/>
          <w:sz w:val="22"/>
          <w:szCs w:val="22"/>
        </w:rPr>
        <w:t xml:space="preserve">participant </w:t>
      </w:r>
      <w:r>
        <w:rPr>
          <w:bCs/>
          <w:color w:val="auto"/>
          <w:sz w:val="22"/>
          <w:szCs w:val="22"/>
        </w:rPr>
        <w:t xml:space="preserve">identification or recruitment requires prior IRB approval and a waiver of authorization, even for one’s own patients. </w:t>
      </w:r>
    </w:p>
    <w:p w14:paraId="3FEB02E2" w14:textId="77777777" w:rsidR="00903915" w:rsidRDefault="00903915" w:rsidP="001C01CA">
      <w:pPr>
        <w:pStyle w:val="NoSpacing"/>
        <w:ind w:left="360" w:hanging="360"/>
        <w:rPr>
          <w:b/>
          <w:color w:val="auto"/>
          <w:sz w:val="22"/>
          <w:szCs w:val="22"/>
        </w:rPr>
      </w:pPr>
    </w:p>
    <w:p w14:paraId="33452AC8" w14:textId="0AB0CC31" w:rsidR="00903915" w:rsidRDefault="00903915" w:rsidP="00492D3C">
      <w:pPr>
        <w:pStyle w:val="NoSpacing"/>
        <w:ind w:left="360" w:hanging="360"/>
        <w:outlineLvl w:val="0"/>
        <w:rPr>
          <w:b/>
          <w:color w:val="auto"/>
          <w:sz w:val="22"/>
          <w:szCs w:val="22"/>
        </w:rPr>
      </w:pPr>
      <w:r>
        <w:rPr>
          <w:b/>
          <w:color w:val="auto"/>
          <w:sz w:val="22"/>
          <w:szCs w:val="22"/>
        </w:rPr>
        <w:t>7</w:t>
      </w:r>
      <w:r>
        <w:rPr>
          <w:b/>
          <w:color w:val="auto"/>
          <w:sz w:val="22"/>
          <w:szCs w:val="22"/>
        </w:rPr>
        <w:tab/>
        <w:t>REGULATORY INTERACTIONS</w:t>
      </w:r>
    </w:p>
    <w:p w14:paraId="3C0FEB38" w14:textId="77777777" w:rsidR="00EF4720" w:rsidRDefault="00EF4720" w:rsidP="001C01CA">
      <w:pPr>
        <w:pStyle w:val="NoSpacing"/>
        <w:ind w:left="360" w:hanging="360"/>
        <w:rPr>
          <w:b/>
          <w:color w:val="auto"/>
          <w:sz w:val="22"/>
          <w:szCs w:val="22"/>
        </w:rPr>
      </w:pPr>
    </w:p>
    <w:p w14:paraId="797444FB" w14:textId="50D3545C" w:rsidR="00645920" w:rsidRDefault="00645920" w:rsidP="001C01CA">
      <w:pPr>
        <w:pStyle w:val="NoSpacing"/>
        <w:spacing w:after="120"/>
        <w:ind w:left="360"/>
        <w:rPr>
          <w:bCs/>
          <w:color w:val="auto"/>
          <w:sz w:val="22"/>
          <w:szCs w:val="22"/>
        </w:rPr>
      </w:pPr>
      <w:r>
        <w:rPr>
          <w:b/>
          <w:color w:val="auto"/>
          <w:sz w:val="22"/>
          <w:szCs w:val="22"/>
        </w:rPr>
        <w:t xml:space="preserve">Identifiability </w:t>
      </w:r>
      <w:r w:rsidRPr="00645920">
        <w:rPr>
          <w:b/>
          <w:color w:val="auto"/>
          <w:sz w:val="22"/>
          <w:szCs w:val="22"/>
        </w:rPr>
        <w:t xml:space="preserve">is defined differently by HIPAA than by human subjects regulations. </w:t>
      </w:r>
    </w:p>
    <w:p w14:paraId="0FA1F59D" w14:textId="314BF5CF" w:rsidR="00645920" w:rsidRDefault="00645920" w:rsidP="001C01CA">
      <w:pPr>
        <w:pStyle w:val="NoSpacing"/>
        <w:numPr>
          <w:ilvl w:val="0"/>
          <w:numId w:val="10"/>
        </w:numPr>
        <w:spacing w:after="60"/>
        <w:ind w:left="900" w:hanging="270"/>
        <w:rPr>
          <w:bCs/>
          <w:color w:val="auto"/>
          <w:sz w:val="22"/>
          <w:szCs w:val="22"/>
        </w:rPr>
      </w:pPr>
      <w:r w:rsidRPr="00537F86">
        <w:rPr>
          <w:b/>
          <w:color w:val="auto"/>
          <w:sz w:val="22"/>
          <w:szCs w:val="22"/>
        </w:rPr>
        <w:t>Human subjects regulations</w:t>
      </w:r>
      <w:r>
        <w:rPr>
          <w:bCs/>
          <w:color w:val="auto"/>
          <w:sz w:val="22"/>
          <w:szCs w:val="22"/>
        </w:rPr>
        <w:t xml:space="preserve"> describe identifiability as, “the identity of the subject is or may readily be ascertained by the investigator or associated with the information.</w:t>
      </w:r>
    </w:p>
    <w:p w14:paraId="110FAC23" w14:textId="1AAD8E9A" w:rsidR="00645920" w:rsidRDefault="00645920" w:rsidP="001C01CA">
      <w:pPr>
        <w:pStyle w:val="NoSpacing"/>
        <w:numPr>
          <w:ilvl w:val="0"/>
          <w:numId w:val="10"/>
        </w:numPr>
        <w:spacing w:after="60"/>
        <w:ind w:left="900" w:hanging="270"/>
        <w:rPr>
          <w:bCs/>
          <w:color w:val="auto"/>
          <w:sz w:val="22"/>
          <w:szCs w:val="22"/>
        </w:rPr>
      </w:pPr>
      <w:r w:rsidRPr="00537F86">
        <w:rPr>
          <w:b/>
          <w:color w:val="auto"/>
          <w:sz w:val="22"/>
          <w:szCs w:val="22"/>
        </w:rPr>
        <w:t>HIPAA regulations</w:t>
      </w:r>
      <w:r>
        <w:rPr>
          <w:bCs/>
          <w:i/>
          <w:iCs/>
          <w:color w:val="auto"/>
          <w:sz w:val="22"/>
          <w:szCs w:val="22"/>
        </w:rPr>
        <w:t xml:space="preserve"> </w:t>
      </w:r>
      <w:r>
        <w:rPr>
          <w:bCs/>
          <w:color w:val="auto"/>
          <w:sz w:val="22"/>
          <w:szCs w:val="22"/>
        </w:rPr>
        <w:t xml:space="preserve">describe identifiability in terms of: </w:t>
      </w:r>
      <w:r>
        <w:rPr>
          <w:b/>
          <w:color w:val="auto"/>
          <w:sz w:val="22"/>
          <w:szCs w:val="22"/>
        </w:rPr>
        <w:t xml:space="preserve">(1) </w:t>
      </w:r>
      <w:r>
        <w:rPr>
          <w:bCs/>
          <w:color w:val="auto"/>
          <w:sz w:val="22"/>
          <w:szCs w:val="22"/>
        </w:rPr>
        <w:t xml:space="preserve">the presence of one or more of the 18 specific identifiers, such as name; </w:t>
      </w:r>
      <w:r>
        <w:rPr>
          <w:b/>
          <w:color w:val="auto"/>
          <w:sz w:val="22"/>
          <w:szCs w:val="22"/>
        </w:rPr>
        <w:t xml:space="preserve">or (2) </w:t>
      </w:r>
      <w:r>
        <w:rPr>
          <w:bCs/>
          <w:color w:val="auto"/>
          <w:sz w:val="22"/>
          <w:szCs w:val="22"/>
        </w:rPr>
        <w:t xml:space="preserve">the probability of identifiability as determined by a person with appropriate knowledge and experience with generally accepted statistical and scientific principles and methods for rending information not individually identifiable. </w:t>
      </w:r>
    </w:p>
    <w:p w14:paraId="68768711" w14:textId="1C1CD4B6" w:rsidR="00094776" w:rsidRPr="00EF4720" w:rsidRDefault="00645920" w:rsidP="001C01CA">
      <w:pPr>
        <w:pStyle w:val="NoSpacing"/>
        <w:numPr>
          <w:ilvl w:val="0"/>
          <w:numId w:val="10"/>
        </w:numPr>
        <w:spacing w:after="120"/>
        <w:ind w:left="900" w:hanging="270"/>
        <w:rPr>
          <w:bCs/>
          <w:color w:val="auto"/>
          <w:sz w:val="22"/>
          <w:szCs w:val="22"/>
        </w:rPr>
      </w:pPr>
      <w:r w:rsidRPr="00537F86">
        <w:rPr>
          <w:b/>
          <w:color w:val="auto"/>
          <w:sz w:val="22"/>
          <w:szCs w:val="22"/>
        </w:rPr>
        <w:t>Implication</w:t>
      </w:r>
      <w:r w:rsidR="005A0448" w:rsidRPr="00537F86">
        <w:rPr>
          <w:b/>
          <w:color w:val="auto"/>
          <w:sz w:val="22"/>
          <w:szCs w:val="22"/>
        </w:rPr>
        <w:t>.</w:t>
      </w:r>
      <w:r w:rsidR="005A0448">
        <w:rPr>
          <w:bCs/>
          <w:i/>
          <w:iCs/>
          <w:color w:val="auto"/>
          <w:sz w:val="22"/>
          <w:szCs w:val="22"/>
        </w:rPr>
        <w:t xml:space="preserve"> </w:t>
      </w:r>
      <w:r w:rsidR="005A0448">
        <w:rPr>
          <w:bCs/>
          <w:color w:val="auto"/>
          <w:sz w:val="22"/>
          <w:szCs w:val="22"/>
        </w:rPr>
        <w:t>This</w:t>
      </w:r>
      <w:r>
        <w:rPr>
          <w:bCs/>
          <w:color w:val="auto"/>
          <w:sz w:val="22"/>
          <w:szCs w:val="22"/>
        </w:rPr>
        <w:t xml:space="preserve"> means that a data set may be considered identifiable per one set of regulations but not identifiable per the other set of regulations. This may result in a determination of “Not Human Subjects Research” </w:t>
      </w:r>
      <w:r w:rsidR="0066025F">
        <w:rPr>
          <w:bCs/>
          <w:color w:val="auto"/>
          <w:sz w:val="22"/>
          <w:szCs w:val="22"/>
        </w:rPr>
        <w:t>per the human subjects regulations</w:t>
      </w:r>
      <w:r>
        <w:rPr>
          <w:bCs/>
          <w:color w:val="auto"/>
          <w:sz w:val="22"/>
          <w:szCs w:val="22"/>
        </w:rPr>
        <w:t xml:space="preserve"> that still requires IRB review in order to issue a waiver of HIPAA authorization for the activity. The </w:t>
      </w:r>
      <w:r>
        <w:rPr>
          <w:b/>
          <w:color w:val="auto"/>
          <w:sz w:val="22"/>
          <w:szCs w:val="22"/>
        </w:rPr>
        <w:t xml:space="preserve">SOP HIPAA </w:t>
      </w:r>
      <w:r w:rsidR="00094776">
        <w:rPr>
          <w:bCs/>
          <w:color w:val="auto"/>
          <w:sz w:val="22"/>
          <w:szCs w:val="22"/>
        </w:rPr>
        <w:t xml:space="preserve">provides additional information. </w:t>
      </w:r>
    </w:p>
    <w:p w14:paraId="504A412B" w14:textId="2B1C1ABB" w:rsidR="00645920" w:rsidRDefault="00094776" w:rsidP="001C01CA">
      <w:pPr>
        <w:pStyle w:val="NoSpacing"/>
        <w:spacing w:after="120"/>
        <w:ind w:left="360"/>
        <w:rPr>
          <w:bCs/>
          <w:color w:val="auto"/>
          <w:sz w:val="22"/>
          <w:szCs w:val="22"/>
        </w:rPr>
      </w:pPr>
      <w:r>
        <w:rPr>
          <w:b/>
          <w:color w:val="auto"/>
          <w:sz w:val="22"/>
          <w:szCs w:val="22"/>
        </w:rPr>
        <w:t xml:space="preserve">Decedents. </w:t>
      </w:r>
      <w:r>
        <w:rPr>
          <w:bCs/>
          <w:color w:val="auto"/>
          <w:sz w:val="22"/>
          <w:szCs w:val="22"/>
        </w:rPr>
        <w:t xml:space="preserve">Decedents are not considered “human subjects” by federal human subjects regulations. However, obtaining and using decedent PHI for research is still subject to all HIPAA and WA state regulations. </w:t>
      </w:r>
    </w:p>
    <w:p w14:paraId="09D523A1" w14:textId="7AAFD1AA" w:rsidR="0066025F" w:rsidRPr="0066025F" w:rsidRDefault="0066025F" w:rsidP="001C01CA">
      <w:pPr>
        <w:pStyle w:val="NoSpacing"/>
        <w:numPr>
          <w:ilvl w:val="0"/>
          <w:numId w:val="11"/>
        </w:numPr>
        <w:spacing w:after="60"/>
        <w:ind w:left="900" w:hanging="270"/>
        <w:rPr>
          <w:bCs/>
          <w:i/>
          <w:iCs/>
          <w:color w:val="auto"/>
          <w:sz w:val="22"/>
          <w:szCs w:val="22"/>
        </w:rPr>
      </w:pPr>
      <w:r>
        <w:rPr>
          <w:bCs/>
          <w:color w:val="auto"/>
          <w:sz w:val="22"/>
          <w:szCs w:val="22"/>
        </w:rPr>
        <w:lastRenderedPageBreak/>
        <w:t>HIPAA regulations do not require obtaining an authorization nor an IRB-granted waiver if the requirements listed below are met. WA state law (RCW 70.02) defers to the HIPAA requirements</w:t>
      </w:r>
      <w:r w:rsidR="008C2790">
        <w:rPr>
          <w:bCs/>
          <w:color w:val="auto"/>
          <w:sz w:val="22"/>
          <w:szCs w:val="22"/>
        </w:rPr>
        <w:t>.</w:t>
      </w:r>
    </w:p>
    <w:p w14:paraId="38628720" w14:textId="14E75214" w:rsidR="0066025F" w:rsidRPr="005A0448" w:rsidRDefault="0066025F" w:rsidP="001C01CA">
      <w:pPr>
        <w:pStyle w:val="NoSpacing"/>
        <w:numPr>
          <w:ilvl w:val="1"/>
          <w:numId w:val="11"/>
        </w:numPr>
        <w:spacing w:after="60"/>
        <w:ind w:left="1350" w:hanging="270"/>
        <w:rPr>
          <w:bCs/>
          <w:i/>
          <w:iCs/>
          <w:color w:val="auto"/>
          <w:sz w:val="22"/>
          <w:szCs w:val="22"/>
        </w:rPr>
      </w:pPr>
      <w:r>
        <w:rPr>
          <w:bCs/>
          <w:color w:val="auto"/>
          <w:sz w:val="22"/>
          <w:szCs w:val="22"/>
        </w:rPr>
        <w:t xml:space="preserve">PHI is needed only for research on the PHI of </w:t>
      </w:r>
      <w:proofErr w:type="gramStart"/>
      <w:r>
        <w:rPr>
          <w:bCs/>
          <w:color w:val="auto"/>
          <w:sz w:val="22"/>
          <w:szCs w:val="22"/>
        </w:rPr>
        <w:t>decedents</w:t>
      </w:r>
      <w:r w:rsidR="005A0448">
        <w:rPr>
          <w:bCs/>
          <w:color w:val="auto"/>
          <w:sz w:val="22"/>
          <w:szCs w:val="22"/>
        </w:rPr>
        <w:t>;</w:t>
      </w:r>
      <w:proofErr w:type="gramEnd"/>
    </w:p>
    <w:p w14:paraId="1CE15606" w14:textId="7E657285" w:rsidR="005A0448" w:rsidRPr="005A0448" w:rsidRDefault="005A0448" w:rsidP="001C01CA">
      <w:pPr>
        <w:pStyle w:val="NoSpacing"/>
        <w:numPr>
          <w:ilvl w:val="1"/>
          <w:numId w:val="11"/>
        </w:numPr>
        <w:spacing w:after="60"/>
        <w:ind w:left="1350" w:hanging="270"/>
        <w:rPr>
          <w:bCs/>
          <w:i/>
          <w:iCs/>
          <w:color w:val="auto"/>
          <w:sz w:val="22"/>
          <w:szCs w:val="22"/>
        </w:rPr>
      </w:pPr>
      <w:r>
        <w:rPr>
          <w:bCs/>
          <w:color w:val="auto"/>
          <w:sz w:val="22"/>
          <w:szCs w:val="22"/>
        </w:rPr>
        <w:t xml:space="preserve">The PHI is necessary for the research; and </w:t>
      </w:r>
    </w:p>
    <w:p w14:paraId="4D020609" w14:textId="1C63B7DC" w:rsidR="00645920" w:rsidRDefault="005A0448" w:rsidP="001C01CA">
      <w:pPr>
        <w:pStyle w:val="NoSpacing"/>
        <w:numPr>
          <w:ilvl w:val="1"/>
          <w:numId w:val="11"/>
        </w:numPr>
        <w:spacing w:after="120"/>
        <w:ind w:left="1350" w:hanging="270"/>
        <w:rPr>
          <w:bCs/>
          <w:i/>
          <w:iCs/>
          <w:color w:val="auto"/>
          <w:sz w:val="22"/>
          <w:szCs w:val="22"/>
        </w:rPr>
      </w:pPr>
      <w:r>
        <w:rPr>
          <w:bCs/>
          <w:color w:val="auto"/>
          <w:sz w:val="22"/>
          <w:szCs w:val="22"/>
        </w:rPr>
        <w:t>(Upon request) The research will provide documentation of the death of the individuals.</w:t>
      </w:r>
    </w:p>
    <w:p w14:paraId="362FA98F" w14:textId="2141EE48" w:rsidR="005A0448" w:rsidRPr="005A0448" w:rsidRDefault="005A0448" w:rsidP="001C01CA">
      <w:pPr>
        <w:pStyle w:val="NoSpacing"/>
        <w:numPr>
          <w:ilvl w:val="0"/>
          <w:numId w:val="11"/>
        </w:numPr>
        <w:ind w:left="900" w:hanging="270"/>
        <w:rPr>
          <w:bCs/>
          <w:color w:val="auto"/>
          <w:sz w:val="22"/>
          <w:szCs w:val="22"/>
        </w:rPr>
      </w:pPr>
      <w:r w:rsidRPr="00537F86">
        <w:rPr>
          <w:b/>
          <w:color w:val="auto"/>
          <w:sz w:val="22"/>
          <w:szCs w:val="22"/>
        </w:rPr>
        <w:t>Implication.</w:t>
      </w:r>
      <w:r>
        <w:rPr>
          <w:bCs/>
          <w:i/>
          <w:iCs/>
          <w:color w:val="auto"/>
          <w:sz w:val="22"/>
          <w:szCs w:val="22"/>
        </w:rPr>
        <w:t xml:space="preserve"> </w:t>
      </w:r>
      <w:r>
        <w:rPr>
          <w:bCs/>
          <w:color w:val="auto"/>
          <w:sz w:val="22"/>
          <w:szCs w:val="22"/>
        </w:rPr>
        <w:t xml:space="preserve">This means that when HSD determines that a research activity involving decedent PHI is “not human subjects research” there is no need to grant a waiver of HIPAA authorization or, if the PHI is in WA state, a waiver of RCW 70.02. </w:t>
      </w:r>
    </w:p>
    <w:p w14:paraId="5D5A9E5A" w14:textId="77777777" w:rsidR="005A0448" w:rsidRDefault="005A0448" w:rsidP="001C01CA">
      <w:pPr>
        <w:pStyle w:val="NoSpacing"/>
        <w:ind w:left="360" w:hanging="360"/>
        <w:rPr>
          <w:b/>
          <w:color w:val="auto"/>
          <w:sz w:val="22"/>
          <w:szCs w:val="22"/>
        </w:rPr>
      </w:pPr>
    </w:p>
    <w:p w14:paraId="346885EC" w14:textId="1EE91FCD" w:rsidR="00903915" w:rsidRDefault="00903915" w:rsidP="00492D3C">
      <w:pPr>
        <w:pStyle w:val="NoSpacing"/>
        <w:ind w:left="360" w:hanging="360"/>
        <w:outlineLvl w:val="0"/>
        <w:rPr>
          <w:b/>
          <w:color w:val="auto"/>
          <w:sz w:val="22"/>
          <w:szCs w:val="22"/>
        </w:rPr>
      </w:pPr>
      <w:r>
        <w:rPr>
          <w:b/>
          <w:color w:val="auto"/>
          <w:sz w:val="22"/>
          <w:szCs w:val="22"/>
        </w:rPr>
        <w:t>8</w:t>
      </w:r>
      <w:r>
        <w:rPr>
          <w:b/>
          <w:color w:val="auto"/>
          <w:sz w:val="22"/>
          <w:szCs w:val="22"/>
        </w:rPr>
        <w:tab/>
        <w:t xml:space="preserve">HIPAA AUTHORIZATION </w:t>
      </w:r>
    </w:p>
    <w:p w14:paraId="724BDDD4" w14:textId="77777777" w:rsidR="00903915" w:rsidRDefault="00903915" w:rsidP="001C01CA">
      <w:pPr>
        <w:pStyle w:val="NoSpacing"/>
        <w:ind w:left="360" w:hanging="360"/>
        <w:rPr>
          <w:b/>
          <w:color w:val="auto"/>
          <w:sz w:val="22"/>
          <w:szCs w:val="22"/>
        </w:rPr>
      </w:pPr>
    </w:p>
    <w:p w14:paraId="60B68242" w14:textId="1EDF981C" w:rsidR="00EF4720" w:rsidRDefault="00EF4720" w:rsidP="001C01CA">
      <w:pPr>
        <w:pStyle w:val="NoSpacing"/>
        <w:spacing w:after="120"/>
        <w:ind w:left="360"/>
        <w:rPr>
          <w:bCs/>
          <w:color w:val="auto"/>
          <w:sz w:val="22"/>
          <w:szCs w:val="22"/>
        </w:rPr>
      </w:pPr>
      <w:r>
        <w:rPr>
          <w:b/>
          <w:color w:val="auto"/>
          <w:sz w:val="22"/>
          <w:szCs w:val="22"/>
        </w:rPr>
        <w:t xml:space="preserve">Required authorization elements and process. </w:t>
      </w:r>
      <w:r>
        <w:rPr>
          <w:bCs/>
          <w:color w:val="auto"/>
          <w:sz w:val="22"/>
          <w:szCs w:val="22"/>
        </w:rPr>
        <w:t xml:space="preserve">UW Medicine </w:t>
      </w:r>
      <w:hyperlink r:id="rId20" w:history="1">
        <w:r w:rsidRPr="00EF4720">
          <w:rPr>
            <w:rStyle w:val="Hyperlink"/>
            <w:bCs/>
            <w:sz w:val="22"/>
            <w:szCs w:val="22"/>
          </w:rPr>
          <w:t>COMP.103</w:t>
        </w:r>
      </w:hyperlink>
      <w:r>
        <w:rPr>
          <w:bCs/>
          <w:color w:val="auto"/>
          <w:sz w:val="22"/>
          <w:szCs w:val="22"/>
        </w:rPr>
        <w:t xml:space="preserve"> summarizes the authorization elements and process that are required to comply with HIPAA and WA state law.</w:t>
      </w:r>
    </w:p>
    <w:p w14:paraId="727FD6F4" w14:textId="3C3DB6C7" w:rsidR="00EF4720" w:rsidRDefault="00EF4720" w:rsidP="001C01CA">
      <w:pPr>
        <w:pStyle w:val="NoSpacing"/>
        <w:spacing w:after="120"/>
        <w:ind w:left="360"/>
        <w:rPr>
          <w:bCs/>
          <w:color w:val="auto"/>
          <w:sz w:val="22"/>
          <w:szCs w:val="22"/>
        </w:rPr>
      </w:pPr>
      <w:r>
        <w:rPr>
          <w:b/>
          <w:color w:val="auto"/>
          <w:sz w:val="22"/>
          <w:szCs w:val="22"/>
        </w:rPr>
        <w:t xml:space="preserve">Authorization templates. </w:t>
      </w:r>
      <w:r>
        <w:rPr>
          <w:bCs/>
          <w:color w:val="auto"/>
          <w:sz w:val="22"/>
          <w:szCs w:val="22"/>
        </w:rPr>
        <w:t>Per agreement with UW Medicine, HSD maintains two HIPAA authorization templates on the HSD website</w:t>
      </w:r>
      <w:r w:rsidR="008C2790">
        <w:rPr>
          <w:bCs/>
          <w:color w:val="auto"/>
          <w:sz w:val="22"/>
          <w:szCs w:val="22"/>
        </w:rPr>
        <w:t>,</w:t>
      </w:r>
      <w:r>
        <w:rPr>
          <w:bCs/>
          <w:color w:val="auto"/>
          <w:sz w:val="22"/>
          <w:szCs w:val="22"/>
        </w:rPr>
        <w:t xml:space="preserve"> </w:t>
      </w:r>
      <w:r>
        <w:rPr>
          <w:b/>
          <w:color w:val="auto"/>
          <w:sz w:val="22"/>
          <w:szCs w:val="22"/>
        </w:rPr>
        <w:t xml:space="preserve">HIPAA Authorization template </w:t>
      </w:r>
      <w:r>
        <w:rPr>
          <w:bCs/>
          <w:color w:val="auto"/>
          <w:sz w:val="22"/>
          <w:szCs w:val="22"/>
        </w:rPr>
        <w:t xml:space="preserve">and </w:t>
      </w:r>
      <w:r>
        <w:rPr>
          <w:b/>
          <w:color w:val="auto"/>
          <w:sz w:val="22"/>
          <w:szCs w:val="22"/>
        </w:rPr>
        <w:t>HIPAA Authorization, Pregnant Partner template</w:t>
      </w:r>
      <w:r>
        <w:rPr>
          <w:bCs/>
          <w:color w:val="auto"/>
          <w:sz w:val="22"/>
          <w:szCs w:val="22"/>
        </w:rPr>
        <w:t>. These have been vetted and approved by UW Medicine.</w:t>
      </w:r>
    </w:p>
    <w:p w14:paraId="75E368EB" w14:textId="3B7B0369" w:rsidR="00EF4720" w:rsidRDefault="009727DD" w:rsidP="001C01CA">
      <w:pPr>
        <w:pStyle w:val="NoSpacing"/>
        <w:numPr>
          <w:ilvl w:val="0"/>
          <w:numId w:val="12"/>
        </w:numPr>
        <w:spacing w:after="120"/>
        <w:ind w:left="900" w:hanging="270"/>
        <w:rPr>
          <w:bCs/>
          <w:color w:val="auto"/>
          <w:sz w:val="22"/>
          <w:szCs w:val="22"/>
        </w:rPr>
      </w:pPr>
      <w:r>
        <w:rPr>
          <w:bCs/>
          <w:color w:val="auto"/>
          <w:sz w:val="22"/>
          <w:szCs w:val="22"/>
        </w:rPr>
        <w:t>The templates include specific elements required by WA State law, as well as HIPAA, and therefore should not be revised by researchers. WA State law requires that subjects provide explicit approval for release of health care records related to:</w:t>
      </w:r>
    </w:p>
    <w:p w14:paraId="714EB5F2" w14:textId="7A459189" w:rsidR="009727DD" w:rsidRDefault="009727DD" w:rsidP="001C01CA">
      <w:pPr>
        <w:pStyle w:val="NoSpacing"/>
        <w:numPr>
          <w:ilvl w:val="1"/>
          <w:numId w:val="12"/>
        </w:numPr>
        <w:spacing w:after="120"/>
        <w:ind w:left="1350" w:hanging="270"/>
        <w:rPr>
          <w:bCs/>
          <w:color w:val="auto"/>
          <w:sz w:val="22"/>
          <w:szCs w:val="22"/>
        </w:rPr>
      </w:pPr>
      <w:r>
        <w:rPr>
          <w:bCs/>
          <w:color w:val="auto"/>
          <w:sz w:val="22"/>
          <w:szCs w:val="22"/>
        </w:rPr>
        <w:t>Sexually transmitted diseases</w:t>
      </w:r>
    </w:p>
    <w:p w14:paraId="7CB41F2A" w14:textId="34FFB70E" w:rsidR="009727DD" w:rsidRDefault="009727DD" w:rsidP="001C01CA">
      <w:pPr>
        <w:pStyle w:val="NoSpacing"/>
        <w:numPr>
          <w:ilvl w:val="1"/>
          <w:numId w:val="12"/>
        </w:numPr>
        <w:spacing w:after="120"/>
        <w:ind w:left="1350" w:hanging="270"/>
        <w:rPr>
          <w:bCs/>
          <w:color w:val="auto"/>
          <w:sz w:val="22"/>
          <w:szCs w:val="22"/>
        </w:rPr>
      </w:pPr>
      <w:r>
        <w:rPr>
          <w:bCs/>
          <w:color w:val="auto"/>
          <w:sz w:val="22"/>
          <w:szCs w:val="22"/>
        </w:rPr>
        <w:t>Behavioral or mental health services</w:t>
      </w:r>
    </w:p>
    <w:p w14:paraId="163E1C5A" w14:textId="5440356D" w:rsidR="009727DD" w:rsidRDefault="009727DD" w:rsidP="001C01CA">
      <w:pPr>
        <w:pStyle w:val="NoSpacing"/>
        <w:numPr>
          <w:ilvl w:val="1"/>
          <w:numId w:val="12"/>
        </w:numPr>
        <w:spacing w:after="120"/>
        <w:ind w:left="1350" w:hanging="270"/>
        <w:rPr>
          <w:bCs/>
          <w:color w:val="auto"/>
          <w:sz w:val="22"/>
          <w:szCs w:val="22"/>
        </w:rPr>
      </w:pPr>
      <w:r>
        <w:rPr>
          <w:bCs/>
          <w:color w:val="auto"/>
          <w:sz w:val="22"/>
          <w:szCs w:val="22"/>
        </w:rPr>
        <w:t>Alcohol and drug abuse</w:t>
      </w:r>
    </w:p>
    <w:p w14:paraId="663B9C51" w14:textId="0893C624" w:rsidR="009727DD" w:rsidRDefault="00F27983" w:rsidP="001C01CA">
      <w:pPr>
        <w:pStyle w:val="NoSpacing"/>
        <w:numPr>
          <w:ilvl w:val="0"/>
          <w:numId w:val="12"/>
        </w:numPr>
        <w:spacing w:after="120"/>
        <w:ind w:left="900" w:hanging="270"/>
        <w:rPr>
          <w:bCs/>
          <w:color w:val="auto"/>
          <w:sz w:val="22"/>
          <w:szCs w:val="22"/>
        </w:rPr>
      </w:pPr>
      <w:r>
        <w:rPr>
          <w:bCs/>
          <w:color w:val="auto"/>
          <w:sz w:val="22"/>
          <w:szCs w:val="22"/>
        </w:rPr>
        <w:t xml:space="preserve">These HIPAA Authorization Templates are intended to be </w:t>
      </w:r>
      <w:r w:rsidR="008B142D">
        <w:rPr>
          <w:bCs/>
          <w:color w:val="auto"/>
          <w:sz w:val="22"/>
          <w:szCs w:val="22"/>
        </w:rPr>
        <w:t xml:space="preserve">used as </w:t>
      </w:r>
      <w:r>
        <w:rPr>
          <w:bCs/>
          <w:color w:val="auto"/>
          <w:sz w:val="22"/>
          <w:szCs w:val="22"/>
        </w:rPr>
        <w:t>standalone forms.</w:t>
      </w:r>
      <w:r w:rsidR="004A1F3B">
        <w:rPr>
          <w:bCs/>
          <w:color w:val="auto"/>
          <w:sz w:val="22"/>
          <w:szCs w:val="22"/>
        </w:rPr>
        <w:t xml:space="preserve"> </w:t>
      </w:r>
      <w:r w:rsidR="004A1F3B" w:rsidRPr="004A1F3B">
        <w:rPr>
          <w:bCs/>
          <w:color w:val="auto"/>
          <w:sz w:val="22"/>
          <w:szCs w:val="22"/>
        </w:rPr>
        <w:t>HIPAA language included in the research consent form may not be used to obtain authorization for UW Medicine</w:t>
      </w:r>
      <w:r w:rsidR="004A1F3B" w:rsidRPr="004A1F3B">
        <w:rPr>
          <w:b/>
          <w:bCs/>
          <w:color w:val="auto"/>
          <w:sz w:val="22"/>
          <w:szCs w:val="22"/>
        </w:rPr>
        <w:t>.</w:t>
      </w:r>
      <w:r>
        <w:rPr>
          <w:bCs/>
          <w:color w:val="auto"/>
          <w:sz w:val="22"/>
          <w:szCs w:val="22"/>
        </w:rPr>
        <w:t xml:space="preserve"> </w:t>
      </w:r>
    </w:p>
    <w:p w14:paraId="49E4C745" w14:textId="4B46583B" w:rsidR="009727DD" w:rsidRDefault="008250AD" w:rsidP="001C01CA">
      <w:pPr>
        <w:pStyle w:val="NoSpacing"/>
        <w:numPr>
          <w:ilvl w:val="0"/>
          <w:numId w:val="12"/>
        </w:numPr>
        <w:spacing w:after="120"/>
        <w:ind w:left="900" w:hanging="270"/>
        <w:rPr>
          <w:bCs/>
          <w:color w:val="auto"/>
          <w:sz w:val="22"/>
          <w:szCs w:val="22"/>
        </w:rPr>
      </w:pPr>
      <w:r>
        <w:rPr>
          <w:bCs/>
          <w:color w:val="auto"/>
          <w:sz w:val="22"/>
          <w:szCs w:val="22"/>
        </w:rPr>
        <w:t>Though these templates should be acceptable to any covered entity, researchers should be aware that other covered entities may have their own required policies and templates.</w:t>
      </w:r>
    </w:p>
    <w:p w14:paraId="5C4F0A24" w14:textId="4E2A95C4" w:rsidR="008250AD" w:rsidRDefault="008250AD" w:rsidP="001C01CA">
      <w:pPr>
        <w:pStyle w:val="NoSpacing"/>
        <w:spacing w:after="120"/>
        <w:ind w:left="360"/>
        <w:rPr>
          <w:bCs/>
          <w:color w:val="auto"/>
          <w:sz w:val="22"/>
          <w:szCs w:val="22"/>
        </w:rPr>
      </w:pPr>
      <w:r>
        <w:rPr>
          <w:b/>
          <w:color w:val="auto"/>
          <w:sz w:val="22"/>
          <w:szCs w:val="22"/>
        </w:rPr>
        <w:t xml:space="preserve">Compound and “blanket” authorizations. </w:t>
      </w:r>
      <w:r>
        <w:rPr>
          <w:bCs/>
          <w:color w:val="auto"/>
          <w:sz w:val="22"/>
          <w:szCs w:val="22"/>
        </w:rPr>
        <w:t xml:space="preserve">A single authorization form may be used to obtain authorization for more than one study. Review </w:t>
      </w:r>
      <w:hyperlink r:id="rId21" w:history="1">
        <w:r w:rsidRPr="008250AD">
          <w:rPr>
            <w:rStyle w:val="Hyperlink"/>
            <w:bCs/>
            <w:sz w:val="22"/>
            <w:szCs w:val="22"/>
          </w:rPr>
          <w:t>COMP.103</w:t>
        </w:r>
      </w:hyperlink>
      <w:r>
        <w:rPr>
          <w:bCs/>
          <w:color w:val="auto"/>
          <w:sz w:val="22"/>
          <w:szCs w:val="22"/>
        </w:rPr>
        <w:t xml:space="preserve"> for more information.</w:t>
      </w:r>
    </w:p>
    <w:p w14:paraId="475402A1" w14:textId="769D0B39" w:rsidR="008250AD" w:rsidRDefault="008250AD" w:rsidP="001C01CA">
      <w:pPr>
        <w:pStyle w:val="NoSpacing"/>
        <w:spacing w:after="120"/>
        <w:ind w:left="360"/>
        <w:rPr>
          <w:bCs/>
          <w:color w:val="auto"/>
          <w:sz w:val="22"/>
          <w:szCs w:val="22"/>
        </w:rPr>
      </w:pPr>
      <w:r>
        <w:rPr>
          <w:b/>
          <w:color w:val="auto"/>
          <w:sz w:val="22"/>
          <w:szCs w:val="22"/>
        </w:rPr>
        <w:t>A</w:t>
      </w:r>
      <w:bookmarkStart w:id="0" w:name="hipaaconsent"/>
      <w:bookmarkEnd w:id="0"/>
      <w:r>
        <w:rPr>
          <w:b/>
          <w:color w:val="auto"/>
          <w:sz w:val="22"/>
          <w:szCs w:val="22"/>
        </w:rPr>
        <w:t>uthorization forms and consent forms.</w:t>
      </w:r>
      <w:r>
        <w:rPr>
          <w:bCs/>
          <w:color w:val="auto"/>
          <w:sz w:val="22"/>
          <w:szCs w:val="22"/>
        </w:rPr>
        <w:t xml:space="preserve"> UW IRB policy does not allow HIPAA authorization to be combined with a consent form for UW PHI or for PHI from a non-UW institution when the other institution is not relying on the UW IRB’s review. For non-UW institutions relying on the UW IRB, authorization language may be combined with a consent form if that language is provided by the non-UW institution along with written attestation that the language has been reviewed and complies with all applicable HIPAA Privacy Rule requirements. Neither HSD nor the UW IRB will review the language for compliance with the HIPAA Privacy Rule. The non-UW institution is solely responsible for ensuring that the language meets all requirements. If the non-UW institution does not have its own authorization language, researchers will be instructed to use the UW templates. </w:t>
      </w:r>
    </w:p>
    <w:p w14:paraId="2ADD5AC3" w14:textId="6136A88B" w:rsidR="00193D04" w:rsidRDefault="00193D04" w:rsidP="001C01CA">
      <w:pPr>
        <w:pStyle w:val="NoSpacing"/>
        <w:spacing w:after="120"/>
        <w:ind w:left="360"/>
        <w:rPr>
          <w:bCs/>
          <w:color w:val="auto"/>
          <w:sz w:val="22"/>
          <w:szCs w:val="22"/>
        </w:rPr>
      </w:pPr>
      <w:r>
        <w:rPr>
          <w:b/>
          <w:color w:val="auto"/>
          <w:sz w:val="22"/>
          <w:szCs w:val="22"/>
        </w:rPr>
        <w:t>Electronic authorization.</w:t>
      </w:r>
      <w:r>
        <w:rPr>
          <w:bCs/>
          <w:color w:val="auto"/>
          <w:sz w:val="22"/>
          <w:szCs w:val="22"/>
        </w:rPr>
        <w:t xml:space="preserve"> </w:t>
      </w:r>
      <w:r w:rsidR="002C435B">
        <w:rPr>
          <w:bCs/>
          <w:color w:val="auto"/>
          <w:sz w:val="22"/>
          <w:szCs w:val="22"/>
        </w:rPr>
        <w:t>Use of</w:t>
      </w:r>
      <w:r>
        <w:rPr>
          <w:bCs/>
          <w:color w:val="auto"/>
          <w:sz w:val="22"/>
          <w:szCs w:val="22"/>
        </w:rPr>
        <w:t xml:space="preserve"> electronic signatures </w:t>
      </w:r>
      <w:r w:rsidR="00AB1A1D">
        <w:rPr>
          <w:bCs/>
          <w:color w:val="auto"/>
          <w:sz w:val="22"/>
          <w:szCs w:val="22"/>
        </w:rPr>
        <w:t xml:space="preserve">to obtain a HIPAA authorization </w:t>
      </w:r>
      <w:r w:rsidR="00FE2926">
        <w:rPr>
          <w:bCs/>
          <w:color w:val="auto"/>
          <w:sz w:val="22"/>
          <w:szCs w:val="22"/>
        </w:rPr>
        <w:t xml:space="preserve">to access UW PHI </w:t>
      </w:r>
      <w:r w:rsidR="00AB1A1D">
        <w:rPr>
          <w:bCs/>
          <w:color w:val="auto"/>
          <w:sz w:val="22"/>
          <w:szCs w:val="22"/>
        </w:rPr>
        <w:t>for research purposes is permitted</w:t>
      </w:r>
      <w:r w:rsidR="00FE2926">
        <w:rPr>
          <w:bCs/>
          <w:color w:val="auto"/>
          <w:sz w:val="22"/>
          <w:szCs w:val="22"/>
        </w:rPr>
        <w:t xml:space="preserve"> using any of the </w:t>
      </w:r>
      <w:hyperlink r:id="rId22" w:anchor="10e" w:history="1">
        <w:r w:rsidR="00FE2926" w:rsidRPr="00FE2926">
          <w:rPr>
            <w:rStyle w:val="Hyperlink"/>
            <w:bCs/>
            <w:sz w:val="22"/>
            <w:szCs w:val="22"/>
          </w:rPr>
          <w:t>approvable methods for obtaining electronic signatures</w:t>
        </w:r>
      </w:hyperlink>
      <w:r w:rsidR="00FE2926">
        <w:rPr>
          <w:bCs/>
          <w:color w:val="auto"/>
          <w:sz w:val="22"/>
          <w:szCs w:val="22"/>
        </w:rPr>
        <w:t xml:space="preserve"> outlined in HSD’s </w:t>
      </w:r>
      <w:hyperlink r:id="rId23" w:history="1">
        <w:r w:rsidR="00FE2926" w:rsidRPr="00FE2926">
          <w:rPr>
            <w:rStyle w:val="Hyperlink"/>
            <w:bCs/>
            <w:sz w:val="22"/>
            <w:szCs w:val="22"/>
          </w:rPr>
          <w:t>Consent Guidance</w:t>
        </w:r>
      </w:hyperlink>
      <w:r w:rsidR="002A0F8D">
        <w:rPr>
          <w:bCs/>
          <w:color w:val="auto"/>
          <w:sz w:val="22"/>
          <w:szCs w:val="22"/>
        </w:rPr>
        <w:t xml:space="preserve">. </w:t>
      </w:r>
      <w:r>
        <w:rPr>
          <w:bCs/>
          <w:color w:val="auto"/>
          <w:sz w:val="22"/>
          <w:szCs w:val="22"/>
        </w:rPr>
        <w:t xml:space="preserve">For authorization to obtain/access PHI at any other HIPAA-covered institution, consult that institution’s privacy and/or health records information office.  </w:t>
      </w:r>
    </w:p>
    <w:p w14:paraId="4F2DFC2C" w14:textId="7D321B3D" w:rsidR="00193D04" w:rsidRDefault="00193D04" w:rsidP="001C01CA">
      <w:pPr>
        <w:pStyle w:val="NoSpacing"/>
        <w:numPr>
          <w:ilvl w:val="0"/>
          <w:numId w:val="14"/>
        </w:numPr>
        <w:spacing w:after="120"/>
        <w:ind w:left="900" w:hanging="180"/>
        <w:rPr>
          <w:bCs/>
          <w:color w:val="auto"/>
          <w:sz w:val="22"/>
          <w:szCs w:val="22"/>
        </w:rPr>
      </w:pPr>
      <w:r>
        <w:rPr>
          <w:b/>
          <w:color w:val="auto"/>
          <w:sz w:val="22"/>
          <w:szCs w:val="22"/>
        </w:rPr>
        <w:lastRenderedPageBreak/>
        <w:t xml:space="preserve">UW studies reviewed by an external IRB. </w:t>
      </w:r>
      <w:r>
        <w:rPr>
          <w:bCs/>
          <w:color w:val="auto"/>
          <w:sz w:val="22"/>
          <w:szCs w:val="22"/>
        </w:rPr>
        <w:t xml:space="preserve">The use of an electronic signature system must be approved by the external IRB. In addition, HSD must sign-off in advance. </w:t>
      </w:r>
    </w:p>
    <w:p w14:paraId="44A1B93C" w14:textId="4CC06F72" w:rsidR="00193D04" w:rsidRDefault="00193D04" w:rsidP="001C01CA">
      <w:pPr>
        <w:pStyle w:val="NoSpacing"/>
        <w:numPr>
          <w:ilvl w:val="0"/>
          <w:numId w:val="14"/>
        </w:numPr>
        <w:spacing w:after="120"/>
        <w:ind w:left="900" w:hanging="180"/>
        <w:rPr>
          <w:bCs/>
          <w:color w:val="auto"/>
          <w:sz w:val="22"/>
          <w:szCs w:val="22"/>
        </w:rPr>
      </w:pPr>
      <w:r>
        <w:rPr>
          <w:bCs/>
          <w:color w:val="auto"/>
          <w:sz w:val="22"/>
          <w:szCs w:val="22"/>
        </w:rPr>
        <w:t xml:space="preserve">Review HSD’s guidance on </w:t>
      </w:r>
      <w:hyperlink r:id="rId24" w:anchor="10" w:history="1">
        <w:r w:rsidRPr="00A70B3F">
          <w:rPr>
            <w:rStyle w:val="Hyperlink"/>
            <w:bCs/>
            <w:sz w:val="22"/>
            <w:szCs w:val="22"/>
          </w:rPr>
          <w:t>Documentation of Consent</w:t>
        </w:r>
      </w:hyperlink>
      <w:r>
        <w:rPr>
          <w:bCs/>
          <w:color w:val="auto"/>
          <w:sz w:val="22"/>
          <w:szCs w:val="22"/>
        </w:rPr>
        <w:t xml:space="preserve"> </w:t>
      </w:r>
      <w:r w:rsidR="00A70B3F">
        <w:rPr>
          <w:bCs/>
          <w:color w:val="auto"/>
          <w:sz w:val="22"/>
          <w:szCs w:val="22"/>
        </w:rPr>
        <w:t xml:space="preserve">and </w:t>
      </w:r>
      <w:r w:rsidR="00FF6B06">
        <w:rPr>
          <w:b/>
          <w:color w:val="auto"/>
          <w:sz w:val="22"/>
          <w:szCs w:val="22"/>
        </w:rPr>
        <w:t>WORKSHEET</w:t>
      </w:r>
      <w:r w:rsidR="00A70B3F">
        <w:rPr>
          <w:bCs/>
          <w:color w:val="auto"/>
          <w:sz w:val="22"/>
          <w:szCs w:val="22"/>
        </w:rPr>
        <w:t xml:space="preserve"> </w:t>
      </w:r>
      <w:r w:rsidR="00A70B3F" w:rsidRPr="00FF6B06">
        <w:rPr>
          <w:b/>
          <w:color w:val="auto"/>
          <w:sz w:val="22"/>
          <w:szCs w:val="22"/>
        </w:rPr>
        <w:t>Consent Requirements and Waivers</w:t>
      </w:r>
      <w:r w:rsidR="00A70B3F">
        <w:rPr>
          <w:bCs/>
          <w:color w:val="auto"/>
          <w:sz w:val="22"/>
          <w:szCs w:val="22"/>
        </w:rPr>
        <w:t xml:space="preserve"> for a description of requirements and conditions that must be met for any use of e-signatures (including HIPAA authorizations).</w:t>
      </w:r>
    </w:p>
    <w:p w14:paraId="70699238" w14:textId="2B9B9EE9" w:rsidR="008D57C9" w:rsidRDefault="008D57C9" w:rsidP="001C01CA">
      <w:pPr>
        <w:pStyle w:val="NoSpacing"/>
        <w:spacing w:after="120"/>
        <w:ind w:left="360"/>
        <w:rPr>
          <w:bCs/>
          <w:color w:val="auto"/>
          <w:sz w:val="22"/>
          <w:szCs w:val="22"/>
        </w:rPr>
      </w:pPr>
      <w:r>
        <w:rPr>
          <w:b/>
          <w:color w:val="auto"/>
          <w:sz w:val="22"/>
          <w:szCs w:val="22"/>
        </w:rPr>
        <w:t xml:space="preserve">HSD and IRB responsibilities concerning authorization forms. </w:t>
      </w:r>
      <w:r>
        <w:rPr>
          <w:bCs/>
          <w:color w:val="auto"/>
          <w:sz w:val="22"/>
          <w:szCs w:val="22"/>
        </w:rPr>
        <w:t>H</w:t>
      </w:r>
      <w:r w:rsidR="00A740D2">
        <w:rPr>
          <w:bCs/>
          <w:color w:val="auto"/>
          <w:sz w:val="22"/>
          <w:szCs w:val="22"/>
        </w:rPr>
        <w:t>S</w:t>
      </w:r>
      <w:r>
        <w:rPr>
          <w:bCs/>
          <w:color w:val="auto"/>
          <w:sz w:val="22"/>
          <w:szCs w:val="22"/>
        </w:rPr>
        <w:t>D and the IRB have no responsibilities concerning authorization forms or language except to:</w:t>
      </w:r>
    </w:p>
    <w:p w14:paraId="20CA750F" w14:textId="48FAE60A" w:rsidR="008D57C9" w:rsidRDefault="008D57C9" w:rsidP="001C01CA">
      <w:pPr>
        <w:pStyle w:val="NoSpacing"/>
        <w:numPr>
          <w:ilvl w:val="0"/>
          <w:numId w:val="15"/>
        </w:numPr>
        <w:spacing w:after="120"/>
        <w:ind w:left="900" w:hanging="180"/>
        <w:rPr>
          <w:bCs/>
          <w:color w:val="auto"/>
          <w:sz w:val="22"/>
          <w:szCs w:val="22"/>
        </w:rPr>
      </w:pPr>
      <w:r>
        <w:rPr>
          <w:b/>
          <w:color w:val="auto"/>
          <w:sz w:val="22"/>
          <w:szCs w:val="22"/>
        </w:rPr>
        <w:t xml:space="preserve">Obtain assurance </w:t>
      </w:r>
      <w:r>
        <w:rPr>
          <w:bCs/>
          <w:color w:val="auto"/>
          <w:sz w:val="22"/>
          <w:szCs w:val="22"/>
        </w:rPr>
        <w:t xml:space="preserve">in the IRB Protocol </w:t>
      </w:r>
      <w:r w:rsidRPr="008D57C9">
        <w:rPr>
          <w:bCs/>
          <w:color w:val="auto"/>
          <w:sz w:val="22"/>
          <w:szCs w:val="22"/>
        </w:rPr>
        <w:t>that researchers who obtain UW PHI will use the current UW Medicine template</w:t>
      </w:r>
      <w:r>
        <w:rPr>
          <w:bCs/>
          <w:color w:val="auto"/>
          <w:sz w:val="22"/>
          <w:szCs w:val="22"/>
        </w:rPr>
        <w:t xml:space="preserve"> as maintained on the HSD website.</w:t>
      </w:r>
    </w:p>
    <w:p w14:paraId="351E0A32" w14:textId="4B683D92" w:rsidR="008D57C9" w:rsidRDefault="008D57C9" w:rsidP="001C01CA">
      <w:pPr>
        <w:pStyle w:val="NoSpacing"/>
        <w:numPr>
          <w:ilvl w:val="0"/>
          <w:numId w:val="15"/>
        </w:numPr>
        <w:spacing w:after="120"/>
        <w:ind w:left="900" w:hanging="180"/>
        <w:rPr>
          <w:bCs/>
          <w:color w:val="auto"/>
          <w:sz w:val="22"/>
          <w:szCs w:val="22"/>
        </w:rPr>
      </w:pPr>
      <w:r>
        <w:rPr>
          <w:b/>
          <w:color w:val="auto"/>
          <w:sz w:val="22"/>
          <w:szCs w:val="22"/>
        </w:rPr>
        <w:t xml:space="preserve">Ensure </w:t>
      </w:r>
      <w:r w:rsidR="000C0E4B">
        <w:rPr>
          <w:b/>
          <w:color w:val="auto"/>
          <w:sz w:val="22"/>
          <w:szCs w:val="22"/>
        </w:rPr>
        <w:t>that</w:t>
      </w:r>
      <w:r>
        <w:rPr>
          <w:b/>
          <w:color w:val="auto"/>
          <w:sz w:val="22"/>
          <w:szCs w:val="22"/>
        </w:rPr>
        <w:t xml:space="preserve"> HIPAA language in the consent form</w:t>
      </w:r>
      <w:r w:rsidR="000C0E4B">
        <w:rPr>
          <w:b/>
          <w:color w:val="auto"/>
          <w:sz w:val="22"/>
          <w:szCs w:val="22"/>
        </w:rPr>
        <w:t xml:space="preserve"> is not used for authorization</w:t>
      </w:r>
      <w:r>
        <w:rPr>
          <w:bCs/>
          <w:color w:val="auto"/>
          <w:sz w:val="22"/>
          <w:szCs w:val="22"/>
        </w:rPr>
        <w:t xml:space="preserve"> unless it is for a non-UW institution as described above</w:t>
      </w:r>
      <w:r w:rsidR="00A740D2">
        <w:rPr>
          <w:bCs/>
          <w:color w:val="auto"/>
          <w:sz w:val="22"/>
          <w:szCs w:val="22"/>
        </w:rPr>
        <w:t xml:space="preserve"> under the </w:t>
      </w:r>
      <w:r w:rsidR="00176F14">
        <w:rPr>
          <w:bCs/>
          <w:color w:val="auto"/>
          <w:sz w:val="22"/>
          <w:szCs w:val="22"/>
        </w:rPr>
        <w:t>section of this guidance titled</w:t>
      </w:r>
      <w:r w:rsidR="00A740D2">
        <w:rPr>
          <w:bCs/>
          <w:color w:val="auto"/>
          <w:sz w:val="22"/>
          <w:szCs w:val="22"/>
        </w:rPr>
        <w:t xml:space="preserve">, </w:t>
      </w:r>
      <w:hyperlink w:anchor="hipaaconsent" w:history="1">
        <w:r w:rsidR="00A740D2" w:rsidRPr="00A740D2">
          <w:rPr>
            <w:rStyle w:val="Hyperlink"/>
            <w:bCs/>
            <w:sz w:val="22"/>
            <w:szCs w:val="22"/>
          </w:rPr>
          <w:t>Authorization forms and consent forms</w:t>
        </w:r>
        <w:r w:rsidRPr="00A740D2">
          <w:rPr>
            <w:rStyle w:val="Hyperlink"/>
            <w:bCs/>
            <w:color w:val="auto"/>
            <w:sz w:val="22"/>
            <w:szCs w:val="22"/>
            <w:u w:val="none"/>
          </w:rPr>
          <w:t>.</w:t>
        </w:r>
      </w:hyperlink>
    </w:p>
    <w:p w14:paraId="130A6F83" w14:textId="08ECD55C" w:rsidR="008D57C9" w:rsidRDefault="008D57C9" w:rsidP="001C01CA">
      <w:pPr>
        <w:pStyle w:val="NoSpacing"/>
        <w:spacing w:after="120"/>
        <w:ind w:left="360"/>
        <w:rPr>
          <w:bCs/>
          <w:color w:val="auto"/>
          <w:sz w:val="22"/>
          <w:szCs w:val="22"/>
        </w:rPr>
      </w:pPr>
      <w:r>
        <w:rPr>
          <w:b/>
          <w:color w:val="auto"/>
          <w:sz w:val="22"/>
          <w:szCs w:val="22"/>
        </w:rPr>
        <w:t xml:space="preserve">Written authorization is required. </w:t>
      </w:r>
      <w:r>
        <w:rPr>
          <w:bCs/>
          <w:color w:val="auto"/>
          <w:sz w:val="22"/>
          <w:szCs w:val="22"/>
        </w:rPr>
        <w:t xml:space="preserve">When legally competent </w:t>
      </w:r>
      <w:r w:rsidR="00494460">
        <w:rPr>
          <w:bCs/>
          <w:color w:val="auto"/>
          <w:sz w:val="22"/>
          <w:szCs w:val="22"/>
        </w:rPr>
        <w:t xml:space="preserve">participants </w:t>
      </w:r>
      <w:r>
        <w:rPr>
          <w:bCs/>
          <w:color w:val="auto"/>
          <w:sz w:val="22"/>
          <w:szCs w:val="22"/>
        </w:rPr>
        <w:t xml:space="preserve">are physically unable to sign an authorization form, they may allow a personal representative to sign instead. </w:t>
      </w:r>
    </w:p>
    <w:p w14:paraId="2A1BF47F" w14:textId="163D839A" w:rsidR="008D57C9" w:rsidRDefault="008D57C9" w:rsidP="001C01CA">
      <w:pPr>
        <w:pStyle w:val="NoSpacing"/>
        <w:numPr>
          <w:ilvl w:val="0"/>
          <w:numId w:val="16"/>
        </w:numPr>
        <w:spacing w:after="120"/>
        <w:ind w:left="900" w:hanging="180"/>
        <w:rPr>
          <w:bCs/>
          <w:color w:val="auto"/>
          <w:sz w:val="22"/>
          <w:szCs w:val="22"/>
        </w:rPr>
      </w:pPr>
      <w:r w:rsidRPr="00A740D2">
        <w:rPr>
          <w:bCs/>
          <w:i/>
          <w:iCs/>
          <w:color w:val="auto"/>
          <w:sz w:val="22"/>
          <w:szCs w:val="22"/>
        </w:rPr>
        <w:t>If researchers expect that this is likely</w:t>
      </w:r>
      <w:r w:rsidR="00A740D2" w:rsidRPr="00A740D2">
        <w:rPr>
          <w:bCs/>
          <w:i/>
          <w:iCs/>
          <w:color w:val="auto"/>
          <w:sz w:val="22"/>
          <w:szCs w:val="22"/>
        </w:rPr>
        <w:t>,</w:t>
      </w:r>
      <w:r>
        <w:rPr>
          <w:bCs/>
          <w:color w:val="auto"/>
          <w:sz w:val="22"/>
          <w:szCs w:val="22"/>
        </w:rPr>
        <w:t xml:space="preserve"> researchers should ask the IRB for a waiver/alteration, so as to obtain some other form of witnessed authorization.</w:t>
      </w:r>
    </w:p>
    <w:p w14:paraId="16F8B382" w14:textId="09E916C9" w:rsidR="008D57C9" w:rsidRPr="008D57C9" w:rsidRDefault="008D57C9" w:rsidP="001C01CA">
      <w:pPr>
        <w:pStyle w:val="NoSpacing"/>
        <w:numPr>
          <w:ilvl w:val="0"/>
          <w:numId w:val="16"/>
        </w:numPr>
        <w:ind w:left="900" w:hanging="180"/>
        <w:rPr>
          <w:bCs/>
          <w:color w:val="auto"/>
          <w:sz w:val="22"/>
          <w:szCs w:val="22"/>
        </w:rPr>
      </w:pPr>
      <w:r w:rsidRPr="00A740D2">
        <w:rPr>
          <w:bCs/>
          <w:i/>
          <w:iCs/>
          <w:color w:val="auto"/>
          <w:sz w:val="22"/>
          <w:szCs w:val="22"/>
        </w:rPr>
        <w:t>If this is a one-time unanticipated occurrence</w:t>
      </w:r>
      <w:r w:rsidR="00A740D2">
        <w:rPr>
          <w:bCs/>
          <w:color w:val="auto"/>
          <w:sz w:val="22"/>
          <w:szCs w:val="22"/>
        </w:rPr>
        <w:t>,</w:t>
      </w:r>
      <w:r>
        <w:rPr>
          <w:bCs/>
          <w:color w:val="auto"/>
          <w:sz w:val="22"/>
          <w:szCs w:val="22"/>
        </w:rPr>
        <w:t xml:space="preserve"> the UW Privacy Office recommends that the researcher should document on the form that the </w:t>
      </w:r>
      <w:r w:rsidR="00494460">
        <w:rPr>
          <w:bCs/>
          <w:color w:val="auto"/>
          <w:sz w:val="22"/>
          <w:szCs w:val="22"/>
        </w:rPr>
        <w:t xml:space="preserve">participant </w:t>
      </w:r>
      <w:r>
        <w:rPr>
          <w:bCs/>
          <w:color w:val="auto"/>
          <w:sz w:val="22"/>
          <w:szCs w:val="22"/>
        </w:rPr>
        <w:t xml:space="preserve">is unable to physically sign the authorization but that the </w:t>
      </w:r>
      <w:r w:rsidR="00494460">
        <w:rPr>
          <w:bCs/>
          <w:color w:val="auto"/>
          <w:sz w:val="22"/>
          <w:szCs w:val="22"/>
        </w:rPr>
        <w:t xml:space="preserve">participant </w:t>
      </w:r>
      <w:r>
        <w:rPr>
          <w:bCs/>
          <w:color w:val="auto"/>
          <w:sz w:val="22"/>
          <w:szCs w:val="22"/>
        </w:rPr>
        <w:t xml:space="preserve">has read and agreed to the authorization. </w:t>
      </w:r>
    </w:p>
    <w:p w14:paraId="00B3FCB8" w14:textId="77777777" w:rsidR="00EF4720" w:rsidRDefault="00EF4720" w:rsidP="001C01CA">
      <w:pPr>
        <w:pStyle w:val="NoSpacing"/>
        <w:ind w:left="360" w:hanging="360"/>
        <w:rPr>
          <w:b/>
          <w:color w:val="auto"/>
          <w:sz w:val="22"/>
          <w:szCs w:val="22"/>
        </w:rPr>
      </w:pPr>
    </w:p>
    <w:p w14:paraId="47283B8D" w14:textId="1889F84A" w:rsidR="00903915" w:rsidRDefault="00903915" w:rsidP="00492D3C">
      <w:pPr>
        <w:pStyle w:val="NoSpacing"/>
        <w:ind w:left="360" w:hanging="360"/>
        <w:outlineLvl w:val="0"/>
        <w:rPr>
          <w:b/>
          <w:color w:val="auto"/>
          <w:sz w:val="22"/>
          <w:szCs w:val="22"/>
        </w:rPr>
      </w:pPr>
      <w:r>
        <w:rPr>
          <w:b/>
          <w:color w:val="auto"/>
          <w:sz w:val="22"/>
          <w:szCs w:val="22"/>
        </w:rPr>
        <w:t>9</w:t>
      </w:r>
      <w:r>
        <w:rPr>
          <w:b/>
          <w:color w:val="auto"/>
          <w:sz w:val="22"/>
          <w:szCs w:val="22"/>
        </w:rPr>
        <w:tab/>
        <w:t>WAIVER OR ALTERATION OF HIPAA AUTHORIZATION</w:t>
      </w:r>
    </w:p>
    <w:p w14:paraId="22188141" w14:textId="77777777" w:rsidR="00903915" w:rsidRDefault="00903915" w:rsidP="001C01CA">
      <w:pPr>
        <w:pStyle w:val="NoSpacing"/>
        <w:ind w:left="360" w:hanging="360"/>
        <w:rPr>
          <w:b/>
          <w:color w:val="auto"/>
          <w:sz w:val="22"/>
          <w:szCs w:val="22"/>
        </w:rPr>
      </w:pPr>
    </w:p>
    <w:p w14:paraId="442B7C39" w14:textId="087B6F0F" w:rsidR="00C1752A" w:rsidRDefault="00C1752A" w:rsidP="001C01CA">
      <w:pPr>
        <w:pStyle w:val="NoSpacing"/>
        <w:spacing w:after="120"/>
        <w:ind w:left="360"/>
        <w:rPr>
          <w:bCs/>
          <w:color w:val="auto"/>
          <w:sz w:val="22"/>
          <w:szCs w:val="22"/>
        </w:rPr>
      </w:pPr>
      <w:proofErr w:type="gramStart"/>
      <w:r>
        <w:rPr>
          <w:b/>
          <w:color w:val="auto"/>
          <w:sz w:val="22"/>
          <w:szCs w:val="22"/>
        </w:rPr>
        <w:t>Waiver</w:t>
      </w:r>
      <w:proofErr w:type="gramEnd"/>
      <w:r>
        <w:rPr>
          <w:b/>
          <w:color w:val="auto"/>
          <w:sz w:val="22"/>
          <w:szCs w:val="22"/>
        </w:rPr>
        <w:t xml:space="preserve"> for any covered entity. </w:t>
      </w:r>
      <w:r>
        <w:rPr>
          <w:bCs/>
          <w:color w:val="auto"/>
          <w:sz w:val="22"/>
          <w:szCs w:val="22"/>
        </w:rPr>
        <w:t xml:space="preserve">HIPAA allows any IRB to approve a waiver/alteration of the HIPAA authorization process for any covered entity. However, covered entities may have institutional policies that additionally require their own IRB, Privacy Board, or other group to approve a waiver. </w:t>
      </w:r>
    </w:p>
    <w:p w14:paraId="407EBCC1" w14:textId="28E312E7" w:rsidR="00C1752A" w:rsidRDefault="00C1752A" w:rsidP="001C01CA">
      <w:pPr>
        <w:pStyle w:val="NoSpacing"/>
        <w:numPr>
          <w:ilvl w:val="0"/>
          <w:numId w:val="17"/>
        </w:numPr>
        <w:spacing w:after="120"/>
        <w:ind w:left="900" w:hanging="180"/>
        <w:rPr>
          <w:bCs/>
          <w:color w:val="auto"/>
          <w:sz w:val="22"/>
          <w:szCs w:val="22"/>
        </w:rPr>
      </w:pPr>
      <w:r>
        <w:rPr>
          <w:bCs/>
          <w:color w:val="auto"/>
          <w:sz w:val="22"/>
          <w:szCs w:val="22"/>
        </w:rPr>
        <w:t xml:space="preserve">Failure to know about, and comply with, institution-specific requirements can quickly make entities reluctant to allow </w:t>
      </w:r>
      <w:r>
        <w:rPr>
          <w:bCs/>
          <w:i/>
          <w:iCs/>
          <w:color w:val="auto"/>
          <w:sz w:val="22"/>
          <w:szCs w:val="22"/>
        </w:rPr>
        <w:t xml:space="preserve">any </w:t>
      </w:r>
      <w:r>
        <w:rPr>
          <w:bCs/>
          <w:color w:val="auto"/>
          <w:sz w:val="22"/>
          <w:szCs w:val="22"/>
        </w:rPr>
        <w:t xml:space="preserve">UW researcher to have access to their records or patients for research purposes. For example, clinic staff and reception staff at non-UW health care organizations are not authorized to provide UW researchers with patient information from their clinic records and schedules, without prior permission from the organization’s medical records and/or research compliance office. </w:t>
      </w:r>
    </w:p>
    <w:p w14:paraId="3775345D" w14:textId="77777777" w:rsidR="005B3310" w:rsidRDefault="005B3310" w:rsidP="001C01CA">
      <w:pPr>
        <w:pStyle w:val="NoSpacing"/>
        <w:spacing w:after="120"/>
        <w:ind w:left="360"/>
        <w:rPr>
          <w:bCs/>
          <w:color w:val="auto"/>
          <w:sz w:val="22"/>
          <w:szCs w:val="22"/>
        </w:rPr>
      </w:pPr>
      <w:r w:rsidRPr="005B3310">
        <w:rPr>
          <w:b/>
          <w:color w:val="auto"/>
          <w:sz w:val="22"/>
          <w:szCs w:val="22"/>
        </w:rPr>
        <w:t>Identification of the need for a waiver.</w:t>
      </w:r>
      <w:r>
        <w:rPr>
          <w:b/>
          <w:color w:val="auto"/>
          <w:sz w:val="22"/>
          <w:szCs w:val="22"/>
        </w:rPr>
        <w:t xml:space="preserve"> </w:t>
      </w:r>
      <w:r>
        <w:rPr>
          <w:bCs/>
          <w:color w:val="auto"/>
          <w:sz w:val="22"/>
          <w:szCs w:val="22"/>
        </w:rPr>
        <w:t xml:space="preserve">HSD staff assess the proposed activities to make this assessment. If yes, a waiver may be granted as described in the </w:t>
      </w:r>
      <w:r>
        <w:rPr>
          <w:b/>
          <w:color w:val="auto"/>
          <w:sz w:val="22"/>
          <w:szCs w:val="22"/>
        </w:rPr>
        <w:t>SOP HIPAA</w:t>
      </w:r>
      <w:r>
        <w:rPr>
          <w:bCs/>
          <w:color w:val="auto"/>
          <w:sz w:val="22"/>
          <w:szCs w:val="22"/>
        </w:rPr>
        <w:t xml:space="preserve">. </w:t>
      </w:r>
    </w:p>
    <w:p w14:paraId="6704AC8D" w14:textId="794C5996" w:rsidR="005B3310" w:rsidRDefault="005B3310" w:rsidP="001C01CA">
      <w:pPr>
        <w:pStyle w:val="NoSpacing"/>
        <w:spacing w:after="120"/>
        <w:ind w:left="360"/>
        <w:rPr>
          <w:bCs/>
          <w:color w:val="auto"/>
          <w:sz w:val="22"/>
          <w:szCs w:val="22"/>
        </w:rPr>
      </w:pPr>
      <w:r>
        <w:rPr>
          <w:b/>
          <w:color w:val="auto"/>
          <w:sz w:val="22"/>
          <w:szCs w:val="22"/>
        </w:rPr>
        <w:t xml:space="preserve">Criteria for waiver. </w:t>
      </w:r>
      <w:r w:rsidRPr="005B3310">
        <w:rPr>
          <w:b/>
          <w:color w:val="auto"/>
          <w:sz w:val="22"/>
          <w:szCs w:val="22"/>
        </w:rPr>
        <w:t xml:space="preserve"> </w:t>
      </w:r>
      <w:r>
        <w:rPr>
          <w:bCs/>
          <w:color w:val="auto"/>
          <w:sz w:val="22"/>
          <w:szCs w:val="22"/>
        </w:rPr>
        <w:t xml:space="preserve">The IRB uses the </w:t>
      </w:r>
      <w:r>
        <w:rPr>
          <w:b/>
          <w:color w:val="auto"/>
          <w:sz w:val="22"/>
          <w:szCs w:val="22"/>
        </w:rPr>
        <w:t>CHECKLIST Waiver or Alteration of HIPAA Authorization</w:t>
      </w:r>
      <w:r>
        <w:rPr>
          <w:bCs/>
          <w:color w:val="auto"/>
          <w:sz w:val="22"/>
          <w:szCs w:val="22"/>
        </w:rPr>
        <w:t xml:space="preserve"> to determine whether the HIPAA and WA State law for granting a waiver are met.</w:t>
      </w:r>
    </w:p>
    <w:p w14:paraId="3C047A77" w14:textId="6F2878AA" w:rsidR="005B3310" w:rsidRDefault="005B3310" w:rsidP="001C01CA">
      <w:pPr>
        <w:pStyle w:val="NoSpacing"/>
        <w:spacing w:after="120"/>
        <w:ind w:left="360"/>
        <w:rPr>
          <w:bCs/>
          <w:color w:val="auto"/>
          <w:sz w:val="22"/>
          <w:szCs w:val="22"/>
        </w:rPr>
      </w:pPr>
      <w:r>
        <w:rPr>
          <w:b/>
          <w:color w:val="auto"/>
          <w:sz w:val="22"/>
          <w:szCs w:val="22"/>
        </w:rPr>
        <w:t>Documentation of waiver.</w:t>
      </w:r>
      <w:r>
        <w:rPr>
          <w:bCs/>
          <w:color w:val="auto"/>
          <w:sz w:val="22"/>
          <w:szCs w:val="22"/>
        </w:rPr>
        <w:t xml:space="preserve"> The waiver is documented by uploading the </w:t>
      </w:r>
      <w:r>
        <w:rPr>
          <w:b/>
          <w:color w:val="auto"/>
          <w:sz w:val="22"/>
          <w:szCs w:val="22"/>
        </w:rPr>
        <w:t xml:space="preserve">CHECKLIST Waiver or Alteration of HIPAA Authorization </w:t>
      </w:r>
      <w:r>
        <w:rPr>
          <w:bCs/>
          <w:color w:val="auto"/>
          <w:sz w:val="22"/>
          <w:szCs w:val="22"/>
        </w:rPr>
        <w:t xml:space="preserve">to the Zipline application. The IRB approval letter documents the granting of a HIPAA waiver for the researcher. </w:t>
      </w:r>
    </w:p>
    <w:p w14:paraId="5CE7830B" w14:textId="40884527" w:rsidR="005B3310" w:rsidRDefault="005B3310" w:rsidP="001C01CA">
      <w:pPr>
        <w:pStyle w:val="NoSpacing"/>
        <w:spacing w:after="120"/>
        <w:ind w:left="360"/>
        <w:rPr>
          <w:bCs/>
          <w:color w:val="auto"/>
          <w:sz w:val="22"/>
          <w:szCs w:val="22"/>
        </w:rPr>
      </w:pPr>
      <w:r>
        <w:rPr>
          <w:b/>
          <w:color w:val="auto"/>
          <w:sz w:val="22"/>
          <w:szCs w:val="22"/>
        </w:rPr>
        <w:t>Full or partial waiver.</w:t>
      </w:r>
      <w:r>
        <w:rPr>
          <w:bCs/>
          <w:color w:val="auto"/>
          <w:sz w:val="22"/>
          <w:szCs w:val="22"/>
        </w:rPr>
        <w:t xml:space="preserve"> A full waiver is for all aspects of the research involving PHI. A partial waiver is for only some aspects of the research involving PHI. The requirements and criteria are the same. </w:t>
      </w:r>
    </w:p>
    <w:p w14:paraId="495F3524" w14:textId="73C1713C" w:rsidR="00D26972" w:rsidRDefault="00D26972" w:rsidP="001C01CA">
      <w:pPr>
        <w:pStyle w:val="NoSpacing"/>
        <w:numPr>
          <w:ilvl w:val="0"/>
          <w:numId w:val="17"/>
        </w:numPr>
        <w:spacing w:after="120"/>
        <w:ind w:left="900" w:hanging="180"/>
        <w:rPr>
          <w:bCs/>
          <w:color w:val="auto"/>
          <w:sz w:val="22"/>
          <w:szCs w:val="22"/>
        </w:rPr>
      </w:pPr>
      <w:r>
        <w:rPr>
          <w:bCs/>
          <w:color w:val="auto"/>
          <w:sz w:val="22"/>
          <w:szCs w:val="22"/>
        </w:rPr>
        <w:t xml:space="preserve">Example of a partial waiver: Researchers request a waiver to screen medical records to identify possible </w:t>
      </w:r>
      <w:r w:rsidR="00494460">
        <w:rPr>
          <w:bCs/>
          <w:color w:val="auto"/>
          <w:sz w:val="22"/>
          <w:szCs w:val="22"/>
        </w:rPr>
        <w:t>participants</w:t>
      </w:r>
      <w:r>
        <w:rPr>
          <w:bCs/>
          <w:color w:val="auto"/>
          <w:sz w:val="22"/>
          <w:szCs w:val="22"/>
        </w:rPr>
        <w:t xml:space="preserve">. When </w:t>
      </w:r>
      <w:r w:rsidR="00494460">
        <w:rPr>
          <w:bCs/>
          <w:color w:val="auto"/>
          <w:sz w:val="22"/>
          <w:szCs w:val="22"/>
        </w:rPr>
        <w:t xml:space="preserve">participants </w:t>
      </w:r>
      <w:r>
        <w:rPr>
          <w:bCs/>
          <w:color w:val="auto"/>
          <w:sz w:val="22"/>
          <w:szCs w:val="22"/>
        </w:rPr>
        <w:t>enroll</w:t>
      </w:r>
      <w:r w:rsidR="00884E7A">
        <w:rPr>
          <w:bCs/>
          <w:color w:val="auto"/>
          <w:sz w:val="22"/>
          <w:szCs w:val="22"/>
        </w:rPr>
        <w:t>,</w:t>
      </w:r>
      <w:r>
        <w:rPr>
          <w:bCs/>
          <w:color w:val="auto"/>
          <w:sz w:val="22"/>
          <w:szCs w:val="22"/>
        </w:rPr>
        <w:t xml:space="preserve"> they sign an authorization form </w:t>
      </w:r>
      <w:r w:rsidR="00884E7A">
        <w:rPr>
          <w:bCs/>
          <w:color w:val="auto"/>
          <w:sz w:val="22"/>
          <w:szCs w:val="22"/>
        </w:rPr>
        <w:t xml:space="preserve">for the researchers to obtain </w:t>
      </w:r>
      <w:r>
        <w:rPr>
          <w:bCs/>
          <w:color w:val="auto"/>
          <w:sz w:val="22"/>
          <w:szCs w:val="22"/>
        </w:rPr>
        <w:t>medical records information to use as research data.</w:t>
      </w:r>
    </w:p>
    <w:p w14:paraId="5208BDA6" w14:textId="67791845" w:rsidR="00D26972" w:rsidRPr="00D26972" w:rsidRDefault="00D26972" w:rsidP="001C01CA">
      <w:pPr>
        <w:pStyle w:val="NoSpacing"/>
        <w:ind w:left="360"/>
        <w:rPr>
          <w:bCs/>
          <w:color w:val="auto"/>
          <w:sz w:val="22"/>
          <w:szCs w:val="22"/>
        </w:rPr>
      </w:pPr>
      <w:r>
        <w:rPr>
          <w:b/>
          <w:color w:val="auto"/>
          <w:sz w:val="22"/>
          <w:szCs w:val="22"/>
        </w:rPr>
        <w:lastRenderedPageBreak/>
        <w:t xml:space="preserve">Activities that are not human subjects research. </w:t>
      </w:r>
      <w:r>
        <w:rPr>
          <w:bCs/>
          <w:color w:val="auto"/>
          <w:sz w:val="22"/>
          <w:szCs w:val="22"/>
        </w:rPr>
        <w:t xml:space="preserve">Case studies may not meet the </w:t>
      </w:r>
      <w:r w:rsidR="00E87D27">
        <w:rPr>
          <w:bCs/>
          <w:color w:val="auto"/>
          <w:sz w:val="22"/>
          <w:szCs w:val="22"/>
        </w:rPr>
        <w:t xml:space="preserve">Common Rule </w:t>
      </w:r>
      <w:r>
        <w:rPr>
          <w:bCs/>
          <w:color w:val="auto"/>
          <w:sz w:val="22"/>
          <w:szCs w:val="22"/>
        </w:rPr>
        <w:t xml:space="preserve">definition of “human subjects research” yet they may require an IRB-approved HIPAA authorization. The UW IRB is authorized by the UW covered entity to grant a waiver in these circumstances, applying the same criteria and process. Refer to the </w:t>
      </w:r>
      <w:r>
        <w:rPr>
          <w:b/>
          <w:color w:val="auto"/>
          <w:sz w:val="22"/>
          <w:szCs w:val="22"/>
        </w:rPr>
        <w:t xml:space="preserve">SOP HIPAA </w:t>
      </w:r>
      <w:r>
        <w:rPr>
          <w:bCs/>
          <w:color w:val="auto"/>
          <w:sz w:val="22"/>
          <w:szCs w:val="22"/>
        </w:rPr>
        <w:t xml:space="preserve">for more details. </w:t>
      </w:r>
    </w:p>
    <w:p w14:paraId="40BABBB3" w14:textId="77777777" w:rsidR="00C1752A" w:rsidRDefault="00C1752A" w:rsidP="001C01CA">
      <w:pPr>
        <w:pStyle w:val="NoSpacing"/>
        <w:ind w:left="360" w:hanging="360"/>
        <w:rPr>
          <w:b/>
          <w:color w:val="auto"/>
          <w:sz w:val="22"/>
          <w:szCs w:val="22"/>
        </w:rPr>
      </w:pPr>
    </w:p>
    <w:p w14:paraId="17823396" w14:textId="097867C6" w:rsidR="00903915" w:rsidRDefault="00903915" w:rsidP="00492D3C">
      <w:pPr>
        <w:pStyle w:val="NoSpacing"/>
        <w:ind w:left="360" w:hanging="360"/>
        <w:outlineLvl w:val="0"/>
        <w:rPr>
          <w:b/>
          <w:color w:val="auto"/>
          <w:sz w:val="22"/>
          <w:szCs w:val="22"/>
        </w:rPr>
      </w:pPr>
      <w:r>
        <w:rPr>
          <w:b/>
          <w:color w:val="auto"/>
          <w:sz w:val="22"/>
          <w:szCs w:val="22"/>
        </w:rPr>
        <w:t>10</w:t>
      </w:r>
      <w:r>
        <w:rPr>
          <w:b/>
          <w:color w:val="auto"/>
          <w:sz w:val="22"/>
          <w:szCs w:val="22"/>
        </w:rPr>
        <w:tab/>
        <w:t>ACTIVITIES PREPARATORY TO RESEARCH</w:t>
      </w:r>
    </w:p>
    <w:p w14:paraId="62F621F9" w14:textId="77777777" w:rsidR="00903915" w:rsidRDefault="00903915" w:rsidP="001C01CA">
      <w:pPr>
        <w:pStyle w:val="NoSpacing"/>
        <w:ind w:left="360" w:hanging="360"/>
        <w:rPr>
          <w:b/>
          <w:color w:val="auto"/>
          <w:sz w:val="22"/>
          <w:szCs w:val="22"/>
        </w:rPr>
      </w:pPr>
    </w:p>
    <w:p w14:paraId="3C7D862C" w14:textId="1ECAA455" w:rsidR="002E17AA" w:rsidRDefault="002E17AA" w:rsidP="001C01CA">
      <w:pPr>
        <w:pStyle w:val="NoSpacing"/>
        <w:spacing w:after="120"/>
        <w:ind w:left="360"/>
        <w:rPr>
          <w:bCs/>
          <w:color w:val="auto"/>
          <w:sz w:val="22"/>
          <w:szCs w:val="22"/>
        </w:rPr>
      </w:pPr>
      <w:r>
        <w:rPr>
          <w:bCs/>
          <w:color w:val="auto"/>
          <w:sz w:val="22"/>
          <w:szCs w:val="22"/>
        </w:rPr>
        <w:t>Federal HIPAA law allows researchers to access PHI without obtaining authorization or a HIPAA waiver if the PHI will be used solely to prepare a research protocol or plan the research activity. For example, a researcher may review PHI to design a research study or to assess whether a sufficient number or type of records exist to conduct the research.</w:t>
      </w:r>
    </w:p>
    <w:p w14:paraId="5E2408DC" w14:textId="0822B3CE" w:rsidR="002E17AA" w:rsidRDefault="002E17AA" w:rsidP="001C01CA">
      <w:pPr>
        <w:pStyle w:val="NoSpacing"/>
        <w:spacing w:after="120"/>
        <w:ind w:left="360"/>
        <w:rPr>
          <w:bCs/>
          <w:color w:val="auto"/>
          <w:sz w:val="22"/>
          <w:szCs w:val="22"/>
        </w:rPr>
      </w:pPr>
      <w:r>
        <w:rPr>
          <w:bCs/>
          <w:color w:val="auto"/>
          <w:sz w:val="22"/>
          <w:szCs w:val="22"/>
        </w:rPr>
        <w:t xml:space="preserve">Screening records to identify possible </w:t>
      </w:r>
      <w:r w:rsidR="00494460">
        <w:rPr>
          <w:bCs/>
          <w:color w:val="auto"/>
          <w:sz w:val="22"/>
          <w:szCs w:val="22"/>
        </w:rPr>
        <w:t xml:space="preserve">participants </w:t>
      </w:r>
      <w:r>
        <w:rPr>
          <w:bCs/>
          <w:color w:val="auto"/>
          <w:sz w:val="22"/>
          <w:szCs w:val="22"/>
        </w:rPr>
        <w:t xml:space="preserve">is </w:t>
      </w:r>
      <w:r>
        <w:rPr>
          <w:b/>
          <w:color w:val="auto"/>
          <w:sz w:val="22"/>
          <w:szCs w:val="22"/>
        </w:rPr>
        <w:t xml:space="preserve">not </w:t>
      </w:r>
      <w:r>
        <w:rPr>
          <w:bCs/>
          <w:color w:val="auto"/>
          <w:sz w:val="22"/>
          <w:szCs w:val="22"/>
        </w:rPr>
        <w:t>considered an activity preparatory to research.</w:t>
      </w:r>
    </w:p>
    <w:p w14:paraId="6C2F13BF" w14:textId="74EEDC16" w:rsidR="002E17AA" w:rsidRPr="002E17AA" w:rsidRDefault="002E17AA" w:rsidP="001C01CA">
      <w:pPr>
        <w:pStyle w:val="NoSpacing"/>
        <w:ind w:left="360"/>
        <w:rPr>
          <w:bCs/>
          <w:color w:val="auto"/>
          <w:sz w:val="22"/>
          <w:szCs w:val="22"/>
        </w:rPr>
      </w:pPr>
      <w:r>
        <w:rPr>
          <w:bCs/>
          <w:color w:val="auto"/>
          <w:sz w:val="22"/>
          <w:szCs w:val="22"/>
        </w:rPr>
        <w:t xml:space="preserve">Review </w:t>
      </w:r>
      <w:hyperlink r:id="rId25" w:history="1">
        <w:r w:rsidRPr="00E87D27">
          <w:rPr>
            <w:rStyle w:val="Hyperlink"/>
            <w:bCs/>
            <w:sz w:val="22"/>
            <w:szCs w:val="22"/>
          </w:rPr>
          <w:t>COMP.103</w:t>
        </w:r>
      </w:hyperlink>
      <w:r>
        <w:rPr>
          <w:bCs/>
          <w:color w:val="auto"/>
          <w:sz w:val="22"/>
          <w:szCs w:val="22"/>
        </w:rPr>
        <w:t xml:space="preserve"> for additional requirements. </w:t>
      </w:r>
    </w:p>
    <w:p w14:paraId="74EC9C72" w14:textId="77777777" w:rsidR="002E17AA" w:rsidRDefault="002E17AA" w:rsidP="001C01CA">
      <w:pPr>
        <w:pStyle w:val="NoSpacing"/>
        <w:ind w:left="360" w:hanging="360"/>
        <w:rPr>
          <w:b/>
          <w:color w:val="auto"/>
          <w:sz w:val="22"/>
          <w:szCs w:val="22"/>
        </w:rPr>
      </w:pPr>
    </w:p>
    <w:p w14:paraId="6B31D3EB" w14:textId="13C55097" w:rsidR="00903915" w:rsidRDefault="00903915" w:rsidP="00492D3C">
      <w:pPr>
        <w:pStyle w:val="NoSpacing"/>
        <w:ind w:left="360" w:hanging="360"/>
        <w:outlineLvl w:val="0"/>
        <w:rPr>
          <w:b/>
          <w:color w:val="auto"/>
          <w:sz w:val="22"/>
          <w:szCs w:val="22"/>
        </w:rPr>
      </w:pPr>
      <w:r>
        <w:rPr>
          <w:b/>
          <w:color w:val="auto"/>
          <w:sz w:val="22"/>
          <w:szCs w:val="22"/>
        </w:rPr>
        <w:t>11</w:t>
      </w:r>
      <w:r>
        <w:rPr>
          <w:b/>
          <w:color w:val="auto"/>
          <w:sz w:val="22"/>
          <w:szCs w:val="22"/>
        </w:rPr>
        <w:tab/>
        <w:t>EXEMPT STATUS</w:t>
      </w:r>
    </w:p>
    <w:p w14:paraId="4095A002" w14:textId="77777777" w:rsidR="00903915" w:rsidRDefault="00903915" w:rsidP="001C01CA">
      <w:pPr>
        <w:pStyle w:val="NoSpacing"/>
        <w:ind w:left="360" w:hanging="360"/>
        <w:rPr>
          <w:b/>
          <w:color w:val="auto"/>
          <w:sz w:val="22"/>
          <w:szCs w:val="22"/>
        </w:rPr>
      </w:pPr>
    </w:p>
    <w:p w14:paraId="516BB15E" w14:textId="44A9E807" w:rsidR="002E17AA" w:rsidRDefault="002E17AA" w:rsidP="001C01CA">
      <w:pPr>
        <w:pStyle w:val="NoSpacing"/>
        <w:ind w:left="360"/>
        <w:rPr>
          <w:bCs/>
          <w:color w:val="auto"/>
          <w:sz w:val="22"/>
          <w:szCs w:val="22"/>
        </w:rPr>
      </w:pPr>
      <w:r>
        <w:rPr>
          <w:b/>
          <w:color w:val="auto"/>
          <w:sz w:val="22"/>
          <w:szCs w:val="22"/>
        </w:rPr>
        <w:t xml:space="preserve">Exempt status and the use of PHI. </w:t>
      </w:r>
      <w:r>
        <w:rPr>
          <w:bCs/>
          <w:color w:val="auto"/>
          <w:sz w:val="22"/>
          <w:szCs w:val="22"/>
        </w:rPr>
        <w:t xml:space="preserve">Human subjects regulations do not require IRB review of some human subjects activities, which are therefore said to be exempt from the regulations. </w:t>
      </w:r>
      <w:r>
        <w:rPr>
          <w:b/>
          <w:color w:val="auto"/>
          <w:sz w:val="22"/>
          <w:szCs w:val="22"/>
        </w:rPr>
        <w:t xml:space="preserve">UW policy </w:t>
      </w:r>
      <w:r>
        <w:rPr>
          <w:bCs/>
          <w:color w:val="auto"/>
          <w:sz w:val="22"/>
          <w:szCs w:val="22"/>
        </w:rPr>
        <w:t>does not currently allow research involving the use of PHI to qualify for exempt status.</w:t>
      </w:r>
    </w:p>
    <w:p w14:paraId="6E77543D" w14:textId="77777777" w:rsidR="002E17AA" w:rsidRPr="002E17AA" w:rsidRDefault="002E17AA" w:rsidP="001C01CA">
      <w:pPr>
        <w:pStyle w:val="NoSpacing"/>
        <w:ind w:left="360"/>
        <w:rPr>
          <w:bCs/>
          <w:color w:val="auto"/>
          <w:sz w:val="22"/>
          <w:szCs w:val="22"/>
        </w:rPr>
      </w:pPr>
    </w:p>
    <w:p w14:paraId="13B16588" w14:textId="1E1A3966" w:rsidR="00903915" w:rsidRDefault="00903915" w:rsidP="00492D3C">
      <w:pPr>
        <w:pStyle w:val="NoSpacing"/>
        <w:ind w:left="360" w:hanging="360"/>
        <w:outlineLvl w:val="0"/>
        <w:rPr>
          <w:b/>
          <w:color w:val="auto"/>
          <w:sz w:val="22"/>
          <w:szCs w:val="22"/>
        </w:rPr>
      </w:pPr>
      <w:r>
        <w:rPr>
          <w:b/>
          <w:color w:val="auto"/>
          <w:sz w:val="22"/>
          <w:szCs w:val="22"/>
        </w:rPr>
        <w:t>12</w:t>
      </w:r>
      <w:r>
        <w:rPr>
          <w:b/>
          <w:color w:val="auto"/>
          <w:sz w:val="22"/>
          <w:szCs w:val="22"/>
        </w:rPr>
        <w:tab/>
        <w:t>LIMITED DATA SETS</w:t>
      </w:r>
    </w:p>
    <w:p w14:paraId="78A3866A" w14:textId="77777777" w:rsidR="00903915" w:rsidRDefault="00903915" w:rsidP="001C01CA">
      <w:pPr>
        <w:pStyle w:val="NoSpacing"/>
        <w:ind w:left="360" w:hanging="360"/>
        <w:rPr>
          <w:b/>
          <w:color w:val="auto"/>
          <w:sz w:val="22"/>
          <w:szCs w:val="22"/>
        </w:rPr>
      </w:pPr>
    </w:p>
    <w:p w14:paraId="45A2860E" w14:textId="6833EC65" w:rsidR="00903915" w:rsidRDefault="002E17AA" w:rsidP="001C01CA">
      <w:pPr>
        <w:pStyle w:val="NoSpacing"/>
        <w:spacing w:after="120"/>
        <w:ind w:left="360"/>
        <w:rPr>
          <w:bCs/>
          <w:color w:val="auto"/>
          <w:sz w:val="22"/>
          <w:szCs w:val="22"/>
        </w:rPr>
      </w:pPr>
      <w:r>
        <w:rPr>
          <w:b/>
          <w:color w:val="auto"/>
          <w:sz w:val="22"/>
          <w:szCs w:val="22"/>
        </w:rPr>
        <w:t>I</w:t>
      </w:r>
      <w:r w:rsidR="00E87D27">
        <w:rPr>
          <w:b/>
          <w:color w:val="auto"/>
          <w:sz w:val="22"/>
          <w:szCs w:val="22"/>
        </w:rPr>
        <w:t>s I</w:t>
      </w:r>
      <w:r>
        <w:rPr>
          <w:b/>
          <w:color w:val="auto"/>
          <w:sz w:val="22"/>
          <w:szCs w:val="22"/>
        </w:rPr>
        <w:t xml:space="preserve">RB review required? </w:t>
      </w:r>
      <w:r>
        <w:rPr>
          <w:bCs/>
          <w:color w:val="auto"/>
          <w:sz w:val="22"/>
          <w:szCs w:val="22"/>
        </w:rPr>
        <w:t xml:space="preserve">The research use of a Limited Data Set may or may not be considered human subjects research, depending on whether the data are individually identifiable as defined by the human subjects regulations. If the data are not individually identifiable, then the use of the Limited Data Set does not require IRB review. </w:t>
      </w:r>
    </w:p>
    <w:p w14:paraId="70F5ABAB" w14:textId="45290A7D" w:rsidR="002E17AA" w:rsidRDefault="002E17AA" w:rsidP="001C01CA">
      <w:pPr>
        <w:pStyle w:val="NoSpacing"/>
        <w:numPr>
          <w:ilvl w:val="0"/>
          <w:numId w:val="17"/>
        </w:numPr>
        <w:spacing w:after="120"/>
        <w:ind w:left="900" w:hanging="180"/>
        <w:rPr>
          <w:bCs/>
          <w:color w:val="auto"/>
          <w:sz w:val="22"/>
          <w:szCs w:val="22"/>
        </w:rPr>
      </w:pPr>
      <w:r>
        <w:rPr>
          <w:b/>
          <w:color w:val="auto"/>
          <w:sz w:val="22"/>
          <w:szCs w:val="22"/>
        </w:rPr>
        <w:t xml:space="preserve">Researcher self-determination. </w:t>
      </w:r>
      <w:r>
        <w:rPr>
          <w:bCs/>
          <w:color w:val="auto"/>
          <w:sz w:val="22"/>
          <w:szCs w:val="22"/>
        </w:rPr>
        <w:t>Researchers may use</w:t>
      </w:r>
      <w:r w:rsidR="00E87D27">
        <w:rPr>
          <w:bCs/>
          <w:color w:val="auto"/>
          <w:sz w:val="22"/>
          <w:szCs w:val="22"/>
        </w:rPr>
        <w:t xml:space="preserve"> the </w:t>
      </w:r>
      <w:r w:rsidR="00E87D27">
        <w:rPr>
          <w:b/>
          <w:color w:val="auto"/>
          <w:sz w:val="22"/>
          <w:szCs w:val="22"/>
        </w:rPr>
        <w:t>WORKSHEET Human Subjects Research Determination</w:t>
      </w:r>
      <w:r>
        <w:rPr>
          <w:bCs/>
          <w:color w:val="auto"/>
          <w:sz w:val="22"/>
          <w:szCs w:val="22"/>
        </w:rPr>
        <w:t xml:space="preserve"> self-</w:t>
      </w:r>
      <w:proofErr w:type="gramStart"/>
      <w:r>
        <w:rPr>
          <w:bCs/>
          <w:color w:val="auto"/>
          <w:sz w:val="22"/>
          <w:szCs w:val="22"/>
        </w:rPr>
        <w:t>determine</w:t>
      </w:r>
      <w:proofErr w:type="gramEnd"/>
      <w:r>
        <w:rPr>
          <w:bCs/>
          <w:color w:val="auto"/>
          <w:sz w:val="22"/>
          <w:szCs w:val="22"/>
        </w:rPr>
        <w:t xml:space="preserve"> whether the data are individually identifiable.</w:t>
      </w:r>
    </w:p>
    <w:p w14:paraId="6AB41CF1" w14:textId="55262F11" w:rsidR="002E17AA" w:rsidRDefault="002E17AA" w:rsidP="001C01CA">
      <w:pPr>
        <w:pStyle w:val="NoSpacing"/>
        <w:numPr>
          <w:ilvl w:val="0"/>
          <w:numId w:val="17"/>
        </w:numPr>
        <w:spacing w:after="120"/>
        <w:ind w:left="900" w:hanging="180"/>
        <w:rPr>
          <w:bCs/>
          <w:color w:val="auto"/>
          <w:sz w:val="22"/>
          <w:szCs w:val="22"/>
        </w:rPr>
      </w:pPr>
      <w:r>
        <w:rPr>
          <w:b/>
          <w:color w:val="auto"/>
          <w:sz w:val="22"/>
          <w:szCs w:val="22"/>
        </w:rPr>
        <w:t>HSD determination.</w:t>
      </w:r>
      <w:r>
        <w:rPr>
          <w:bCs/>
          <w:color w:val="auto"/>
          <w:sz w:val="22"/>
          <w:szCs w:val="22"/>
        </w:rPr>
        <w:t xml:space="preserve"> Researchers may prefer to have HSD make the determination, or the covered entity providing the Limited Data Set may require a formal determination. To request the determination, researchers send HSD a completed </w:t>
      </w:r>
      <w:r>
        <w:rPr>
          <w:b/>
          <w:color w:val="auto"/>
          <w:sz w:val="22"/>
          <w:szCs w:val="22"/>
        </w:rPr>
        <w:t>APPLICATION IRB Protocol, No Contact with Subjects</w:t>
      </w:r>
      <w:r>
        <w:rPr>
          <w:bCs/>
          <w:color w:val="auto"/>
          <w:sz w:val="22"/>
          <w:szCs w:val="22"/>
        </w:rPr>
        <w:t xml:space="preserve"> which is reviewed following standard procedures.</w:t>
      </w:r>
    </w:p>
    <w:p w14:paraId="552CA37D" w14:textId="28931F74" w:rsidR="002E17AA" w:rsidRDefault="00791F86" w:rsidP="001C01CA">
      <w:pPr>
        <w:pStyle w:val="NoSpacing"/>
        <w:spacing w:after="120"/>
        <w:ind w:left="360"/>
        <w:rPr>
          <w:b/>
          <w:color w:val="auto"/>
          <w:sz w:val="22"/>
          <w:szCs w:val="22"/>
        </w:rPr>
      </w:pPr>
      <w:r>
        <w:rPr>
          <w:b/>
          <w:color w:val="auto"/>
          <w:sz w:val="22"/>
          <w:szCs w:val="22"/>
        </w:rPr>
        <w:t xml:space="preserve">Data Use Agreement (DUA). </w:t>
      </w:r>
      <w:r>
        <w:rPr>
          <w:bCs/>
          <w:color w:val="auto"/>
          <w:sz w:val="22"/>
          <w:szCs w:val="22"/>
        </w:rPr>
        <w:t xml:space="preserve">To obtain a Limited Data Set, HIPAA regulations require the researcher to enter into a DUA with the covered entity providing the data. The DUA promises specified safeguards for the data. </w:t>
      </w:r>
      <w:r>
        <w:rPr>
          <w:b/>
          <w:color w:val="auto"/>
          <w:sz w:val="22"/>
          <w:szCs w:val="22"/>
        </w:rPr>
        <w:t>HSD is not authorized to sign DUAs.</w:t>
      </w:r>
    </w:p>
    <w:p w14:paraId="0B92BDA7" w14:textId="32B92882" w:rsidR="00791F86" w:rsidRDefault="00791F86" w:rsidP="001C01CA">
      <w:pPr>
        <w:pStyle w:val="NoSpacing"/>
        <w:numPr>
          <w:ilvl w:val="0"/>
          <w:numId w:val="20"/>
        </w:numPr>
        <w:spacing w:after="120"/>
        <w:ind w:left="900" w:hanging="180"/>
        <w:rPr>
          <w:bCs/>
          <w:color w:val="auto"/>
          <w:sz w:val="22"/>
          <w:szCs w:val="22"/>
        </w:rPr>
      </w:pPr>
      <w:r>
        <w:rPr>
          <w:b/>
          <w:color w:val="auto"/>
          <w:sz w:val="22"/>
          <w:szCs w:val="22"/>
        </w:rPr>
        <w:t xml:space="preserve">UW Limited Data Sets. </w:t>
      </w:r>
      <w:r>
        <w:rPr>
          <w:bCs/>
          <w:color w:val="auto"/>
          <w:sz w:val="22"/>
          <w:szCs w:val="22"/>
        </w:rPr>
        <w:t>The researcher should contact the UW unit that will provide the Limited Data Set, for information about the DUA.</w:t>
      </w:r>
    </w:p>
    <w:p w14:paraId="1D60A8DD" w14:textId="61963968" w:rsidR="00791F86" w:rsidRDefault="00791F86" w:rsidP="001C01CA">
      <w:pPr>
        <w:pStyle w:val="NoSpacing"/>
        <w:numPr>
          <w:ilvl w:val="0"/>
          <w:numId w:val="20"/>
        </w:numPr>
        <w:spacing w:after="120"/>
        <w:ind w:left="900" w:hanging="180"/>
        <w:rPr>
          <w:bCs/>
          <w:color w:val="auto"/>
          <w:sz w:val="22"/>
          <w:szCs w:val="22"/>
        </w:rPr>
      </w:pPr>
      <w:r>
        <w:rPr>
          <w:b/>
          <w:color w:val="auto"/>
          <w:sz w:val="22"/>
          <w:szCs w:val="22"/>
        </w:rPr>
        <w:t xml:space="preserve">Limited Data Sets from non-UW covered entities. </w:t>
      </w:r>
      <w:r>
        <w:rPr>
          <w:bCs/>
          <w:color w:val="auto"/>
          <w:sz w:val="22"/>
          <w:szCs w:val="22"/>
        </w:rPr>
        <w:t>If the non-UW entity requires a</w:t>
      </w:r>
      <w:r w:rsidR="00E87D27">
        <w:rPr>
          <w:bCs/>
          <w:color w:val="auto"/>
          <w:sz w:val="22"/>
          <w:szCs w:val="22"/>
        </w:rPr>
        <w:t xml:space="preserve"> UW</w:t>
      </w:r>
      <w:r>
        <w:rPr>
          <w:bCs/>
          <w:color w:val="auto"/>
          <w:sz w:val="22"/>
          <w:szCs w:val="22"/>
        </w:rPr>
        <w:t xml:space="preserve"> institutional signature in addition to the researcher’s signature, the researcher’s Department Chair, Department Administrator, or Vice Dean of Research is usually the appropriate individual to sign on behalf of the UW. </w:t>
      </w:r>
    </w:p>
    <w:p w14:paraId="6D94217C" w14:textId="24F5C032" w:rsidR="00791F86" w:rsidRDefault="00791F86" w:rsidP="001C01CA">
      <w:pPr>
        <w:pStyle w:val="NoSpacing"/>
        <w:numPr>
          <w:ilvl w:val="0"/>
          <w:numId w:val="20"/>
        </w:numPr>
        <w:spacing w:after="120"/>
        <w:ind w:left="900" w:hanging="180"/>
        <w:rPr>
          <w:bCs/>
          <w:color w:val="auto"/>
          <w:sz w:val="22"/>
          <w:szCs w:val="22"/>
        </w:rPr>
      </w:pPr>
      <w:r>
        <w:rPr>
          <w:b/>
          <w:color w:val="auto"/>
          <w:sz w:val="22"/>
          <w:szCs w:val="22"/>
        </w:rPr>
        <w:t>Required by the IRB?</w:t>
      </w:r>
      <w:r>
        <w:rPr>
          <w:bCs/>
          <w:color w:val="auto"/>
          <w:sz w:val="22"/>
          <w:szCs w:val="22"/>
        </w:rPr>
        <w:t xml:space="preserve"> The UW IRB does not require the researcher to provide a copy of the DUA as part of the IRB review and approval process. </w:t>
      </w:r>
    </w:p>
    <w:p w14:paraId="282F4751" w14:textId="5E12F91E" w:rsidR="00791F86" w:rsidRPr="00791F86" w:rsidRDefault="00791F86" w:rsidP="001C01CA">
      <w:pPr>
        <w:pStyle w:val="NoSpacing"/>
        <w:numPr>
          <w:ilvl w:val="0"/>
          <w:numId w:val="20"/>
        </w:numPr>
        <w:spacing w:after="120"/>
        <w:ind w:left="900" w:hanging="180"/>
        <w:rPr>
          <w:bCs/>
          <w:color w:val="auto"/>
          <w:sz w:val="22"/>
          <w:szCs w:val="22"/>
        </w:rPr>
      </w:pPr>
      <w:r>
        <w:rPr>
          <w:b/>
          <w:color w:val="auto"/>
          <w:sz w:val="22"/>
          <w:szCs w:val="22"/>
        </w:rPr>
        <w:lastRenderedPageBreak/>
        <w:t xml:space="preserve">Review </w:t>
      </w:r>
      <w:hyperlink r:id="rId26" w:history="1">
        <w:r w:rsidRPr="00E87D27">
          <w:rPr>
            <w:rStyle w:val="Hyperlink"/>
            <w:b/>
            <w:sz w:val="22"/>
            <w:szCs w:val="22"/>
          </w:rPr>
          <w:t>COMP.103</w:t>
        </w:r>
      </w:hyperlink>
      <w:r>
        <w:rPr>
          <w:b/>
          <w:color w:val="auto"/>
          <w:sz w:val="22"/>
          <w:szCs w:val="22"/>
        </w:rPr>
        <w:t xml:space="preserve">, </w:t>
      </w:r>
      <w:r>
        <w:rPr>
          <w:bCs/>
          <w:color w:val="auto"/>
          <w:sz w:val="22"/>
          <w:szCs w:val="22"/>
        </w:rPr>
        <w:t xml:space="preserve">“Special Circumstances: Limited Data Sets and De-Identification of PHI” for more information. </w:t>
      </w:r>
    </w:p>
    <w:p w14:paraId="4A4FFE90" w14:textId="77777777" w:rsidR="00903915" w:rsidRDefault="00903915" w:rsidP="001C01CA">
      <w:pPr>
        <w:pStyle w:val="NoSpacing"/>
        <w:ind w:left="360" w:hanging="360"/>
        <w:rPr>
          <w:b/>
          <w:color w:val="auto"/>
          <w:sz w:val="22"/>
          <w:szCs w:val="22"/>
        </w:rPr>
      </w:pPr>
    </w:p>
    <w:p w14:paraId="0CCEF76E" w14:textId="4B5107CA" w:rsidR="00142909" w:rsidRDefault="00903915" w:rsidP="00492D3C">
      <w:pPr>
        <w:pStyle w:val="NoSpacing"/>
        <w:ind w:left="360" w:hanging="360"/>
        <w:outlineLvl w:val="0"/>
        <w:rPr>
          <w:b/>
          <w:color w:val="auto"/>
          <w:sz w:val="22"/>
          <w:szCs w:val="22"/>
        </w:rPr>
      </w:pPr>
      <w:r>
        <w:rPr>
          <w:b/>
          <w:color w:val="auto"/>
          <w:sz w:val="22"/>
          <w:szCs w:val="22"/>
        </w:rPr>
        <w:t>13</w:t>
      </w:r>
      <w:r w:rsidR="00142909" w:rsidRPr="00CD274A">
        <w:rPr>
          <w:b/>
          <w:color w:val="auto"/>
          <w:sz w:val="22"/>
          <w:szCs w:val="22"/>
        </w:rPr>
        <w:t xml:space="preserve"> </w:t>
      </w:r>
      <w:r w:rsidR="00142909" w:rsidRPr="00CD274A">
        <w:rPr>
          <w:b/>
          <w:color w:val="auto"/>
          <w:sz w:val="22"/>
          <w:szCs w:val="22"/>
        </w:rPr>
        <w:tab/>
        <w:t>RELATED MATERIALS</w:t>
      </w:r>
    </w:p>
    <w:p w14:paraId="7AF700B0" w14:textId="77777777" w:rsidR="00142909" w:rsidRDefault="00142909" w:rsidP="001C01CA">
      <w:pPr>
        <w:pStyle w:val="NoSpacing"/>
        <w:ind w:left="360" w:hanging="360"/>
        <w:rPr>
          <w:color w:val="auto"/>
          <w:sz w:val="22"/>
          <w:szCs w:val="22"/>
        </w:rPr>
      </w:pPr>
    </w:p>
    <w:p w14:paraId="2ADF0298" w14:textId="5550A52C" w:rsidR="00142909" w:rsidRDefault="00B96799" w:rsidP="001C01CA">
      <w:pPr>
        <w:pStyle w:val="NoSpacing"/>
        <w:ind w:left="360"/>
        <w:rPr>
          <w:color w:val="auto"/>
          <w:sz w:val="22"/>
          <w:szCs w:val="22"/>
        </w:rPr>
      </w:pPr>
      <w:hyperlink r:id="rId27" w:history="1">
        <w:r w:rsidRPr="00B96799">
          <w:rPr>
            <w:rStyle w:val="Hyperlink"/>
            <w:sz w:val="22"/>
            <w:szCs w:val="22"/>
          </w:rPr>
          <w:t>APPLICATION IRB Protocol, No Contact with Subjects</w:t>
        </w:r>
      </w:hyperlink>
    </w:p>
    <w:p w14:paraId="2D034E21" w14:textId="2F251309" w:rsidR="002E514F" w:rsidRDefault="002E514F" w:rsidP="001C01CA">
      <w:pPr>
        <w:pStyle w:val="NoSpacing"/>
        <w:ind w:left="360"/>
        <w:rPr>
          <w:color w:val="auto"/>
          <w:sz w:val="22"/>
          <w:szCs w:val="22"/>
        </w:rPr>
      </w:pPr>
      <w:hyperlink r:id="rId28" w:history="1">
        <w:r w:rsidRPr="002E514F">
          <w:rPr>
            <w:rStyle w:val="Hyperlink"/>
            <w:sz w:val="22"/>
            <w:szCs w:val="22"/>
          </w:rPr>
          <w:t>GUIDANCE Case Reports, IRB Review and HIPAA</w:t>
        </w:r>
      </w:hyperlink>
    </w:p>
    <w:p w14:paraId="1398678B" w14:textId="48C1E789" w:rsidR="00B96799" w:rsidRDefault="00B96799" w:rsidP="001C01CA">
      <w:pPr>
        <w:pStyle w:val="NoSpacing"/>
        <w:ind w:left="360"/>
        <w:rPr>
          <w:color w:val="auto"/>
          <w:sz w:val="22"/>
          <w:szCs w:val="22"/>
        </w:rPr>
      </w:pPr>
      <w:hyperlink r:id="rId29" w:history="1">
        <w:r w:rsidRPr="00B96799">
          <w:rPr>
            <w:rStyle w:val="Hyperlink"/>
            <w:sz w:val="22"/>
            <w:szCs w:val="22"/>
          </w:rPr>
          <w:t>GUIDANCE Consent</w:t>
        </w:r>
      </w:hyperlink>
    </w:p>
    <w:p w14:paraId="5CAD225A" w14:textId="776123C2" w:rsidR="00B96799" w:rsidRDefault="00B96799" w:rsidP="001C01CA">
      <w:pPr>
        <w:pStyle w:val="NoSpacing"/>
        <w:ind w:left="360"/>
        <w:rPr>
          <w:color w:val="auto"/>
          <w:sz w:val="22"/>
          <w:szCs w:val="22"/>
        </w:rPr>
      </w:pPr>
      <w:hyperlink r:id="rId30" w:history="1">
        <w:r w:rsidRPr="00B96799">
          <w:rPr>
            <w:rStyle w:val="Hyperlink"/>
            <w:sz w:val="22"/>
            <w:szCs w:val="22"/>
          </w:rPr>
          <w:t>SOP HIPAA</w:t>
        </w:r>
      </w:hyperlink>
    </w:p>
    <w:p w14:paraId="7DFE7A09" w14:textId="4B8A7F77" w:rsidR="00B96799" w:rsidRDefault="00B96799" w:rsidP="001C01CA">
      <w:pPr>
        <w:pStyle w:val="NoSpacing"/>
        <w:ind w:left="360"/>
        <w:rPr>
          <w:color w:val="auto"/>
          <w:sz w:val="22"/>
          <w:szCs w:val="22"/>
        </w:rPr>
      </w:pPr>
      <w:hyperlink r:id="rId31" w:history="1">
        <w:r w:rsidRPr="00B96799">
          <w:rPr>
            <w:rStyle w:val="Hyperlink"/>
            <w:sz w:val="22"/>
            <w:szCs w:val="22"/>
          </w:rPr>
          <w:t>TEMPLATE HIPAA Authorization</w:t>
        </w:r>
      </w:hyperlink>
    </w:p>
    <w:p w14:paraId="0FC55A54" w14:textId="2824FCE4" w:rsidR="00B96799" w:rsidRDefault="00B96799" w:rsidP="001C01CA">
      <w:pPr>
        <w:pStyle w:val="NoSpacing"/>
        <w:ind w:left="360"/>
        <w:rPr>
          <w:color w:val="auto"/>
          <w:sz w:val="22"/>
          <w:szCs w:val="22"/>
        </w:rPr>
      </w:pPr>
      <w:hyperlink r:id="rId32" w:history="1">
        <w:r w:rsidRPr="001247CB">
          <w:rPr>
            <w:rStyle w:val="Hyperlink"/>
            <w:sz w:val="22"/>
            <w:szCs w:val="22"/>
          </w:rPr>
          <w:t>TEMPLATE HIPAA Authorization, Pregnan</w:t>
        </w:r>
        <w:r w:rsidR="001247CB" w:rsidRPr="001247CB">
          <w:rPr>
            <w:rStyle w:val="Hyperlink"/>
            <w:sz w:val="22"/>
            <w:szCs w:val="22"/>
          </w:rPr>
          <w:t>cy</w:t>
        </w:r>
      </w:hyperlink>
    </w:p>
    <w:p w14:paraId="1B2C0CCE" w14:textId="03FA2FE5" w:rsidR="00B96799" w:rsidRDefault="00B96799" w:rsidP="001C01CA">
      <w:pPr>
        <w:pStyle w:val="NoSpacing"/>
        <w:ind w:left="360"/>
        <w:rPr>
          <w:color w:val="auto"/>
          <w:sz w:val="22"/>
          <w:szCs w:val="22"/>
        </w:rPr>
      </w:pPr>
      <w:hyperlink r:id="rId33" w:history="1">
        <w:r w:rsidRPr="00B96799">
          <w:rPr>
            <w:rStyle w:val="Hyperlink"/>
            <w:sz w:val="22"/>
            <w:szCs w:val="22"/>
          </w:rPr>
          <w:t>WORKSHEET Consent Requirements and Waivers</w:t>
        </w:r>
      </w:hyperlink>
    </w:p>
    <w:p w14:paraId="00778EC3" w14:textId="01024A95" w:rsidR="00B96799" w:rsidRDefault="00B96799" w:rsidP="001C01CA">
      <w:pPr>
        <w:pStyle w:val="NoSpacing"/>
        <w:ind w:left="360"/>
        <w:rPr>
          <w:color w:val="auto"/>
          <w:sz w:val="22"/>
          <w:szCs w:val="22"/>
        </w:rPr>
      </w:pPr>
      <w:hyperlink r:id="rId34" w:history="1">
        <w:r w:rsidRPr="00B45986">
          <w:rPr>
            <w:rStyle w:val="Hyperlink"/>
            <w:sz w:val="22"/>
            <w:szCs w:val="22"/>
          </w:rPr>
          <w:t>WORKSHEET Human Subjects Research Determination</w:t>
        </w:r>
      </w:hyperlink>
    </w:p>
    <w:p w14:paraId="7B9703DF" w14:textId="77777777" w:rsidR="00B96799" w:rsidRDefault="00B96799" w:rsidP="001C01CA">
      <w:pPr>
        <w:pStyle w:val="NoSpacing"/>
        <w:rPr>
          <w:color w:val="auto"/>
          <w:sz w:val="22"/>
          <w:szCs w:val="22"/>
        </w:rPr>
      </w:pPr>
    </w:p>
    <w:p w14:paraId="4873579C" w14:textId="493A312E" w:rsidR="00142909" w:rsidRDefault="00903915" w:rsidP="00492D3C">
      <w:pPr>
        <w:pStyle w:val="NoSpacing"/>
        <w:ind w:left="360" w:hanging="360"/>
        <w:outlineLvl w:val="0"/>
        <w:rPr>
          <w:b/>
          <w:bCs/>
          <w:color w:val="auto"/>
          <w:sz w:val="22"/>
          <w:szCs w:val="22"/>
        </w:rPr>
      </w:pPr>
      <w:r>
        <w:rPr>
          <w:b/>
          <w:bCs/>
          <w:color w:val="auto"/>
          <w:sz w:val="22"/>
          <w:szCs w:val="22"/>
        </w:rPr>
        <w:t>14</w:t>
      </w:r>
      <w:r w:rsidR="00142909" w:rsidRPr="1301FCCD">
        <w:rPr>
          <w:b/>
          <w:bCs/>
          <w:color w:val="auto"/>
          <w:sz w:val="22"/>
          <w:szCs w:val="22"/>
        </w:rPr>
        <w:t xml:space="preserve"> </w:t>
      </w:r>
      <w:r w:rsidR="00142909" w:rsidRPr="00CD274A">
        <w:rPr>
          <w:b/>
          <w:color w:val="auto"/>
          <w:sz w:val="22"/>
          <w:szCs w:val="22"/>
        </w:rPr>
        <w:tab/>
      </w:r>
      <w:r w:rsidR="00142909" w:rsidRPr="1301FCCD">
        <w:rPr>
          <w:b/>
          <w:bCs/>
          <w:color w:val="auto"/>
          <w:sz w:val="22"/>
          <w:szCs w:val="22"/>
        </w:rPr>
        <w:t>REFERENCES</w:t>
      </w:r>
      <w:r w:rsidR="000406B3" w:rsidRPr="1301FCCD">
        <w:rPr>
          <w:b/>
          <w:bCs/>
          <w:color w:val="auto"/>
          <w:sz w:val="22"/>
          <w:szCs w:val="22"/>
        </w:rPr>
        <w:t xml:space="preserve"> </w:t>
      </w:r>
    </w:p>
    <w:p w14:paraId="14328AA7" w14:textId="77777777" w:rsidR="002E514F" w:rsidRDefault="002E514F" w:rsidP="001C01CA">
      <w:pPr>
        <w:pStyle w:val="NoSpacing"/>
        <w:ind w:left="360" w:hanging="360"/>
        <w:rPr>
          <w:b/>
          <w:bCs/>
          <w:color w:val="auto"/>
          <w:sz w:val="22"/>
          <w:szCs w:val="22"/>
        </w:rPr>
      </w:pPr>
    </w:p>
    <w:p w14:paraId="32638F95" w14:textId="25635ECA" w:rsidR="002E514F" w:rsidRDefault="002E514F" w:rsidP="001C01CA">
      <w:pPr>
        <w:pStyle w:val="NoSpacing"/>
        <w:ind w:left="360"/>
        <w:rPr>
          <w:color w:val="auto"/>
          <w:sz w:val="22"/>
          <w:szCs w:val="22"/>
        </w:rPr>
      </w:pPr>
      <w:r>
        <w:rPr>
          <w:color w:val="auto"/>
          <w:sz w:val="22"/>
          <w:szCs w:val="22"/>
        </w:rPr>
        <w:t xml:space="preserve">Health Insurance Portability and Accountability Act (HIPAA) 45 CFR 164, </w:t>
      </w:r>
      <w:hyperlink r:id="rId35" w:history="1">
        <w:r w:rsidRPr="008E0490">
          <w:rPr>
            <w:rStyle w:val="Hyperlink"/>
            <w:sz w:val="22"/>
            <w:szCs w:val="22"/>
          </w:rPr>
          <w:t>“Security and Privacy”</w:t>
        </w:r>
      </w:hyperlink>
    </w:p>
    <w:p w14:paraId="42197DF2" w14:textId="669ED080" w:rsidR="002E514F" w:rsidRDefault="002E514F" w:rsidP="001C01CA">
      <w:pPr>
        <w:pStyle w:val="NoSpacing"/>
        <w:ind w:left="360"/>
        <w:rPr>
          <w:color w:val="auto"/>
          <w:sz w:val="22"/>
          <w:szCs w:val="22"/>
        </w:rPr>
      </w:pPr>
      <w:r>
        <w:rPr>
          <w:color w:val="auto"/>
          <w:sz w:val="22"/>
          <w:szCs w:val="22"/>
        </w:rPr>
        <w:t xml:space="preserve">Office of Civil Rights, </w:t>
      </w:r>
      <w:hyperlink r:id="rId36" w:history="1">
        <w:r w:rsidRPr="008E0490">
          <w:rPr>
            <w:rStyle w:val="Hyperlink"/>
            <w:sz w:val="22"/>
            <w:szCs w:val="22"/>
          </w:rPr>
          <w:t>“Summary of the HIPAA Privacy Rule”</w:t>
        </w:r>
      </w:hyperlink>
    </w:p>
    <w:p w14:paraId="5336892F" w14:textId="72D50515" w:rsidR="002E514F" w:rsidRDefault="002E514F" w:rsidP="001C01CA">
      <w:pPr>
        <w:pStyle w:val="NoSpacing"/>
        <w:ind w:left="360"/>
        <w:rPr>
          <w:color w:val="auto"/>
          <w:sz w:val="22"/>
          <w:szCs w:val="22"/>
        </w:rPr>
      </w:pPr>
      <w:r>
        <w:rPr>
          <w:color w:val="auto"/>
          <w:sz w:val="22"/>
          <w:szCs w:val="22"/>
        </w:rPr>
        <w:t>WA RCW 70.02</w:t>
      </w:r>
      <w:r w:rsidR="00E87D27">
        <w:rPr>
          <w:color w:val="auto"/>
          <w:sz w:val="22"/>
          <w:szCs w:val="22"/>
        </w:rPr>
        <w:t xml:space="preserve">, </w:t>
      </w:r>
      <w:hyperlink r:id="rId37" w:history="1">
        <w:r w:rsidR="00E87D27" w:rsidRPr="00E87D27">
          <w:rPr>
            <w:rStyle w:val="Hyperlink"/>
            <w:sz w:val="22"/>
            <w:szCs w:val="22"/>
          </w:rPr>
          <w:t>“Medical Records – Health Care Information Access and Disclosure”</w:t>
        </w:r>
      </w:hyperlink>
    </w:p>
    <w:p w14:paraId="27E04327" w14:textId="4DFB0603" w:rsidR="002E514F" w:rsidRDefault="002E514F" w:rsidP="001C01CA">
      <w:pPr>
        <w:pStyle w:val="NoSpacing"/>
        <w:ind w:left="360"/>
        <w:rPr>
          <w:color w:val="auto"/>
          <w:sz w:val="22"/>
          <w:szCs w:val="22"/>
        </w:rPr>
      </w:pPr>
      <w:r>
        <w:rPr>
          <w:color w:val="auto"/>
          <w:sz w:val="22"/>
          <w:szCs w:val="22"/>
        </w:rPr>
        <w:t>WA RCW 70.96A.150</w:t>
      </w:r>
      <w:r w:rsidR="00E87D27">
        <w:rPr>
          <w:color w:val="auto"/>
          <w:sz w:val="22"/>
          <w:szCs w:val="22"/>
        </w:rPr>
        <w:t xml:space="preserve">, </w:t>
      </w:r>
      <w:hyperlink r:id="rId38" w:history="1">
        <w:r w:rsidR="00E87D27" w:rsidRPr="00E87D27">
          <w:rPr>
            <w:rStyle w:val="Hyperlink"/>
            <w:sz w:val="22"/>
            <w:szCs w:val="22"/>
          </w:rPr>
          <w:t>“</w:t>
        </w:r>
        <w:r w:rsidR="00E87D27">
          <w:rPr>
            <w:rStyle w:val="Hyperlink"/>
            <w:sz w:val="22"/>
            <w:szCs w:val="22"/>
          </w:rPr>
          <w:t>T</w:t>
        </w:r>
        <w:r w:rsidR="00E87D27" w:rsidRPr="00E87D27">
          <w:rPr>
            <w:rStyle w:val="Hyperlink"/>
            <w:sz w:val="22"/>
            <w:szCs w:val="22"/>
          </w:rPr>
          <w:t>reat</w:t>
        </w:r>
        <w:r w:rsidR="00E87D27">
          <w:rPr>
            <w:rStyle w:val="Hyperlink"/>
            <w:sz w:val="22"/>
            <w:szCs w:val="22"/>
          </w:rPr>
          <w:t>ment</w:t>
        </w:r>
        <w:r w:rsidR="00E87D27" w:rsidRPr="00E87D27">
          <w:rPr>
            <w:rStyle w:val="Hyperlink"/>
            <w:sz w:val="22"/>
            <w:szCs w:val="22"/>
          </w:rPr>
          <w:t xml:space="preserve"> for </w:t>
        </w:r>
        <w:r w:rsidR="00E87D27">
          <w:rPr>
            <w:rStyle w:val="Hyperlink"/>
            <w:sz w:val="22"/>
            <w:szCs w:val="22"/>
          </w:rPr>
          <w:t>A</w:t>
        </w:r>
        <w:r w:rsidR="00E87D27" w:rsidRPr="00E87D27">
          <w:rPr>
            <w:rStyle w:val="Hyperlink"/>
            <w:sz w:val="22"/>
            <w:szCs w:val="22"/>
          </w:rPr>
          <w:t>lcoholism</w:t>
        </w:r>
        <w:r w:rsidR="00E87D27">
          <w:rPr>
            <w:rStyle w:val="Hyperlink"/>
            <w:sz w:val="22"/>
            <w:szCs w:val="22"/>
          </w:rPr>
          <w:t>, Intoxication,</w:t>
        </w:r>
        <w:r w:rsidR="00E87D27" w:rsidRPr="00E87D27">
          <w:rPr>
            <w:rStyle w:val="Hyperlink"/>
            <w:sz w:val="22"/>
            <w:szCs w:val="22"/>
          </w:rPr>
          <w:t xml:space="preserve"> and </w:t>
        </w:r>
        <w:r w:rsidR="00E87D27">
          <w:rPr>
            <w:rStyle w:val="Hyperlink"/>
            <w:sz w:val="22"/>
            <w:szCs w:val="22"/>
          </w:rPr>
          <w:t>D</w:t>
        </w:r>
        <w:r w:rsidR="00E87D27" w:rsidRPr="00E87D27">
          <w:rPr>
            <w:rStyle w:val="Hyperlink"/>
            <w:sz w:val="22"/>
            <w:szCs w:val="22"/>
          </w:rPr>
          <w:t xml:space="preserve">rug </w:t>
        </w:r>
        <w:r w:rsidR="00E87D27">
          <w:rPr>
            <w:rStyle w:val="Hyperlink"/>
            <w:sz w:val="22"/>
            <w:szCs w:val="22"/>
          </w:rPr>
          <w:t>A</w:t>
        </w:r>
        <w:r w:rsidR="00E87D27" w:rsidRPr="00E87D27">
          <w:rPr>
            <w:rStyle w:val="Hyperlink"/>
            <w:sz w:val="22"/>
            <w:szCs w:val="22"/>
          </w:rPr>
          <w:t>ddiction”</w:t>
        </w:r>
      </w:hyperlink>
    </w:p>
    <w:p w14:paraId="1133CD63" w14:textId="3E070EC8" w:rsidR="00E87D27" w:rsidRDefault="00E87D27" w:rsidP="001C01CA">
      <w:pPr>
        <w:pStyle w:val="NoSpacing"/>
        <w:ind w:left="630" w:hanging="270"/>
        <w:rPr>
          <w:color w:val="auto"/>
          <w:sz w:val="22"/>
          <w:szCs w:val="22"/>
        </w:rPr>
      </w:pPr>
      <w:r w:rsidRPr="00E87D27">
        <w:rPr>
          <w:color w:val="auto"/>
          <w:sz w:val="22"/>
          <w:szCs w:val="22"/>
        </w:rPr>
        <w:t>UW Medicine Compliance Polic</w:t>
      </w:r>
      <w:r>
        <w:rPr>
          <w:color w:val="auto"/>
          <w:sz w:val="22"/>
          <w:szCs w:val="22"/>
        </w:rPr>
        <w:t xml:space="preserve">y COMP.101, </w:t>
      </w:r>
      <w:hyperlink r:id="rId39" w:history="1">
        <w:r w:rsidRPr="00E87D27">
          <w:rPr>
            <w:rStyle w:val="Hyperlink"/>
            <w:sz w:val="22"/>
            <w:szCs w:val="22"/>
          </w:rPr>
          <w:t>“Patient Information Privacy and Security Compliance Program and Administrative Requirements”</w:t>
        </w:r>
      </w:hyperlink>
    </w:p>
    <w:p w14:paraId="54FE7DAC" w14:textId="603CF05C" w:rsidR="002E514F" w:rsidRDefault="002E514F" w:rsidP="001C01CA">
      <w:pPr>
        <w:pStyle w:val="NoSpacing"/>
        <w:ind w:left="360"/>
        <w:rPr>
          <w:color w:val="auto"/>
          <w:sz w:val="22"/>
          <w:szCs w:val="22"/>
        </w:rPr>
      </w:pPr>
      <w:r w:rsidRPr="00E87D27">
        <w:rPr>
          <w:color w:val="auto"/>
          <w:sz w:val="22"/>
          <w:szCs w:val="22"/>
        </w:rPr>
        <w:t>UW Medicine Compliance Polic</w:t>
      </w:r>
      <w:r w:rsidR="00E87D27">
        <w:rPr>
          <w:color w:val="auto"/>
          <w:sz w:val="22"/>
          <w:szCs w:val="22"/>
        </w:rPr>
        <w:t xml:space="preserve">y COMP.103, </w:t>
      </w:r>
      <w:hyperlink r:id="rId40" w:history="1">
        <w:r w:rsidR="00E87D27" w:rsidRPr="00E87D27">
          <w:rPr>
            <w:rStyle w:val="Hyperlink"/>
            <w:sz w:val="22"/>
            <w:szCs w:val="22"/>
          </w:rPr>
          <w:t>“Use and Disclosure of Protected Health Information (PHI)”</w:t>
        </w:r>
      </w:hyperlink>
    </w:p>
    <w:p w14:paraId="0BF4E613" w14:textId="2E54D7F9" w:rsidR="00142909" w:rsidRDefault="000904C0" w:rsidP="001C01CA">
      <w:pPr>
        <w:pStyle w:val="NoSpacing"/>
        <w:tabs>
          <w:tab w:val="left" w:pos="4575"/>
        </w:tabs>
        <w:ind w:left="360" w:hanging="360"/>
        <w:rPr>
          <w:color w:val="auto"/>
          <w:sz w:val="22"/>
          <w:szCs w:val="22"/>
        </w:rPr>
      </w:pPr>
      <w:r>
        <w:rPr>
          <w:color w:val="auto"/>
          <w:sz w:val="22"/>
          <w:szCs w:val="22"/>
        </w:rPr>
        <w:tab/>
      </w:r>
      <w:r>
        <w:rPr>
          <w:color w:val="auto"/>
          <w:sz w:val="22"/>
          <w:szCs w:val="22"/>
        </w:rPr>
        <w:tab/>
      </w:r>
    </w:p>
    <w:p w14:paraId="09C1F33E" w14:textId="77777777" w:rsidR="00402916" w:rsidRDefault="00402916" w:rsidP="001C01CA">
      <w:pPr>
        <w:pStyle w:val="NoSpacing"/>
        <w:ind w:left="360" w:hanging="360"/>
        <w:rPr>
          <w:color w:val="auto"/>
          <w:sz w:val="22"/>
          <w:szCs w:val="22"/>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160"/>
        <w:gridCol w:w="1755"/>
        <w:gridCol w:w="1755"/>
        <w:gridCol w:w="4500"/>
      </w:tblGrid>
      <w:tr w:rsidR="00B9263B" w:rsidRPr="00ED134C" w14:paraId="237E37BD" w14:textId="77777777" w:rsidTr="001C01CA">
        <w:trPr>
          <w:trHeight w:val="233"/>
          <w:tblHead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47909E1" w14:textId="413268A5" w:rsidR="00B9263B" w:rsidRPr="00954C91" w:rsidRDefault="791D9845" w:rsidP="00492D3C">
            <w:pPr>
              <w:pStyle w:val="NoSpacing"/>
              <w:jc w:val="center"/>
              <w:rPr>
                <w:b/>
                <w:bCs/>
                <w:color w:val="FFFFFF" w:themeColor="background1"/>
                <w:sz w:val="22"/>
                <w:szCs w:val="22"/>
              </w:rPr>
            </w:pPr>
            <w:r w:rsidRPr="00954C91">
              <w:rPr>
                <w:color w:val="FFFFFF" w:themeColor="background1"/>
                <w:sz w:val="22"/>
                <w:szCs w:val="22"/>
              </w:rPr>
              <w:t xml:space="preserve"> </w:t>
            </w:r>
            <w:r w:rsidR="011323B6" w:rsidRPr="00954C91">
              <w:rPr>
                <w:b/>
                <w:bCs/>
                <w:color w:val="FFFFFF" w:themeColor="background1"/>
                <w:sz w:val="22"/>
                <w:szCs w:val="22"/>
              </w:rPr>
              <w:t>Version Number</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27CE0B1" w14:textId="77777777" w:rsidR="00B9263B" w:rsidRPr="00954C91" w:rsidRDefault="011323B6" w:rsidP="00492D3C">
            <w:pPr>
              <w:pStyle w:val="NoSpacing"/>
              <w:jc w:val="center"/>
              <w:rPr>
                <w:b/>
                <w:bCs/>
                <w:color w:val="FFFFFF" w:themeColor="background1"/>
                <w:sz w:val="22"/>
                <w:szCs w:val="22"/>
              </w:rPr>
            </w:pPr>
            <w:r w:rsidRPr="00954C91">
              <w:rPr>
                <w:b/>
                <w:bCs/>
                <w:color w:val="FFFFFF" w:themeColor="background1"/>
                <w:sz w:val="22"/>
                <w:szCs w:val="22"/>
              </w:rPr>
              <w:t>Posted Date</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BC4CBFB" w14:textId="77777777" w:rsidR="00B9263B" w:rsidRPr="00954C91" w:rsidRDefault="011323B6" w:rsidP="00492D3C">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D22265" w14:textId="77777777" w:rsidR="00B9263B" w:rsidRPr="00954C91" w:rsidRDefault="011323B6" w:rsidP="00492D3C">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1C01CA" w:rsidRPr="00D26748" w14:paraId="0AF359C2"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6D368" w14:textId="4E42B2DD" w:rsidR="001C01CA" w:rsidRDefault="001C01CA"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2.6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8E35E" w14:textId="0D446549" w:rsidR="001C01CA" w:rsidRDefault="001C01CA"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02.26.2026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77BE5" w14:textId="0F096321" w:rsidR="001C01CA" w:rsidRDefault="001C01CA"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02.26.2026</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8C5A6" w14:textId="15BE97FF" w:rsidR="001C01CA" w:rsidRPr="00975E49" w:rsidRDefault="001C01CA" w:rsidP="00492D3C">
            <w:pPr>
              <w:pStyle w:val="NoSpacing"/>
              <w:rPr>
                <w:rFonts w:ascii="Calibri" w:eastAsiaTheme="majorEastAsia" w:hAnsi="Calibri" w:cstheme="majorBidi"/>
                <w:color w:val="auto"/>
                <w:sz w:val="22"/>
                <w:szCs w:val="22"/>
              </w:rPr>
            </w:pPr>
            <w:r>
              <w:rPr>
                <w:rFonts w:ascii="Calibri" w:eastAsiaTheme="majorEastAsia" w:hAnsi="Calibri" w:cstheme="majorBidi"/>
                <w:color w:val="auto"/>
                <w:sz w:val="22"/>
                <w:szCs w:val="22"/>
              </w:rPr>
              <w:t>Updates for accessibility</w:t>
            </w:r>
          </w:p>
        </w:tc>
      </w:tr>
      <w:tr w:rsidR="00975E49" w:rsidRPr="00D26748" w14:paraId="6B282089"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1C30DD" w14:textId="3E7D47AD" w:rsidR="00975E49" w:rsidRDefault="00975E49"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2.5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B5AF0" w14:textId="0F8DBAEC" w:rsidR="00975E49" w:rsidRDefault="00975E49"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08.28.2025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2C7C0F" w14:textId="4D7989EB" w:rsidR="00975E49" w:rsidRDefault="00975E49"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08.28.2025</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0213F" w14:textId="6F4EA42D" w:rsidR="00975E49" w:rsidRDefault="00975E49" w:rsidP="00492D3C">
            <w:pPr>
              <w:pStyle w:val="NoSpacing"/>
              <w:rPr>
                <w:rFonts w:ascii="Calibri" w:eastAsiaTheme="majorEastAsia" w:hAnsi="Calibri" w:cstheme="majorBidi"/>
                <w:color w:val="auto"/>
                <w:sz w:val="22"/>
                <w:szCs w:val="22"/>
              </w:rPr>
            </w:pPr>
            <w:r w:rsidRPr="00975E49">
              <w:rPr>
                <w:rFonts w:ascii="Calibri" w:eastAsiaTheme="majorEastAsia" w:hAnsi="Calibri" w:cstheme="majorBidi"/>
                <w:color w:val="auto"/>
                <w:sz w:val="22"/>
                <w:szCs w:val="22"/>
              </w:rPr>
              <w:t>Revised to reference UW Medicine’s new honest broker policy and policy for the release of clinical data</w:t>
            </w:r>
          </w:p>
        </w:tc>
      </w:tr>
      <w:tr w:rsidR="00CE1B9F" w:rsidRPr="00D26748" w14:paraId="007B1654"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0C384" w14:textId="605D1E05" w:rsidR="00CE1B9F" w:rsidRPr="001247CB" w:rsidRDefault="00CE1B9F"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2.4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95880" w14:textId="2B6F9DE8" w:rsidR="00CE1B9F" w:rsidRPr="001247CB" w:rsidRDefault="00E445A5"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4F8A9" w14:textId="0AC3DB5C" w:rsidR="00CE1B9F" w:rsidRPr="001247CB" w:rsidRDefault="00E445A5"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06.26.2025</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43893" w14:textId="2F9F7949" w:rsidR="00CE1B9F" w:rsidRDefault="00CE1B9F" w:rsidP="00492D3C">
            <w:pPr>
              <w:pStyle w:val="NoSpacing"/>
              <w:rPr>
                <w:rFonts w:ascii="Calibri" w:eastAsiaTheme="majorEastAsia" w:hAnsi="Calibri" w:cstheme="majorBidi"/>
                <w:color w:val="auto"/>
                <w:sz w:val="22"/>
                <w:szCs w:val="22"/>
              </w:rPr>
            </w:pPr>
            <w:r>
              <w:rPr>
                <w:rFonts w:ascii="Calibri" w:eastAsiaTheme="majorEastAsia" w:hAnsi="Calibri" w:cstheme="majorBidi"/>
                <w:color w:val="auto"/>
                <w:sz w:val="22"/>
                <w:szCs w:val="22"/>
              </w:rPr>
              <w:t>Update information about allowable eSignatures for HIPAA.</w:t>
            </w:r>
            <w:r w:rsidR="00494460">
              <w:rPr>
                <w:rFonts w:ascii="Calibri" w:eastAsiaTheme="majorEastAsia" w:hAnsi="Calibri" w:cstheme="majorBidi"/>
                <w:color w:val="auto"/>
                <w:sz w:val="22"/>
                <w:szCs w:val="22"/>
              </w:rPr>
              <w:t xml:space="preserve"> Updated the term “subjects” to “participants” where applicable. </w:t>
            </w:r>
          </w:p>
        </w:tc>
      </w:tr>
      <w:tr w:rsidR="001247CB" w:rsidRPr="00D26748" w14:paraId="7305ECEE"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83530" w14:textId="2660A66E" w:rsidR="001247CB" w:rsidRPr="001247CB" w:rsidRDefault="001247CB" w:rsidP="00492D3C">
            <w:pPr>
              <w:pStyle w:val="NoSpacing"/>
              <w:jc w:val="center"/>
              <w:rPr>
                <w:rFonts w:ascii="Calibri" w:eastAsiaTheme="majorEastAsia" w:hAnsi="Calibri" w:cstheme="majorBidi"/>
                <w:color w:val="auto"/>
                <w:sz w:val="22"/>
                <w:szCs w:val="22"/>
              </w:rPr>
            </w:pPr>
            <w:r w:rsidRPr="001247CB">
              <w:rPr>
                <w:rFonts w:ascii="Calibri" w:eastAsiaTheme="majorEastAsia" w:hAnsi="Calibri" w:cstheme="majorBidi"/>
                <w:color w:val="auto"/>
                <w:sz w:val="22"/>
                <w:szCs w:val="22"/>
              </w:rPr>
              <w:t>2.3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D4AC7" w14:textId="3362DFCF" w:rsidR="001247CB" w:rsidRPr="001247CB" w:rsidRDefault="001247CB" w:rsidP="00492D3C">
            <w:pPr>
              <w:pStyle w:val="NoSpacing"/>
              <w:jc w:val="center"/>
              <w:rPr>
                <w:rFonts w:ascii="Calibri" w:eastAsiaTheme="majorEastAsia" w:hAnsi="Calibri" w:cstheme="majorBidi"/>
                <w:color w:val="auto"/>
                <w:sz w:val="22"/>
                <w:szCs w:val="22"/>
              </w:rPr>
            </w:pPr>
            <w:r w:rsidRPr="001247CB">
              <w:rPr>
                <w:rFonts w:ascii="Calibri" w:eastAsiaTheme="majorEastAsia" w:hAnsi="Calibri" w:cstheme="majorBidi"/>
                <w:color w:val="auto"/>
                <w:sz w:val="22"/>
                <w:szCs w:val="22"/>
              </w:rPr>
              <w:t>05.01.2025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EA940E" w14:textId="2C481FD2" w:rsidR="001247CB" w:rsidRPr="001247CB" w:rsidRDefault="001247CB" w:rsidP="00492D3C">
            <w:pPr>
              <w:pStyle w:val="NoSpacing"/>
              <w:jc w:val="center"/>
              <w:rPr>
                <w:rFonts w:ascii="Calibri" w:eastAsiaTheme="majorEastAsia" w:hAnsi="Calibri" w:cstheme="majorBidi"/>
                <w:color w:val="auto"/>
                <w:sz w:val="22"/>
                <w:szCs w:val="22"/>
              </w:rPr>
            </w:pPr>
            <w:r w:rsidRPr="001247CB">
              <w:rPr>
                <w:rFonts w:ascii="Calibri" w:eastAsiaTheme="majorEastAsia" w:hAnsi="Calibri" w:cstheme="majorBidi"/>
                <w:color w:val="auto"/>
                <w:sz w:val="22"/>
                <w:szCs w:val="22"/>
              </w:rPr>
              <w:t>05.01.2025</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E95CE" w14:textId="44074EC5" w:rsidR="001247CB" w:rsidRPr="001247CB" w:rsidRDefault="001247CB" w:rsidP="00492D3C">
            <w:pPr>
              <w:pStyle w:val="NoSpacing"/>
              <w:rPr>
                <w:rFonts w:ascii="Calibri" w:eastAsiaTheme="majorEastAsia" w:hAnsi="Calibri" w:cstheme="majorBidi"/>
                <w:color w:val="auto"/>
                <w:sz w:val="22"/>
                <w:szCs w:val="22"/>
              </w:rPr>
            </w:pPr>
            <w:r>
              <w:rPr>
                <w:rFonts w:ascii="Calibri" w:eastAsiaTheme="majorEastAsia" w:hAnsi="Calibri" w:cstheme="majorBidi"/>
                <w:color w:val="auto"/>
                <w:sz w:val="22"/>
                <w:szCs w:val="22"/>
              </w:rPr>
              <w:t>Add note that HIPAA Authorization for UW Medicine PHI may not be obtained using language in the research consent form</w:t>
            </w:r>
          </w:p>
        </w:tc>
      </w:tr>
      <w:tr w:rsidR="00903915" w:rsidRPr="00D26748" w14:paraId="03CF7C0D"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D063B" w14:textId="2A43C74C" w:rsidR="00903915" w:rsidRPr="00543DD2" w:rsidRDefault="00903915" w:rsidP="00492D3C">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4E498" w14:textId="64CDFF9D" w:rsidR="00903915" w:rsidRDefault="00903915" w:rsidP="00492D3C">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04.27.2023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FE713" w14:textId="1E8A6FFD" w:rsidR="00903915" w:rsidRPr="00543DD2" w:rsidRDefault="00903915" w:rsidP="00492D3C">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2"/>
              </w:rPr>
              <w:t>04.27.2023</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0865E" w14:textId="0F735EC5" w:rsidR="00903915" w:rsidRPr="00543DD2" w:rsidRDefault="00903915" w:rsidP="00492D3C">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 xml:space="preserve">Add information about when embedded HIPAA authorization language in the consent form is permitted; remove reference to UW as IRB of record for </w:t>
            </w:r>
            <w:proofErr w:type="spellStart"/>
            <w:r>
              <w:rPr>
                <w:rFonts w:ascii="Calibri" w:eastAsiaTheme="majorEastAsia" w:hAnsi="Calibri" w:cstheme="majorBidi"/>
                <w:color w:val="auto"/>
                <w:sz w:val="22"/>
                <w:szCs w:val="26"/>
              </w:rPr>
              <w:t>Bloodworks</w:t>
            </w:r>
            <w:proofErr w:type="spellEnd"/>
            <w:r>
              <w:rPr>
                <w:rFonts w:ascii="Calibri" w:eastAsiaTheme="majorEastAsia" w:hAnsi="Calibri" w:cstheme="majorBidi"/>
                <w:color w:val="auto"/>
                <w:sz w:val="22"/>
                <w:szCs w:val="26"/>
              </w:rPr>
              <w:t>, Northwest Kidney Centers and PHSKC</w:t>
            </w:r>
          </w:p>
        </w:tc>
      </w:tr>
      <w:tr w:rsidR="00B9263B" w:rsidRPr="00D26748" w14:paraId="5E989F9C"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69F2B" w14:textId="28A845C3" w:rsidR="00B9263B" w:rsidRPr="00135B00" w:rsidRDefault="63A4BE2B" w:rsidP="00492D3C">
            <w:pPr>
              <w:pStyle w:val="NoSpacing"/>
              <w:jc w:val="center"/>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Previous versions</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5010C" w14:textId="77777777" w:rsidR="00B9263B" w:rsidRPr="00135B00" w:rsidRDefault="00B9263B" w:rsidP="00492D3C">
            <w:pPr>
              <w:pStyle w:val="NoSpacing"/>
              <w:jc w:val="center"/>
              <w:rPr>
                <w:rFonts w:ascii="Calibri" w:eastAsiaTheme="majorEastAsia" w:hAnsi="Calibri" w:cstheme="majorBidi"/>
                <w:color w:val="000000" w:themeColor="text1"/>
                <w:sz w:val="22"/>
                <w:szCs w:val="26"/>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60DB0" w14:textId="77777777" w:rsidR="00B9263B" w:rsidRPr="00135B00" w:rsidRDefault="00B9263B" w:rsidP="00492D3C">
            <w:pPr>
              <w:pStyle w:val="NoSpacing"/>
              <w:jc w:val="center"/>
              <w:rPr>
                <w:rFonts w:ascii="Calibri" w:eastAsiaTheme="majorEastAsia" w:hAnsi="Calibri" w:cstheme="majorBidi"/>
                <w:color w:val="000000" w:themeColor="text1"/>
                <w:sz w:val="22"/>
                <w:szCs w:val="26"/>
              </w:rPr>
            </w:pP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7FB19" w14:textId="1CFA4238" w:rsidR="00B9263B" w:rsidRPr="00135B00" w:rsidRDefault="63A4BE2B" w:rsidP="00492D3C">
            <w:pPr>
              <w:pStyle w:val="NoSpacing"/>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w:t>
            </w:r>
            <w:r w:rsidR="00786520">
              <w:rPr>
                <w:rFonts w:ascii="Calibri" w:eastAsiaTheme="majorEastAsia" w:hAnsi="Calibri" w:cstheme="majorBidi"/>
                <w:color w:val="000000" w:themeColor="text1"/>
                <w:sz w:val="22"/>
                <w:szCs w:val="22"/>
              </w:rPr>
              <w:t>refer to</w:t>
            </w:r>
            <w:r w:rsidRPr="73CF509B">
              <w:rPr>
                <w:rFonts w:ascii="Calibri" w:eastAsiaTheme="majorEastAsia" w:hAnsi="Calibri" w:cstheme="majorBidi"/>
                <w:color w:val="000000" w:themeColor="text1"/>
                <w:sz w:val="22"/>
                <w:szCs w:val="22"/>
              </w:rPr>
              <w:t xml:space="preserve"> the SharePoint Document Library; Others – contact </w:t>
            </w:r>
            <w:hyperlink r:id="rId41" w:history="1">
              <w:r w:rsidR="00F97CF5" w:rsidRPr="005145A5">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 xml:space="preserve">. </w:t>
            </w:r>
          </w:p>
        </w:tc>
      </w:tr>
    </w:tbl>
    <w:p w14:paraId="66710738" w14:textId="6FD671C4" w:rsidR="6647F9B2" w:rsidRPr="006D09D3" w:rsidRDefault="6647F9B2" w:rsidP="00492D3C">
      <w:pPr>
        <w:spacing w:before="160" w:after="0" w:line="257" w:lineRule="auto"/>
        <w:rPr>
          <w:sz w:val="18"/>
          <w:szCs w:val="18"/>
        </w:rPr>
      </w:pPr>
      <w:r w:rsidRPr="006D09D3">
        <w:rPr>
          <w:rFonts w:ascii="Calibri" w:eastAsia="Calibri" w:hAnsi="Calibri" w:cs="Calibri"/>
          <w:b/>
          <w:bCs/>
          <w:sz w:val="18"/>
          <w:szCs w:val="18"/>
        </w:rPr>
        <w:t>Key</w:t>
      </w:r>
      <w:r w:rsidR="00A93620">
        <w:rPr>
          <w:rFonts w:ascii="Calibri" w:eastAsia="Calibri" w:hAnsi="Calibri" w:cs="Calibri"/>
          <w:b/>
          <w:bCs/>
          <w:sz w:val="18"/>
          <w:szCs w:val="18"/>
        </w:rPr>
        <w:t>w</w:t>
      </w:r>
      <w:r w:rsidRPr="006D09D3">
        <w:rPr>
          <w:rFonts w:ascii="Calibri" w:eastAsia="Calibri" w:hAnsi="Calibri" w:cs="Calibri"/>
          <w:b/>
          <w:bCs/>
          <w:sz w:val="18"/>
          <w:szCs w:val="18"/>
        </w:rPr>
        <w:t xml:space="preserve">ords: </w:t>
      </w:r>
      <w:r w:rsidR="00903915">
        <w:rPr>
          <w:rFonts w:ascii="Calibri" w:eastAsia="Calibri" w:hAnsi="Calibri" w:cs="Calibri"/>
          <w:sz w:val="18"/>
          <w:szCs w:val="18"/>
        </w:rPr>
        <w:t>HIPAA</w:t>
      </w:r>
    </w:p>
    <w:p w14:paraId="246B70C4" w14:textId="4B72E5E8" w:rsidR="5B00709C" w:rsidRDefault="5B00709C" w:rsidP="00492D3C"/>
    <w:sectPr w:rsidR="5B00709C" w:rsidSect="00B0219C">
      <w:footerReference w:type="default" r:id="rId4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672A" w14:textId="77777777" w:rsidR="00DC22D4" w:rsidRDefault="00DC22D4" w:rsidP="00BC532C">
      <w:pPr>
        <w:spacing w:after="0" w:line="240" w:lineRule="auto"/>
      </w:pPr>
      <w:r>
        <w:separator/>
      </w:r>
    </w:p>
  </w:endnote>
  <w:endnote w:type="continuationSeparator" w:id="0">
    <w:p w14:paraId="4A03BB82" w14:textId="77777777" w:rsidR="00DC22D4" w:rsidRDefault="00DC22D4" w:rsidP="00BC532C">
      <w:pPr>
        <w:spacing w:after="0" w:line="240" w:lineRule="auto"/>
      </w:pPr>
      <w:r>
        <w:continuationSeparator/>
      </w:r>
    </w:p>
  </w:endnote>
  <w:endnote w:type="continuationNotice" w:id="1">
    <w:p w14:paraId="25B3CE7D" w14:textId="77777777" w:rsidR="00DC22D4" w:rsidRDefault="00DC2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E6DF" w14:textId="0B3CC6D7" w:rsidR="00B51A7C" w:rsidRDefault="00B51A7C" w:rsidP="00B51A7C">
    <w:pPr>
      <w:pStyle w:val="Footer"/>
      <w:tabs>
        <w:tab w:val="clear" w:pos="4680"/>
        <w:tab w:val="clear" w:pos="9360"/>
        <w:tab w:val="center" w:pos="5310"/>
        <w:tab w:val="right" w:pos="10800"/>
      </w:tabs>
    </w:pPr>
    <w:r w:rsidRPr="005031DB">
      <w:rPr>
        <w:rFonts w:ascii="Calibri" w:hAnsi="Calibri" w:cs="Calibri"/>
        <w:sz w:val="18"/>
        <w:szCs w:val="18"/>
      </w:rPr>
      <w:t xml:space="preserve">Date Posted </w:t>
    </w:r>
    <w:r>
      <w:rPr>
        <w:rFonts w:ascii="Calibri" w:hAnsi="Calibri" w:cs="Calibri"/>
        <w:sz w:val="18"/>
        <w:szCs w:val="18"/>
      </w:rPr>
      <w:t>02.26.2026</w:t>
    </w:r>
  </w:p>
  <w:p w14:paraId="6E01BF11" w14:textId="5FAEE77B" w:rsidR="00B51A7C" w:rsidRDefault="00B51A7C" w:rsidP="00B51A7C">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GUIDANCE HIPAA</w:t>
    </w:r>
  </w:p>
  <w:p w14:paraId="540BE902" w14:textId="3724C9D7" w:rsidR="00B51A7C" w:rsidRDefault="00B51A7C" w:rsidP="00B51A7C">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2.6</w:t>
    </w:r>
  </w:p>
  <w:p w14:paraId="05BB0CB6" w14:textId="4A2D04DC" w:rsidR="00925C4A" w:rsidRPr="00B51A7C" w:rsidRDefault="00B51A7C" w:rsidP="00B51A7C">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05A3" w14:textId="77777777" w:rsidR="00DC22D4" w:rsidRDefault="00DC22D4" w:rsidP="00BC532C">
      <w:pPr>
        <w:spacing w:after="0" w:line="240" w:lineRule="auto"/>
      </w:pPr>
      <w:r>
        <w:separator/>
      </w:r>
    </w:p>
  </w:footnote>
  <w:footnote w:type="continuationSeparator" w:id="0">
    <w:p w14:paraId="3A5364A0" w14:textId="77777777" w:rsidR="00DC22D4" w:rsidRDefault="00DC22D4" w:rsidP="00BC532C">
      <w:pPr>
        <w:spacing w:after="0" w:line="240" w:lineRule="auto"/>
      </w:pPr>
      <w:r>
        <w:continuationSeparator/>
      </w:r>
    </w:p>
  </w:footnote>
  <w:footnote w:type="continuationNotice" w:id="1">
    <w:p w14:paraId="66F5A31E" w14:textId="77777777" w:rsidR="00DC22D4" w:rsidRDefault="00DC22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E54"/>
    <w:multiLevelType w:val="hybridMultilevel"/>
    <w:tmpl w:val="DF181F6A"/>
    <w:lvl w:ilvl="0" w:tplc="04090005">
      <w:start w:val="1"/>
      <w:numFmt w:val="bullet"/>
      <w:lvlText w:val=""/>
      <w:lvlJc w:val="left"/>
      <w:pPr>
        <w:ind w:left="1080" w:hanging="360"/>
      </w:pPr>
      <w:rPr>
        <w:rFonts w:ascii="Wingdings" w:hAnsi="Wingdings" w:hint="default"/>
      </w:rPr>
    </w:lvl>
    <w:lvl w:ilvl="1" w:tplc="0409000D">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163505"/>
    <w:multiLevelType w:val="hybridMultilevel"/>
    <w:tmpl w:val="9AFEABDA"/>
    <w:lvl w:ilvl="0" w:tplc="FFFFFFFF">
      <w:start w:val="1"/>
      <w:numFmt w:val="decimal"/>
      <w:lvlText w:val="%1."/>
      <w:lvlJc w:val="left"/>
      <w:pPr>
        <w:ind w:left="1170" w:hanging="360"/>
      </w:pPr>
    </w:lvl>
    <w:lvl w:ilvl="1" w:tplc="0409000D">
      <w:start w:val="1"/>
      <w:numFmt w:val="bullet"/>
      <w:lvlText w:val=""/>
      <w:lvlJc w:val="left"/>
      <w:pPr>
        <w:ind w:left="1890" w:hanging="360"/>
      </w:pPr>
      <w:rPr>
        <w:rFonts w:ascii="Wingdings" w:hAnsi="Wingdings" w:hint="default"/>
      </w:r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 w15:restartNumberingAfterBreak="0">
    <w:nsid w:val="147E4D73"/>
    <w:multiLevelType w:val="hybridMultilevel"/>
    <w:tmpl w:val="081684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19C43816"/>
    <w:multiLevelType w:val="hybridMultilevel"/>
    <w:tmpl w:val="A6FECCFA"/>
    <w:lvl w:ilvl="0" w:tplc="FFFFFFFF">
      <w:start w:val="1"/>
      <w:numFmt w:val="bullet"/>
      <w:lvlText w:val=""/>
      <w:lvlJc w:val="left"/>
      <w:pPr>
        <w:ind w:left="1170" w:hanging="360"/>
      </w:pPr>
      <w:rPr>
        <w:rFonts w:ascii="Wingdings" w:hAnsi="Wingdings" w:hint="default"/>
      </w:rPr>
    </w:lvl>
    <w:lvl w:ilvl="1" w:tplc="0409000D">
      <w:start w:val="1"/>
      <w:numFmt w:val="bullet"/>
      <w:lvlText w:val=""/>
      <w:lvlJc w:val="left"/>
      <w:pPr>
        <w:ind w:left="1890" w:hanging="360"/>
      </w:pPr>
      <w:rPr>
        <w:rFonts w:ascii="Wingdings" w:hAnsi="Wingdings"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6" w15:restartNumberingAfterBreak="0">
    <w:nsid w:val="1C076A0A"/>
    <w:multiLevelType w:val="hybridMultilevel"/>
    <w:tmpl w:val="AC745D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BD0A6E"/>
    <w:multiLevelType w:val="hybridMultilevel"/>
    <w:tmpl w:val="C12411E0"/>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A026A4"/>
    <w:multiLevelType w:val="hybridMultilevel"/>
    <w:tmpl w:val="65225A7C"/>
    <w:lvl w:ilvl="0" w:tplc="04090005">
      <w:start w:val="1"/>
      <w:numFmt w:val="bullet"/>
      <w:lvlText w:val=""/>
      <w:lvlJc w:val="left"/>
      <w:pPr>
        <w:ind w:left="1170" w:hanging="360"/>
      </w:pPr>
      <w:rPr>
        <w:rFonts w:ascii="Wingdings" w:hAnsi="Wingdings"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2507CE6"/>
    <w:multiLevelType w:val="hybridMultilevel"/>
    <w:tmpl w:val="A3404E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D2737FF"/>
    <w:multiLevelType w:val="hybridMultilevel"/>
    <w:tmpl w:val="D1E623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3E2BE0"/>
    <w:multiLevelType w:val="hybridMultilevel"/>
    <w:tmpl w:val="8A1CE78E"/>
    <w:lvl w:ilvl="0" w:tplc="04090005">
      <w:start w:val="1"/>
      <w:numFmt w:val="bullet"/>
      <w:lvlText w:val=""/>
      <w:lvlJc w:val="left"/>
      <w:pPr>
        <w:ind w:left="1170" w:hanging="360"/>
      </w:pPr>
      <w:rPr>
        <w:rFonts w:ascii="Wingdings" w:hAnsi="Wingdings" w:hint="default"/>
      </w:rPr>
    </w:lvl>
    <w:lvl w:ilvl="1" w:tplc="FFFFFFFF">
      <w:start w:val="1"/>
      <w:numFmt w:val="bullet"/>
      <w:lvlText w:val=""/>
      <w:lvlJc w:val="left"/>
      <w:pPr>
        <w:ind w:left="1170" w:hanging="360"/>
      </w:pPr>
      <w:rPr>
        <w:rFonts w:ascii="Wingdings" w:hAnsi="Wingdings" w:hint="default"/>
      </w:r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 w15:restartNumberingAfterBreak="0">
    <w:nsid w:val="4FC62733"/>
    <w:multiLevelType w:val="hybridMultilevel"/>
    <w:tmpl w:val="AC22036E"/>
    <w:lvl w:ilvl="0" w:tplc="0409000F">
      <w:start w:val="1"/>
      <w:numFmt w:val="decimal"/>
      <w:lvlText w:val="%1."/>
      <w:lvlJc w:val="left"/>
      <w:pPr>
        <w:ind w:left="1170" w:hanging="360"/>
      </w:pPr>
    </w:lvl>
    <w:lvl w:ilvl="1" w:tplc="04090005">
      <w:start w:val="1"/>
      <w:numFmt w:val="bullet"/>
      <w:lvlText w:val=""/>
      <w:lvlJc w:val="left"/>
      <w:pPr>
        <w:ind w:left="1170" w:hanging="360"/>
      </w:pPr>
      <w:rPr>
        <w:rFonts w:ascii="Wingdings" w:hAnsi="Wingding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1723E40"/>
    <w:multiLevelType w:val="hybridMultilevel"/>
    <w:tmpl w:val="2BDC0F62"/>
    <w:lvl w:ilvl="0" w:tplc="FFFFFFFF">
      <w:start w:val="1"/>
      <w:numFmt w:val="bullet"/>
      <w:lvlText w:val=""/>
      <w:lvlJc w:val="left"/>
      <w:pPr>
        <w:ind w:left="1080" w:hanging="360"/>
      </w:pPr>
      <w:rPr>
        <w:rFonts w:ascii="Wingdings" w:hAnsi="Wingdings" w:hint="default"/>
      </w:rPr>
    </w:lvl>
    <w:lvl w:ilvl="1" w:tplc="0409000D">
      <w:start w:val="1"/>
      <w:numFmt w:val="bullet"/>
      <w:lvlText w:val=""/>
      <w:lvlJc w:val="left"/>
      <w:pPr>
        <w:ind w:left="189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23179A1"/>
    <w:multiLevelType w:val="hybridMultilevel"/>
    <w:tmpl w:val="EBBC3C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776287"/>
    <w:multiLevelType w:val="hybridMultilevel"/>
    <w:tmpl w:val="BACE0E0E"/>
    <w:lvl w:ilvl="0" w:tplc="04090005">
      <w:start w:val="1"/>
      <w:numFmt w:val="bullet"/>
      <w:lvlText w:val=""/>
      <w:lvlJc w:val="left"/>
      <w:pPr>
        <w:ind w:left="1170" w:hanging="360"/>
      </w:pPr>
      <w:rPr>
        <w:rFonts w:ascii="Wingdings" w:hAnsi="Wingding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7" w15:restartNumberingAfterBreak="0">
    <w:nsid w:val="5C8E0AAF"/>
    <w:multiLevelType w:val="hybridMultilevel"/>
    <w:tmpl w:val="0B58852A"/>
    <w:lvl w:ilvl="0" w:tplc="04090005">
      <w:start w:val="1"/>
      <w:numFmt w:val="bullet"/>
      <w:lvlText w:val=""/>
      <w:lvlJc w:val="left"/>
      <w:pPr>
        <w:ind w:left="1080" w:hanging="360"/>
      </w:pPr>
      <w:rPr>
        <w:rFonts w:ascii="Wingdings" w:hAnsi="Wingdings" w:hint="default"/>
      </w:rPr>
    </w:lvl>
    <w:lvl w:ilvl="1" w:tplc="0409000D">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1401D2"/>
    <w:multiLevelType w:val="hybridMultilevel"/>
    <w:tmpl w:val="0E088C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4373B4"/>
    <w:multiLevelType w:val="hybridMultilevel"/>
    <w:tmpl w:val="2E7CBC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4C5B19"/>
    <w:multiLevelType w:val="hybridMultilevel"/>
    <w:tmpl w:val="3AEA7C8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76350EFD"/>
    <w:multiLevelType w:val="hybridMultilevel"/>
    <w:tmpl w:val="97704CE2"/>
    <w:lvl w:ilvl="0" w:tplc="04090005">
      <w:start w:val="1"/>
      <w:numFmt w:val="bullet"/>
      <w:lvlText w:val=""/>
      <w:lvlJc w:val="left"/>
      <w:pPr>
        <w:ind w:left="1080" w:hanging="360"/>
      </w:pPr>
      <w:rPr>
        <w:rFonts w:ascii="Wingdings" w:hAnsi="Wingdings" w:hint="default"/>
      </w:rPr>
    </w:lvl>
    <w:lvl w:ilvl="1" w:tplc="0409000D">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8348557">
    <w:abstractNumId w:val="4"/>
  </w:num>
  <w:num w:numId="2" w16cid:durableId="605579816">
    <w:abstractNumId w:val="19"/>
  </w:num>
  <w:num w:numId="3" w16cid:durableId="1691418794">
    <w:abstractNumId w:val="8"/>
  </w:num>
  <w:num w:numId="4" w16cid:durableId="1764647831">
    <w:abstractNumId w:val="5"/>
  </w:num>
  <w:num w:numId="5" w16cid:durableId="744256721">
    <w:abstractNumId w:val="13"/>
  </w:num>
  <w:num w:numId="6" w16cid:durableId="1916280122">
    <w:abstractNumId w:val="20"/>
  </w:num>
  <w:num w:numId="7" w16cid:durableId="1595937980">
    <w:abstractNumId w:val="7"/>
  </w:num>
  <w:num w:numId="8" w16cid:durableId="1538659886">
    <w:abstractNumId w:val="14"/>
  </w:num>
  <w:num w:numId="9" w16cid:durableId="1356229917">
    <w:abstractNumId w:val="2"/>
  </w:num>
  <w:num w:numId="10" w16cid:durableId="1965889506">
    <w:abstractNumId w:val="18"/>
  </w:num>
  <w:num w:numId="11" w16cid:durableId="1505821030">
    <w:abstractNumId w:val="17"/>
  </w:num>
  <w:num w:numId="12" w16cid:durableId="352728867">
    <w:abstractNumId w:val="21"/>
  </w:num>
  <w:num w:numId="13" w16cid:durableId="841970751">
    <w:abstractNumId w:val="1"/>
  </w:num>
  <w:num w:numId="14" w16cid:durableId="293408202">
    <w:abstractNumId w:val="11"/>
  </w:num>
  <w:num w:numId="15" w16cid:durableId="1746605537">
    <w:abstractNumId w:val="6"/>
  </w:num>
  <w:num w:numId="16" w16cid:durableId="790630440">
    <w:abstractNumId w:val="3"/>
  </w:num>
  <w:num w:numId="17" w16cid:durableId="1045714599">
    <w:abstractNumId w:val="0"/>
  </w:num>
  <w:num w:numId="18" w16cid:durableId="1831364846">
    <w:abstractNumId w:val="12"/>
  </w:num>
  <w:num w:numId="19" w16cid:durableId="711350286">
    <w:abstractNumId w:val="16"/>
  </w:num>
  <w:num w:numId="20" w16cid:durableId="1903247674">
    <w:abstractNumId w:val="9"/>
  </w:num>
  <w:num w:numId="21" w16cid:durableId="83167462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58CC"/>
    <w:rsid w:val="0001525B"/>
    <w:rsid w:val="00027EE2"/>
    <w:rsid w:val="00032560"/>
    <w:rsid w:val="000406B3"/>
    <w:rsid w:val="00054AC7"/>
    <w:rsid w:val="000616F4"/>
    <w:rsid w:val="00064DBD"/>
    <w:rsid w:val="000651A1"/>
    <w:rsid w:val="000729DE"/>
    <w:rsid w:val="00074749"/>
    <w:rsid w:val="000904C0"/>
    <w:rsid w:val="00094776"/>
    <w:rsid w:val="000A32D4"/>
    <w:rsid w:val="000A4D85"/>
    <w:rsid w:val="000A6546"/>
    <w:rsid w:val="000B0517"/>
    <w:rsid w:val="000B1759"/>
    <w:rsid w:val="000B29EC"/>
    <w:rsid w:val="000B7FBC"/>
    <w:rsid w:val="000C0E4B"/>
    <w:rsid w:val="000C25E0"/>
    <w:rsid w:val="000D39EB"/>
    <w:rsid w:val="000E5D51"/>
    <w:rsid w:val="000F3417"/>
    <w:rsid w:val="00115483"/>
    <w:rsid w:val="0011562C"/>
    <w:rsid w:val="001247CB"/>
    <w:rsid w:val="00135B00"/>
    <w:rsid w:val="0014155E"/>
    <w:rsid w:val="00142909"/>
    <w:rsid w:val="00151784"/>
    <w:rsid w:val="00153865"/>
    <w:rsid w:val="00154A04"/>
    <w:rsid w:val="00164AFC"/>
    <w:rsid w:val="00165C97"/>
    <w:rsid w:val="001745E4"/>
    <w:rsid w:val="00176F14"/>
    <w:rsid w:val="00177EEA"/>
    <w:rsid w:val="00183ABF"/>
    <w:rsid w:val="00193D04"/>
    <w:rsid w:val="001975DB"/>
    <w:rsid w:val="001A1FEF"/>
    <w:rsid w:val="001A79D8"/>
    <w:rsid w:val="001B1196"/>
    <w:rsid w:val="001C01CA"/>
    <w:rsid w:val="001C1C77"/>
    <w:rsid w:val="001D1C9B"/>
    <w:rsid w:val="001D4C98"/>
    <w:rsid w:val="001E1945"/>
    <w:rsid w:val="001E441B"/>
    <w:rsid w:val="001F12A4"/>
    <w:rsid w:val="001F5213"/>
    <w:rsid w:val="00200AFC"/>
    <w:rsid w:val="00217C39"/>
    <w:rsid w:val="00236168"/>
    <w:rsid w:val="002468F3"/>
    <w:rsid w:val="00265A0B"/>
    <w:rsid w:val="0027033B"/>
    <w:rsid w:val="002767F8"/>
    <w:rsid w:val="00277489"/>
    <w:rsid w:val="00296DAC"/>
    <w:rsid w:val="002A0F8D"/>
    <w:rsid w:val="002C435B"/>
    <w:rsid w:val="002D7AAF"/>
    <w:rsid w:val="002E17AA"/>
    <w:rsid w:val="002E2000"/>
    <w:rsid w:val="002E514F"/>
    <w:rsid w:val="002E6543"/>
    <w:rsid w:val="002F7B77"/>
    <w:rsid w:val="00322AF4"/>
    <w:rsid w:val="00325DEB"/>
    <w:rsid w:val="00331E62"/>
    <w:rsid w:val="0033557F"/>
    <w:rsid w:val="0033681B"/>
    <w:rsid w:val="00341F2F"/>
    <w:rsid w:val="003638AC"/>
    <w:rsid w:val="00374DB5"/>
    <w:rsid w:val="00375221"/>
    <w:rsid w:val="00376A83"/>
    <w:rsid w:val="003803AC"/>
    <w:rsid w:val="00396236"/>
    <w:rsid w:val="003975E5"/>
    <w:rsid w:val="003E2A02"/>
    <w:rsid w:val="003E2D04"/>
    <w:rsid w:val="00401515"/>
    <w:rsid w:val="00402916"/>
    <w:rsid w:val="004070A0"/>
    <w:rsid w:val="00422266"/>
    <w:rsid w:val="00432F8C"/>
    <w:rsid w:val="00433635"/>
    <w:rsid w:val="004342DE"/>
    <w:rsid w:val="004561A4"/>
    <w:rsid w:val="00461414"/>
    <w:rsid w:val="00470C95"/>
    <w:rsid w:val="00472C83"/>
    <w:rsid w:val="0047572F"/>
    <w:rsid w:val="00486123"/>
    <w:rsid w:val="00492D3C"/>
    <w:rsid w:val="00494460"/>
    <w:rsid w:val="004966C4"/>
    <w:rsid w:val="00497376"/>
    <w:rsid w:val="004A1F3B"/>
    <w:rsid w:val="004A47EE"/>
    <w:rsid w:val="004B5600"/>
    <w:rsid w:val="004B64FE"/>
    <w:rsid w:val="004C0D2C"/>
    <w:rsid w:val="004E3D63"/>
    <w:rsid w:val="004F46F9"/>
    <w:rsid w:val="004F5BF1"/>
    <w:rsid w:val="00501E5B"/>
    <w:rsid w:val="005038D3"/>
    <w:rsid w:val="005063EF"/>
    <w:rsid w:val="00510120"/>
    <w:rsid w:val="005172F4"/>
    <w:rsid w:val="00535A3B"/>
    <w:rsid w:val="00537F86"/>
    <w:rsid w:val="0054008D"/>
    <w:rsid w:val="0054245E"/>
    <w:rsid w:val="00543DD2"/>
    <w:rsid w:val="00560204"/>
    <w:rsid w:val="00563821"/>
    <w:rsid w:val="00573EEB"/>
    <w:rsid w:val="005848DC"/>
    <w:rsid w:val="00590473"/>
    <w:rsid w:val="00592A19"/>
    <w:rsid w:val="00596A0A"/>
    <w:rsid w:val="005A0448"/>
    <w:rsid w:val="005A5342"/>
    <w:rsid w:val="005B3310"/>
    <w:rsid w:val="005B3866"/>
    <w:rsid w:val="005C3E3F"/>
    <w:rsid w:val="005C5821"/>
    <w:rsid w:val="005E1D24"/>
    <w:rsid w:val="00600013"/>
    <w:rsid w:val="00600D18"/>
    <w:rsid w:val="006067EC"/>
    <w:rsid w:val="00614F6F"/>
    <w:rsid w:val="006257EE"/>
    <w:rsid w:val="0063391E"/>
    <w:rsid w:val="00634DBA"/>
    <w:rsid w:val="006432FB"/>
    <w:rsid w:val="00644911"/>
    <w:rsid w:val="00645756"/>
    <w:rsid w:val="00645920"/>
    <w:rsid w:val="00647F10"/>
    <w:rsid w:val="0066025F"/>
    <w:rsid w:val="006720F0"/>
    <w:rsid w:val="006803C1"/>
    <w:rsid w:val="00680828"/>
    <w:rsid w:val="006935B8"/>
    <w:rsid w:val="00693C1D"/>
    <w:rsid w:val="006A08B4"/>
    <w:rsid w:val="006A302A"/>
    <w:rsid w:val="006A702C"/>
    <w:rsid w:val="006B513A"/>
    <w:rsid w:val="006C3810"/>
    <w:rsid w:val="006D09D3"/>
    <w:rsid w:val="006E46B6"/>
    <w:rsid w:val="006E5BF6"/>
    <w:rsid w:val="006F4E3D"/>
    <w:rsid w:val="00714898"/>
    <w:rsid w:val="00717467"/>
    <w:rsid w:val="007211CD"/>
    <w:rsid w:val="00726B02"/>
    <w:rsid w:val="00727837"/>
    <w:rsid w:val="007309E1"/>
    <w:rsid w:val="00731F5E"/>
    <w:rsid w:val="00740DDB"/>
    <w:rsid w:val="00747D98"/>
    <w:rsid w:val="00762248"/>
    <w:rsid w:val="007640AF"/>
    <w:rsid w:val="00773DE8"/>
    <w:rsid w:val="00776AB7"/>
    <w:rsid w:val="00782371"/>
    <w:rsid w:val="00786520"/>
    <w:rsid w:val="007876FD"/>
    <w:rsid w:val="00791F86"/>
    <w:rsid w:val="00797B8A"/>
    <w:rsid w:val="007A4039"/>
    <w:rsid w:val="007A611F"/>
    <w:rsid w:val="007A73D0"/>
    <w:rsid w:val="007A7489"/>
    <w:rsid w:val="007D7BAF"/>
    <w:rsid w:val="007E1DEC"/>
    <w:rsid w:val="008115EC"/>
    <w:rsid w:val="008123E9"/>
    <w:rsid w:val="008239B7"/>
    <w:rsid w:val="00825034"/>
    <w:rsid w:val="008250AD"/>
    <w:rsid w:val="0082624C"/>
    <w:rsid w:val="00835027"/>
    <w:rsid w:val="008477EF"/>
    <w:rsid w:val="00875FC3"/>
    <w:rsid w:val="00884E7A"/>
    <w:rsid w:val="00897B96"/>
    <w:rsid w:val="008A3BED"/>
    <w:rsid w:val="008A5835"/>
    <w:rsid w:val="008A7154"/>
    <w:rsid w:val="008B142D"/>
    <w:rsid w:val="008B241F"/>
    <w:rsid w:val="008B2768"/>
    <w:rsid w:val="008C2790"/>
    <w:rsid w:val="008C2C51"/>
    <w:rsid w:val="008C6822"/>
    <w:rsid w:val="008D37A4"/>
    <w:rsid w:val="008D57C9"/>
    <w:rsid w:val="008D5DC3"/>
    <w:rsid w:val="008D613C"/>
    <w:rsid w:val="008D6D57"/>
    <w:rsid w:val="008E0490"/>
    <w:rsid w:val="008E1713"/>
    <w:rsid w:val="008E1A19"/>
    <w:rsid w:val="008E56E8"/>
    <w:rsid w:val="008E7422"/>
    <w:rsid w:val="008F4683"/>
    <w:rsid w:val="008F5163"/>
    <w:rsid w:val="00903915"/>
    <w:rsid w:val="00903E3D"/>
    <w:rsid w:val="00912DD8"/>
    <w:rsid w:val="00925C4A"/>
    <w:rsid w:val="00925F6C"/>
    <w:rsid w:val="009420FE"/>
    <w:rsid w:val="009441C3"/>
    <w:rsid w:val="0095315E"/>
    <w:rsid w:val="00953CB6"/>
    <w:rsid w:val="00954C91"/>
    <w:rsid w:val="00960B71"/>
    <w:rsid w:val="00961264"/>
    <w:rsid w:val="009727DD"/>
    <w:rsid w:val="00975E49"/>
    <w:rsid w:val="0097683A"/>
    <w:rsid w:val="00977495"/>
    <w:rsid w:val="0099016A"/>
    <w:rsid w:val="009A11C1"/>
    <w:rsid w:val="009A48E7"/>
    <w:rsid w:val="009B187A"/>
    <w:rsid w:val="009B3A5E"/>
    <w:rsid w:val="009C3217"/>
    <w:rsid w:val="009C4DD3"/>
    <w:rsid w:val="009D39EC"/>
    <w:rsid w:val="009F2510"/>
    <w:rsid w:val="009F53DE"/>
    <w:rsid w:val="00A03C60"/>
    <w:rsid w:val="00A17229"/>
    <w:rsid w:val="00A33BD0"/>
    <w:rsid w:val="00A374C2"/>
    <w:rsid w:val="00A47BCB"/>
    <w:rsid w:val="00A6196E"/>
    <w:rsid w:val="00A70B3F"/>
    <w:rsid w:val="00A71D4E"/>
    <w:rsid w:val="00A740D2"/>
    <w:rsid w:val="00A80B78"/>
    <w:rsid w:val="00A848AA"/>
    <w:rsid w:val="00A928B7"/>
    <w:rsid w:val="00A929A9"/>
    <w:rsid w:val="00A93620"/>
    <w:rsid w:val="00AA2580"/>
    <w:rsid w:val="00AA75B9"/>
    <w:rsid w:val="00AB1A1D"/>
    <w:rsid w:val="00AB22B5"/>
    <w:rsid w:val="00AC2963"/>
    <w:rsid w:val="00AD37FC"/>
    <w:rsid w:val="00AD5583"/>
    <w:rsid w:val="00AE0BD1"/>
    <w:rsid w:val="00AE2DAD"/>
    <w:rsid w:val="00AE49A5"/>
    <w:rsid w:val="00B00AFA"/>
    <w:rsid w:val="00B0219C"/>
    <w:rsid w:val="00B029D7"/>
    <w:rsid w:val="00B03D48"/>
    <w:rsid w:val="00B13FCD"/>
    <w:rsid w:val="00B229B8"/>
    <w:rsid w:val="00B357BE"/>
    <w:rsid w:val="00B44AD7"/>
    <w:rsid w:val="00B45986"/>
    <w:rsid w:val="00B51A7C"/>
    <w:rsid w:val="00B55261"/>
    <w:rsid w:val="00B55584"/>
    <w:rsid w:val="00B5609A"/>
    <w:rsid w:val="00B57E08"/>
    <w:rsid w:val="00B60890"/>
    <w:rsid w:val="00B61206"/>
    <w:rsid w:val="00B91761"/>
    <w:rsid w:val="00B9263B"/>
    <w:rsid w:val="00B96799"/>
    <w:rsid w:val="00BB1089"/>
    <w:rsid w:val="00BC532C"/>
    <w:rsid w:val="00BC53BF"/>
    <w:rsid w:val="00BC7098"/>
    <w:rsid w:val="00BD57B3"/>
    <w:rsid w:val="00BE1C70"/>
    <w:rsid w:val="00BE1F64"/>
    <w:rsid w:val="00BF0F77"/>
    <w:rsid w:val="00C021E1"/>
    <w:rsid w:val="00C03519"/>
    <w:rsid w:val="00C06212"/>
    <w:rsid w:val="00C07185"/>
    <w:rsid w:val="00C13468"/>
    <w:rsid w:val="00C1752A"/>
    <w:rsid w:val="00C210DD"/>
    <w:rsid w:val="00C2234D"/>
    <w:rsid w:val="00C22EF3"/>
    <w:rsid w:val="00C264DE"/>
    <w:rsid w:val="00C279A6"/>
    <w:rsid w:val="00C30289"/>
    <w:rsid w:val="00C37546"/>
    <w:rsid w:val="00C378D2"/>
    <w:rsid w:val="00C40A04"/>
    <w:rsid w:val="00C449B1"/>
    <w:rsid w:val="00C6746B"/>
    <w:rsid w:val="00C74168"/>
    <w:rsid w:val="00C8410E"/>
    <w:rsid w:val="00C91378"/>
    <w:rsid w:val="00C924D6"/>
    <w:rsid w:val="00CA0AE0"/>
    <w:rsid w:val="00CA2F63"/>
    <w:rsid w:val="00CA6B6F"/>
    <w:rsid w:val="00CD274A"/>
    <w:rsid w:val="00CD2FA9"/>
    <w:rsid w:val="00CD3ADC"/>
    <w:rsid w:val="00CD5079"/>
    <w:rsid w:val="00CE1B9F"/>
    <w:rsid w:val="00CE2FB5"/>
    <w:rsid w:val="00CE3179"/>
    <w:rsid w:val="00CF0BB9"/>
    <w:rsid w:val="00CF7D7D"/>
    <w:rsid w:val="00D06D17"/>
    <w:rsid w:val="00D132DE"/>
    <w:rsid w:val="00D156FC"/>
    <w:rsid w:val="00D26972"/>
    <w:rsid w:val="00D51D60"/>
    <w:rsid w:val="00D604A6"/>
    <w:rsid w:val="00D60820"/>
    <w:rsid w:val="00D72D0C"/>
    <w:rsid w:val="00D81383"/>
    <w:rsid w:val="00D869E9"/>
    <w:rsid w:val="00D97774"/>
    <w:rsid w:val="00DA40D9"/>
    <w:rsid w:val="00DB2326"/>
    <w:rsid w:val="00DB50D9"/>
    <w:rsid w:val="00DB6A19"/>
    <w:rsid w:val="00DC22D4"/>
    <w:rsid w:val="00DD54DE"/>
    <w:rsid w:val="00DE1DA1"/>
    <w:rsid w:val="00E0760A"/>
    <w:rsid w:val="00E12C16"/>
    <w:rsid w:val="00E15F47"/>
    <w:rsid w:val="00E20A43"/>
    <w:rsid w:val="00E445A5"/>
    <w:rsid w:val="00E47CFF"/>
    <w:rsid w:val="00E50D1C"/>
    <w:rsid w:val="00E705F5"/>
    <w:rsid w:val="00E70F5D"/>
    <w:rsid w:val="00E753A0"/>
    <w:rsid w:val="00E800A8"/>
    <w:rsid w:val="00E81DFC"/>
    <w:rsid w:val="00E81EDB"/>
    <w:rsid w:val="00E851CF"/>
    <w:rsid w:val="00E8640E"/>
    <w:rsid w:val="00E87966"/>
    <w:rsid w:val="00E87D27"/>
    <w:rsid w:val="00E920C7"/>
    <w:rsid w:val="00E96153"/>
    <w:rsid w:val="00EB5C24"/>
    <w:rsid w:val="00ED134C"/>
    <w:rsid w:val="00ED27C2"/>
    <w:rsid w:val="00EE1798"/>
    <w:rsid w:val="00EF4720"/>
    <w:rsid w:val="00EF507E"/>
    <w:rsid w:val="00F079A0"/>
    <w:rsid w:val="00F12577"/>
    <w:rsid w:val="00F21F09"/>
    <w:rsid w:val="00F25167"/>
    <w:rsid w:val="00F27983"/>
    <w:rsid w:val="00F3072D"/>
    <w:rsid w:val="00F322F9"/>
    <w:rsid w:val="00F4304B"/>
    <w:rsid w:val="00F5211D"/>
    <w:rsid w:val="00F54A6B"/>
    <w:rsid w:val="00F632E8"/>
    <w:rsid w:val="00F63634"/>
    <w:rsid w:val="00F805AE"/>
    <w:rsid w:val="00F846DA"/>
    <w:rsid w:val="00F87816"/>
    <w:rsid w:val="00F87836"/>
    <w:rsid w:val="00F944BA"/>
    <w:rsid w:val="00F97CF5"/>
    <w:rsid w:val="00FA046F"/>
    <w:rsid w:val="00FC372E"/>
    <w:rsid w:val="00FC423F"/>
    <w:rsid w:val="00FD09CA"/>
    <w:rsid w:val="00FD1496"/>
    <w:rsid w:val="00FD4711"/>
    <w:rsid w:val="00FE2926"/>
    <w:rsid w:val="00FE5C08"/>
    <w:rsid w:val="00FF3EAE"/>
    <w:rsid w:val="00FF51D6"/>
    <w:rsid w:val="00FF6B06"/>
    <w:rsid w:val="011323B6"/>
    <w:rsid w:val="03834D79"/>
    <w:rsid w:val="04620ECD"/>
    <w:rsid w:val="055240B4"/>
    <w:rsid w:val="06B7D6EB"/>
    <w:rsid w:val="09169B08"/>
    <w:rsid w:val="0ACAC690"/>
    <w:rsid w:val="0B881E5E"/>
    <w:rsid w:val="116454C4"/>
    <w:rsid w:val="118723B5"/>
    <w:rsid w:val="1301FCCD"/>
    <w:rsid w:val="17C10C6E"/>
    <w:rsid w:val="19DE5C20"/>
    <w:rsid w:val="1A6F849C"/>
    <w:rsid w:val="1B6F4261"/>
    <w:rsid w:val="20ADA7F4"/>
    <w:rsid w:val="23320549"/>
    <w:rsid w:val="23532EF4"/>
    <w:rsid w:val="26AF2D70"/>
    <w:rsid w:val="2974CEB5"/>
    <w:rsid w:val="29775ED7"/>
    <w:rsid w:val="2A3925F1"/>
    <w:rsid w:val="2D63B218"/>
    <w:rsid w:val="2DB05732"/>
    <w:rsid w:val="32C77D14"/>
    <w:rsid w:val="3307B719"/>
    <w:rsid w:val="34B5781F"/>
    <w:rsid w:val="3544A5A6"/>
    <w:rsid w:val="3777AFC2"/>
    <w:rsid w:val="3BEAB91A"/>
    <w:rsid w:val="406D25F4"/>
    <w:rsid w:val="4218C27C"/>
    <w:rsid w:val="42673C31"/>
    <w:rsid w:val="43A4D5CA"/>
    <w:rsid w:val="43F355BB"/>
    <w:rsid w:val="495D83A3"/>
    <w:rsid w:val="4D8B6FF4"/>
    <w:rsid w:val="4F80B92F"/>
    <w:rsid w:val="5144B9FC"/>
    <w:rsid w:val="57F01BEB"/>
    <w:rsid w:val="58BCC529"/>
    <w:rsid w:val="597CF51A"/>
    <w:rsid w:val="5B00709C"/>
    <w:rsid w:val="5C2380C0"/>
    <w:rsid w:val="5EE92BD5"/>
    <w:rsid w:val="600E1B68"/>
    <w:rsid w:val="603BB871"/>
    <w:rsid w:val="63A4BE2B"/>
    <w:rsid w:val="648D8D46"/>
    <w:rsid w:val="654A5B9C"/>
    <w:rsid w:val="6647F9B2"/>
    <w:rsid w:val="68D7EA40"/>
    <w:rsid w:val="6A15D792"/>
    <w:rsid w:val="6C802FC0"/>
    <w:rsid w:val="6F7E2A05"/>
    <w:rsid w:val="726B72CA"/>
    <w:rsid w:val="73CF509B"/>
    <w:rsid w:val="7523FF9D"/>
    <w:rsid w:val="788F87CF"/>
    <w:rsid w:val="791D9845"/>
    <w:rsid w:val="7DBB4617"/>
    <w:rsid w:val="7E30DBF5"/>
    <w:rsid w:val="7F75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1C7BDB7F-772A-40A0-8E2F-CC204D1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uiPriority w:val="59"/>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1"/>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E81DFC"/>
    <w:rPr>
      <w:color w:val="605E5C"/>
      <w:shd w:val="clear" w:color="auto" w:fill="E1DFDD"/>
    </w:rPr>
  </w:style>
  <w:style w:type="character" w:styleId="FollowedHyperlink">
    <w:name w:val="FollowedHyperlink"/>
    <w:basedOn w:val="DefaultParagraphFont"/>
    <w:uiPriority w:val="99"/>
    <w:semiHidden/>
    <w:unhideWhenUsed/>
    <w:rsid w:val="00475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netid.sharepoint.com/sites/uw_medicine_honest_broker/SitePages/Clinical-Data-For-Research-Purposes-Policy.aspx" TargetMode="External"/><Relationship Id="rId18" Type="http://schemas.openxmlformats.org/officeDocument/2006/relationships/hyperlink" Target="http://depts.washington.edu/comply/docs/101_G1.pdf" TargetMode="External"/><Relationship Id="rId26" Type="http://schemas.openxmlformats.org/officeDocument/2006/relationships/hyperlink" Target="https://depts.washington.edu/comply/docs/comp_103.pdf" TargetMode="External"/><Relationship Id="rId39" Type="http://schemas.openxmlformats.org/officeDocument/2006/relationships/hyperlink" Target="https://depts.washington.edu/comply/docs/comp_101.pdf" TargetMode="External"/><Relationship Id="rId21" Type="http://schemas.openxmlformats.org/officeDocument/2006/relationships/hyperlink" Target="https://depts.washington.edu/comply/docs/comp_103.pdf" TargetMode="External"/><Relationship Id="rId34" Type="http://schemas.openxmlformats.org/officeDocument/2006/relationships/hyperlink" Target="https://www.washington.edu/research/forms-and-templates/worksheet-human-subjects-research/"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pts.washington.edu/comply/docs/comp_103.pdf" TargetMode="External"/><Relationship Id="rId20" Type="http://schemas.openxmlformats.org/officeDocument/2006/relationships/hyperlink" Target="https://depts.washington.edu/comply/docs/comp_103.pdf" TargetMode="External"/><Relationship Id="rId29" Type="http://schemas.openxmlformats.org/officeDocument/2006/relationships/hyperlink" Target="https://www.washington.edu/research/hsd/guidance/consent/" TargetMode="External"/><Relationship Id="rId41" Type="http://schemas.openxmlformats.org/officeDocument/2006/relationships/hyperlink" Target="mailto:hsdinfo@uw.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hsd/guidance/consent/" TargetMode="External"/><Relationship Id="rId32" Type="http://schemas.openxmlformats.org/officeDocument/2006/relationships/hyperlink" Target="https://www.washington.edu/research/forms-and-templates/template-hipaa-authorization-pregnancy/" TargetMode="External"/><Relationship Id="rId37" Type="http://schemas.openxmlformats.org/officeDocument/2006/relationships/hyperlink" Target="https://app.leg.wa.gov/rcw/default.aspx?cite=70.02" TargetMode="External"/><Relationship Id="rId40" Type="http://schemas.openxmlformats.org/officeDocument/2006/relationships/hyperlink" Target="https://depts.washington.edu/comply/docs/comp_103.pdf" TargetMode="External"/><Relationship Id="rId5" Type="http://schemas.openxmlformats.org/officeDocument/2006/relationships/numbering" Target="numbering.xml"/><Relationship Id="rId15" Type="http://schemas.openxmlformats.org/officeDocument/2006/relationships/hyperlink" Target="https://uwnetid.sharepoint.com/sites/uw_medicine_honest_broker/SitePages/Clinical-Data-For-Research-Purposes-Policy.aspx" TargetMode="External"/><Relationship Id="rId23" Type="http://schemas.openxmlformats.org/officeDocument/2006/relationships/hyperlink" Target="https://www.washington.edu/research/hsd/guidance/consent/" TargetMode="External"/><Relationship Id="rId28" Type="http://schemas.openxmlformats.org/officeDocument/2006/relationships/hyperlink" Target="https://www.washington.edu/research/policies/guidance-case-reports-irb-review-hipaa/" TargetMode="External"/><Relationship Id="rId36" Type="http://schemas.openxmlformats.org/officeDocument/2006/relationships/hyperlink" Target="https://www.hhs.gov/hipaa/for-professionals/privacy/laws-regulations/index.html" TargetMode="External"/><Relationship Id="rId10" Type="http://schemas.openxmlformats.org/officeDocument/2006/relationships/endnotes" Target="endnotes.xml"/><Relationship Id="rId19" Type="http://schemas.openxmlformats.org/officeDocument/2006/relationships/hyperlink" Target="http://depts.washington.edu/comply/docs/101_G1.pdf" TargetMode="External"/><Relationship Id="rId31" Type="http://schemas.openxmlformats.org/officeDocument/2006/relationships/hyperlink" Target="https://www.washington.edu/research/forms-and-templates/template-hipaa-authoriz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netid.sharepoint.com/sites/uw_medicine_honest_broker/SitePages/Honest-Broker-Policy.aspx" TargetMode="External"/><Relationship Id="rId22" Type="http://schemas.openxmlformats.org/officeDocument/2006/relationships/hyperlink" Target="https://www.washington.edu/research/hsd/guidance/consent/" TargetMode="External"/><Relationship Id="rId27" Type="http://schemas.openxmlformats.org/officeDocument/2006/relationships/hyperlink" Target="https://www.washington.edu/research/forms-and-templates/zipline-application-irb-protocol-no-contact-with-subjects/" TargetMode="External"/><Relationship Id="rId30" Type="http://schemas.openxmlformats.org/officeDocument/2006/relationships/hyperlink" Target="https://www.washington.edu/research/policies/sop-hipaa-2/" TargetMode="External"/><Relationship Id="rId35" Type="http://schemas.openxmlformats.org/officeDocument/2006/relationships/hyperlink" Target="https://www.ecfr.gov/current/title-45/subtitle-A/subchapter-C/part-164?toc=1"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epts.washington.edu/comply/docs/comp_103.pdf" TargetMode="External"/><Relationship Id="rId17" Type="http://schemas.openxmlformats.org/officeDocument/2006/relationships/hyperlink" Target="https://depts.washington.edu/comply/docs/comp_101.pdf" TargetMode="External"/><Relationship Id="rId25" Type="http://schemas.openxmlformats.org/officeDocument/2006/relationships/hyperlink" Target="https://depts.washington.edu/comply/docs/comp_103.pdf" TargetMode="External"/><Relationship Id="rId33" Type="http://schemas.openxmlformats.org/officeDocument/2006/relationships/hyperlink" Target="https://www.washington.edu/research/forms-and-templates/worksheet-consent/" TargetMode="External"/><Relationship Id="rId38" Type="http://schemas.openxmlformats.org/officeDocument/2006/relationships/hyperlink" Target="https://app.leg.wa.gov/RCW/dispo.aspx?cite=70.96A.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9e88497-f78b-4448-9b45-c2fc7002cecb">
      <UserInfo>
        <DisplayName>Karen E Moe</DisplayName>
        <AccountId>14</AccountId>
        <AccountType/>
      </UserInfo>
      <UserInfo>
        <DisplayName>Amanda Guyton</DisplayName>
        <AccountId>82</AccountId>
        <AccountType/>
      </UserInfo>
    </SharedWithUsers>
    <Date_x0020_Implemented xmlns="7c9d0ed2-8163-4b50-bae4-466292e5dd21" xsi:nil="true"/>
    <Change_x0020_Notes xmlns="7c9d0ed2-8163-4b50-bae4-466292e5dd21">Revised to reference UW Medicine’s new honest broker policy and policy for the release of clinical data.</Change_x0020_Notes>
    <Posted_x0020_Date xmlns="7c9d0ed2-8163-4b50-bae4-466292e5dd21">2025-08-29T07:00:00+00:00</Posted_x0020_Date>
    <Taxonomy0 xmlns="7c9d0ed2-8163-4b50-bae4-466292e5dd21">
      <Value>Guidance</Value>
    </Taxonomy0>
    <Version_x0020_Number xmlns="7c9d0ed2-8163-4b50-bae4-466292e5dd21">2.5</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https://www.washington.edu/research/policies/guidance-hipaa-2/</Url>
      <Description>https://www.washington.edu/research/policies/guidance-hipaa-2/</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8C0AD-9D62-4D26-B9F3-C7028D2C2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E81DC-4FD8-45A4-A629-90C61B63E940}">
  <ds:schemaRefs>
    <ds:schemaRef ds:uri="http://schemas.openxmlformats.org/officeDocument/2006/bibliography"/>
  </ds:schemaRefs>
</ds:datastoreItem>
</file>

<file path=customXml/itemProps3.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89e88497-f78b-4448-9b45-c2fc7002cecb"/>
    <ds:schemaRef ds:uri="7c9d0ed2-8163-4b50-bae4-466292e5dd21"/>
  </ds:schemaRefs>
</ds:datastoreItem>
</file>

<file path=customXml/itemProps4.xml><?xml version="1.0" encoding="utf-8"?>
<ds:datastoreItem xmlns:ds="http://schemas.openxmlformats.org/officeDocument/2006/customXml" ds:itemID="{53B1D4FF-C054-4439-8AE4-E320D9D29ED1}">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7</Pages>
  <Words>3383</Words>
  <Characters>19762</Characters>
  <Application>Microsoft Office Word</Application>
  <DocSecurity>0</DocSecurity>
  <Lines>387</Lines>
  <Paragraphs>212</Paragraphs>
  <ScaleCrop>false</ScaleCrop>
  <HeadingPairs>
    <vt:vector size="2" baseType="variant">
      <vt:variant>
        <vt:lpstr>Title</vt:lpstr>
      </vt:variant>
      <vt:variant>
        <vt:i4>1</vt:i4>
      </vt:variant>
    </vt:vector>
  </HeadingPairs>
  <TitlesOfParts>
    <vt:vector size="1" baseType="lpstr">
      <vt:lpstr>GUIDANCE_HIPAA_v2.5_2025.08.28</vt:lpstr>
    </vt:vector>
  </TitlesOfParts>
  <Company>University of Washington</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GUIDANCE_HIPAA_v2.5_2025.08.28</dc:title>
  <dc:subject/>
  <dc:creator>Sherry Edwards</dc:creator>
  <cp:keywords>;#HIPAA;#</cp:keywords>
  <cp:lastModifiedBy>Jenny Maki</cp:lastModifiedBy>
  <cp:revision>3</cp:revision>
  <dcterms:created xsi:type="dcterms:W3CDTF">2026-02-19T22:04:00Z</dcterms:created>
  <dcterms:modified xsi:type="dcterms:W3CDTF">2026-02-19T22:32:00Z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