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0935" w14:textId="77777777" w:rsidR="00270F5B" w:rsidRDefault="00270F5B" w:rsidP="00270F5B">
      <w:pPr>
        <w:pStyle w:val="Header"/>
        <w:tabs>
          <w:tab w:val="clear" w:pos="4680"/>
          <w:tab w:val="clear" w:pos="9360"/>
          <w:tab w:val="right" w:pos="10800"/>
        </w:tabs>
        <w:jc w:val="right"/>
        <w:rPr>
          <w:rFonts w:cs="Arial"/>
          <w:b/>
          <w:sz w:val="28"/>
          <w:szCs w:val="28"/>
        </w:rPr>
      </w:pPr>
      <w:r>
        <w:rPr>
          <w:noProof/>
        </w:rPr>
        <w:drawing>
          <wp:anchor distT="0" distB="0" distL="114300" distR="114300" simplePos="0" relativeHeight="251659264" behindDoc="1" locked="0" layoutInCell="1" allowOverlap="1" wp14:anchorId="66A326C2" wp14:editId="1C12DD3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cs="Arial"/>
          <w:b/>
          <w:sz w:val="28"/>
          <w:szCs w:val="28"/>
        </w:rPr>
        <w:t xml:space="preserve">GUIDANCE Case Reports, </w:t>
      </w:r>
    </w:p>
    <w:p w14:paraId="1058AD85" w14:textId="50180321" w:rsidR="00270F5B" w:rsidRDefault="00270F5B" w:rsidP="00270F5B">
      <w:pPr>
        <w:pStyle w:val="Header"/>
        <w:tabs>
          <w:tab w:val="clear" w:pos="4680"/>
          <w:tab w:val="clear" w:pos="9360"/>
          <w:tab w:val="right" w:pos="10800"/>
        </w:tabs>
        <w:jc w:val="right"/>
        <w:rPr>
          <w:rFonts w:cs="Arial"/>
          <w:b/>
          <w:sz w:val="28"/>
          <w:szCs w:val="28"/>
        </w:rPr>
      </w:pPr>
      <w:r>
        <w:rPr>
          <w:rFonts w:cs="Arial"/>
          <w:b/>
          <w:sz w:val="28"/>
          <w:szCs w:val="28"/>
        </w:rPr>
        <w:t>IRB Review, and HIPAA</w:t>
      </w:r>
    </w:p>
    <w:p w14:paraId="6792B5CB" w14:textId="77777777" w:rsidR="009D39EC" w:rsidRDefault="009D39EC" w:rsidP="00CA0AE0">
      <w:pPr>
        <w:shd w:val="clear" w:color="auto" w:fill="33006F"/>
        <w:tabs>
          <w:tab w:val="right" w:pos="10080"/>
        </w:tabs>
      </w:pPr>
    </w:p>
    <w:p w14:paraId="0255284F" w14:textId="77777777" w:rsidR="00600013" w:rsidRDefault="00600013" w:rsidP="00A71D4E">
      <w:pPr>
        <w:pStyle w:val="NoSpacing"/>
        <w:rPr>
          <w:sz w:val="22"/>
          <w:szCs w:val="22"/>
        </w:rPr>
      </w:pPr>
    </w:p>
    <w:p w14:paraId="17F80B6F" w14:textId="2F132F5F" w:rsidR="00A03C60" w:rsidRPr="00A03C60" w:rsidRDefault="00A03C60" w:rsidP="00CE2FB5">
      <w:pPr>
        <w:pStyle w:val="NoSpacing"/>
        <w:outlineLvl w:val="0"/>
        <w:rPr>
          <w:b/>
          <w:color w:val="auto"/>
          <w:sz w:val="22"/>
          <w:szCs w:val="22"/>
        </w:rPr>
      </w:pPr>
      <w:r w:rsidRPr="00A03C60">
        <w:rPr>
          <w:b/>
          <w:color w:val="auto"/>
          <w:sz w:val="22"/>
          <w:szCs w:val="22"/>
        </w:rPr>
        <w:t>PURPOSE</w:t>
      </w:r>
      <w:r w:rsidR="002E71CF">
        <w:rPr>
          <w:b/>
          <w:color w:val="auto"/>
          <w:sz w:val="22"/>
          <w:szCs w:val="22"/>
        </w:rPr>
        <w:t xml:space="preserve"> and APPLICABILITY</w:t>
      </w:r>
    </w:p>
    <w:p w14:paraId="09DE7646" w14:textId="77777777" w:rsidR="00351D0C" w:rsidRDefault="00351D0C" w:rsidP="00A71D4E">
      <w:pPr>
        <w:pStyle w:val="NoSpacing"/>
        <w:rPr>
          <w:color w:val="000000" w:themeColor="text1"/>
          <w:sz w:val="22"/>
          <w:szCs w:val="22"/>
        </w:rPr>
      </w:pPr>
    </w:p>
    <w:p w14:paraId="21DB65AA" w14:textId="49818BD6" w:rsidR="00A03C60" w:rsidRPr="0053410A" w:rsidRDefault="0053410A" w:rsidP="00A71D4E">
      <w:pPr>
        <w:pStyle w:val="NoSpacing"/>
        <w:rPr>
          <w:color w:val="000000" w:themeColor="text1"/>
          <w:sz w:val="22"/>
          <w:szCs w:val="22"/>
        </w:rPr>
      </w:pPr>
      <w:r>
        <w:rPr>
          <w:color w:val="000000" w:themeColor="text1"/>
          <w:sz w:val="22"/>
          <w:szCs w:val="22"/>
        </w:rPr>
        <w:t xml:space="preserve">This document provides guidance about regulatory requirements associated with presentation or publication of case reports. It may also be used by authors of case reports to document the University of Washington policies </w:t>
      </w:r>
      <w:r w:rsidRPr="0053410A">
        <w:rPr>
          <w:color w:val="000000" w:themeColor="text1"/>
          <w:sz w:val="22"/>
          <w:szCs w:val="22"/>
        </w:rPr>
        <w:t>concerning IRB review and HIPAA authorization for case reports – for example, as documentation provided to a journal editor. These policies were established by the UW Human Subjects Division (re: IRB review), with guidance from UW Medicine Compliance (re: HIPAA authorization).</w:t>
      </w:r>
    </w:p>
    <w:p w14:paraId="2020769C" w14:textId="00893814" w:rsidR="001F12A4" w:rsidRDefault="001F12A4" w:rsidP="00A71D4E">
      <w:pPr>
        <w:pStyle w:val="NoSpacing"/>
        <w:rPr>
          <w:color w:val="auto"/>
          <w:sz w:val="22"/>
          <w:szCs w:val="22"/>
        </w:rPr>
      </w:pPr>
    </w:p>
    <w:p w14:paraId="03B1FA35" w14:textId="1EA34897" w:rsidR="002E71CF" w:rsidRPr="00351D0C" w:rsidRDefault="00543DD2" w:rsidP="00ED1662">
      <w:pPr>
        <w:pStyle w:val="NoSpacing"/>
        <w:spacing w:after="120"/>
        <w:outlineLvl w:val="0"/>
        <w:rPr>
          <w:color w:val="000000" w:themeColor="text1"/>
          <w:sz w:val="22"/>
          <w:szCs w:val="22"/>
        </w:rPr>
      </w:pPr>
      <w:r>
        <w:rPr>
          <w:b/>
          <w:color w:val="auto"/>
          <w:sz w:val="22"/>
          <w:szCs w:val="22"/>
        </w:rPr>
        <w:t>GUI</w:t>
      </w:r>
      <w:r w:rsidR="00DA40D9">
        <w:rPr>
          <w:b/>
          <w:color w:val="auto"/>
          <w:sz w:val="22"/>
          <w:szCs w:val="22"/>
        </w:rPr>
        <w:t>DANCE</w:t>
      </w:r>
    </w:p>
    <w:p w14:paraId="2D54930F" w14:textId="47531B67" w:rsidR="00351D0C" w:rsidRDefault="002E71CF" w:rsidP="002E71CF">
      <w:pPr>
        <w:pStyle w:val="NoSpacing"/>
        <w:spacing w:after="60"/>
        <w:rPr>
          <w:color w:val="000000" w:themeColor="text1"/>
          <w:sz w:val="22"/>
        </w:rPr>
      </w:pPr>
      <w:r>
        <w:rPr>
          <w:b/>
          <w:color w:val="000000" w:themeColor="text1"/>
          <w:sz w:val="22"/>
          <w:szCs w:val="22"/>
        </w:rPr>
        <w:t>Definition of a Case Report</w:t>
      </w:r>
    </w:p>
    <w:p w14:paraId="07D8AB32" w14:textId="4E76D374" w:rsidR="00351D0C" w:rsidRPr="00351D0C" w:rsidRDefault="00351D0C" w:rsidP="002E71CF">
      <w:pPr>
        <w:pStyle w:val="NoSpacing"/>
        <w:rPr>
          <w:color w:val="000000" w:themeColor="text1"/>
          <w:sz w:val="24"/>
          <w:szCs w:val="22"/>
        </w:rPr>
      </w:pPr>
      <w:r>
        <w:rPr>
          <w:color w:val="000000" w:themeColor="text1"/>
          <w:sz w:val="22"/>
        </w:rPr>
        <w:t xml:space="preserve">A </w:t>
      </w:r>
      <w:r w:rsidRPr="00351D0C">
        <w:rPr>
          <w:color w:val="000000" w:themeColor="text1"/>
          <w:sz w:val="22"/>
        </w:rPr>
        <w:t xml:space="preserve">case report </w:t>
      </w:r>
      <w:r w:rsidR="007C1757">
        <w:rPr>
          <w:color w:val="000000" w:themeColor="text1"/>
          <w:sz w:val="22"/>
        </w:rPr>
        <w:t xml:space="preserve">(or case study) </w:t>
      </w:r>
      <w:r w:rsidRPr="00351D0C">
        <w:rPr>
          <w:color w:val="000000" w:themeColor="text1"/>
          <w:sz w:val="22"/>
        </w:rPr>
        <w:t>is a medical or educational activity involving the presentation or publication of information and analysis for the purpose of highlighting an interesting experience, observation, treatment, relationship, or outcome. It may involve a prospective intervention or prospective collection of specimens or data that is not part of standard service or</w:t>
      </w:r>
      <w:r>
        <w:rPr>
          <w:color w:val="000000" w:themeColor="text1"/>
          <w:sz w:val="22"/>
        </w:rPr>
        <w:t xml:space="preserve"> care.</w:t>
      </w:r>
    </w:p>
    <w:p w14:paraId="28A44DF9" w14:textId="77777777" w:rsidR="00351D0C" w:rsidRPr="00351D0C" w:rsidRDefault="00351D0C" w:rsidP="00351D0C">
      <w:pPr>
        <w:pStyle w:val="NoSpacing"/>
        <w:ind w:left="630"/>
        <w:rPr>
          <w:color w:val="000000" w:themeColor="text1"/>
          <w:sz w:val="24"/>
          <w:szCs w:val="22"/>
        </w:rPr>
      </w:pPr>
    </w:p>
    <w:p w14:paraId="70FB2529" w14:textId="3C1E344D" w:rsidR="00351D0C" w:rsidRDefault="002E71CF" w:rsidP="002E71CF">
      <w:pPr>
        <w:pStyle w:val="NoSpacing"/>
        <w:spacing w:after="120"/>
        <w:rPr>
          <w:color w:val="000000" w:themeColor="text1"/>
          <w:sz w:val="22"/>
          <w:szCs w:val="22"/>
        </w:rPr>
      </w:pPr>
      <w:r>
        <w:rPr>
          <w:b/>
          <w:color w:val="000000" w:themeColor="text1"/>
          <w:sz w:val="22"/>
          <w:szCs w:val="22"/>
        </w:rPr>
        <w:t>Case Reports and IRB Review</w:t>
      </w:r>
    </w:p>
    <w:p w14:paraId="7051E735" w14:textId="1148C653" w:rsidR="00351D0C" w:rsidRDefault="002E71CF" w:rsidP="002E71CF">
      <w:pPr>
        <w:autoSpaceDE w:val="0"/>
        <w:autoSpaceDN w:val="0"/>
        <w:adjustRightInd w:val="0"/>
        <w:spacing w:after="0" w:line="240" w:lineRule="auto"/>
        <w:rPr>
          <w:rFonts w:ascii="Calibri" w:hAnsi="Calibri" w:cs="Calibri"/>
        </w:rPr>
      </w:pPr>
      <w:r w:rsidRPr="002E71CF">
        <w:rPr>
          <w:i/>
          <w:iCs/>
          <w:color w:val="000000" w:themeColor="text1"/>
        </w:rPr>
        <w:t>Case reports do not meet the</w:t>
      </w:r>
      <w:r>
        <w:rPr>
          <w:i/>
          <w:iCs/>
          <w:color w:val="000000" w:themeColor="text1"/>
        </w:rPr>
        <w:t xml:space="preserve"> federal regulatory </w:t>
      </w:r>
      <w:r w:rsidRPr="002E71CF">
        <w:rPr>
          <w:i/>
          <w:iCs/>
          <w:color w:val="000000" w:themeColor="text1"/>
        </w:rPr>
        <w:t>definition of research and do not require IRB review</w:t>
      </w:r>
      <w:r>
        <w:rPr>
          <w:color w:val="000000" w:themeColor="text1"/>
        </w:rPr>
        <w:t xml:space="preserve"> because they </w:t>
      </w:r>
      <w:r w:rsidR="007C1757">
        <w:rPr>
          <w:rFonts w:ascii="Calibri" w:hAnsi="Calibri" w:cs="Calibri"/>
        </w:rPr>
        <w:t>are not designed to be predictive of similar circumstances</w:t>
      </w:r>
      <w:r w:rsidR="00D10B36">
        <w:rPr>
          <w:rFonts w:ascii="Calibri" w:hAnsi="Calibri" w:cs="Calibri"/>
        </w:rPr>
        <w:t xml:space="preserve"> (i.e.</w:t>
      </w:r>
      <w:r w:rsidR="007C1757">
        <w:rPr>
          <w:rFonts w:ascii="Calibri" w:hAnsi="Calibri" w:cs="Calibri"/>
        </w:rPr>
        <w:t>,</w:t>
      </w:r>
      <w:r w:rsidR="00D10B36">
        <w:rPr>
          <w:rFonts w:ascii="Calibri" w:hAnsi="Calibri" w:cs="Calibri"/>
        </w:rPr>
        <w:t xml:space="preserve"> </w:t>
      </w:r>
      <w:r>
        <w:rPr>
          <w:rFonts w:ascii="Calibri" w:hAnsi="Calibri" w:cs="Calibri"/>
        </w:rPr>
        <w:t xml:space="preserve">designed to </w:t>
      </w:r>
      <w:r w:rsidR="00D10B36">
        <w:rPr>
          <w:rFonts w:ascii="Calibri" w:hAnsi="Calibri" w:cs="Calibri"/>
        </w:rPr>
        <w:t>develop generalizable knowledge)</w:t>
      </w:r>
      <w:r>
        <w:rPr>
          <w:rFonts w:ascii="Calibri" w:hAnsi="Calibri" w:cs="Calibri"/>
        </w:rPr>
        <w:t>.</w:t>
      </w:r>
    </w:p>
    <w:p w14:paraId="2FED17B3" w14:textId="77777777" w:rsidR="002E71CF" w:rsidRDefault="002E71CF" w:rsidP="002E71CF">
      <w:pPr>
        <w:autoSpaceDE w:val="0"/>
        <w:autoSpaceDN w:val="0"/>
        <w:adjustRightInd w:val="0"/>
        <w:spacing w:after="0" w:line="240" w:lineRule="auto"/>
        <w:rPr>
          <w:color w:val="000000" w:themeColor="text1"/>
        </w:rPr>
      </w:pPr>
    </w:p>
    <w:p w14:paraId="39E076CA" w14:textId="34BB5215" w:rsidR="00351D0C" w:rsidRDefault="00351D0C" w:rsidP="002E71CF">
      <w:pPr>
        <w:pStyle w:val="NoSpacing"/>
        <w:spacing w:after="120"/>
        <w:rPr>
          <w:color w:val="000000" w:themeColor="text1"/>
          <w:sz w:val="22"/>
          <w:szCs w:val="22"/>
        </w:rPr>
      </w:pPr>
      <w:r w:rsidRPr="00351D0C">
        <w:rPr>
          <w:b/>
          <w:color w:val="000000" w:themeColor="text1"/>
          <w:sz w:val="22"/>
          <w:szCs w:val="22"/>
        </w:rPr>
        <w:t>HIPAA R</w:t>
      </w:r>
      <w:r w:rsidR="002E71CF">
        <w:rPr>
          <w:b/>
          <w:color w:val="000000" w:themeColor="text1"/>
          <w:sz w:val="22"/>
          <w:szCs w:val="22"/>
        </w:rPr>
        <w:t>equirements</w:t>
      </w:r>
    </w:p>
    <w:p w14:paraId="16BB8EEB" w14:textId="7E4F4271" w:rsidR="00351D0C" w:rsidRDefault="007C1757" w:rsidP="00ED1662">
      <w:pPr>
        <w:pStyle w:val="NoSpacing"/>
        <w:spacing w:after="60"/>
        <w:rPr>
          <w:color w:val="000000" w:themeColor="text1"/>
          <w:sz w:val="22"/>
          <w:szCs w:val="22"/>
        </w:rPr>
      </w:pPr>
      <w:r w:rsidRPr="002E71CF">
        <w:rPr>
          <w:i/>
          <w:iCs/>
          <w:color w:val="000000" w:themeColor="text1"/>
          <w:sz w:val="22"/>
          <w:szCs w:val="22"/>
        </w:rPr>
        <w:t xml:space="preserve">Although </w:t>
      </w:r>
      <w:r w:rsidR="002E71CF" w:rsidRPr="002E71CF">
        <w:rPr>
          <w:i/>
          <w:iCs/>
          <w:color w:val="000000" w:themeColor="text1"/>
          <w:sz w:val="22"/>
          <w:szCs w:val="22"/>
        </w:rPr>
        <w:t>c</w:t>
      </w:r>
      <w:r w:rsidR="00351D0C" w:rsidRPr="002E71CF">
        <w:rPr>
          <w:i/>
          <w:iCs/>
          <w:color w:val="000000" w:themeColor="text1"/>
          <w:sz w:val="22"/>
          <w:szCs w:val="22"/>
        </w:rPr>
        <w:t>ase report do not require IRB review</w:t>
      </w:r>
      <w:r w:rsidRPr="002E71CF">
        <w:rPr>
          <w:i/>
          <w:iCs/>
          <w:color w:val="000000" w:themeColor="text1"/>
          <w:sz w:val="22"/>
          <w:szCs w:val="22"/>
        </w:rPr>
        <w:t>, they</w:t>
      </w:r>
      <w:r w:rsidR="00351D0C" w:rsidRPr="002E71CF">
        <w:rPr>
          <w:i/>
          <w:iCs/>
          <w:color w:val="000000" w:themeColor="text1"/>
          <w:sz w:val="22"/>
          <w:szCs w:val="22"/>
        </w:rPr>
        <w:t xml:space="preserve"> must still comply with HIPAA Privacy Rule requirements</w:t>
      </w:r>
      <w:r w:rsidR="00351D0C" w:rsidRPr="002E71CF">
        <w:rPr>
          <w:color w:val="000000" w:themeColor="text1"/>
          <w:sz w:val="22"/>
          <w:szCs w:val="22"/>
        </w:rPr>
        <w:t xml:space="preserve"> </w:t>
      </w:r>
      <w:r w:rsidR="00351D0C">
        <w:rPr>
          <w:color w:val="000000" w:themeColor="text1"/>
          <w:sz w:val="22"/>
          <w:szCs w:val="22"/>
        </w:rPr>
        <w:t>about Protected Health Information (PHI). If these case reports require access to, and the use of, PHI, the author is expected to:</w:t>
      </w:r>
    </w:p>
    <w:p w14:paraId="623E6FC3" w14:textId="464F9C26" w:rsidR="00ED1662" w:rsidRPr="00ED1662" w:rsidRDefault="00351D0C" w:rsidP="00ED1662">
      <w:pPr>
        <w:pStyle w:val="NoSpacing"/>
        <w:numPr>
          <w:ilvl w:val="0"/>
          <w:numId w:val="13"/>
        </w:numPr>
        <w:spacing w:after="60"/>
        <w:ind w:left="270" w:hanging="180"/>
        <w:rPr>
          <w:color w:val="000000" w:themeColor="text1"/>
          <w:sz w:val="22"/>
          <w:szCs w:val="22"/>
        </w:rPr>
      </w:pPr>
      <w:r>
        <w:rPr>
          <w:color w:val="000000" w:themeColor="text1"/>
          <w:sz w:val="22"/>
          <w:szCs w:val="22"/>
        </w:rPr>
        <w:t xml:space="preserve">Obtain HIPAA authorization from the patient or patient’s representative (e.g., if the patient is deceased), using a clinical HIPAA authorization form (e.g., UW Medicine form UH0626) </w:t>
      </w:r>
      <w:r w:rsidR="00ED1662" w:rsidRPr="00ED1662">
        <w:rPr>
          <w:b/>
          <w:bCs/>
          <w:color w:val="000000" w:themeColor="text1"/>
          <w:sz w:val="22"/>
          <w:szCs w:val="22"/>
        </w:rPr>
        <w:t xml:space="preserve">– </w:t>
      </w:r>
      <w:r w:rsidRPr="00ED1662">
        <w:rPr>
          <w:b/>
          <w:bCs/>
          <w:color w:val="000000" w:themeColor="text1"/>
          <w:sz w:val="22"/>
          <w:szCs w:val="22"/>
        </w:rPr>
        <w:t>OR</w:t>
      </w:r>
      <w:r w:rsidR="00ED1662" w:rsidRPr="00ED1662">
        <w:rPr>
          <w:b/>
          <w:bCs/>
          <w:color w:val="000000" w:themeColor="text1"/>
          <w:sz w:val="22"/>
          <w:szCs w:val="22"/>
        </w:rPr>
        <w:t xml:space="preserve"> </w:t>
      </w:r>
      <w:r w:rsidR="00ED1662">
        <w:rPr>
          <w:b/>
          <w:bCs/>
          <w:color w:val="000000" w:themeColor="text1"/>
          <w:sz w:val="22"/>
          <w:szCs w:val="22"/>
        </w:rPr>
        <w:t xml:space="preserve">– </w:t>
      </w:r>
    </w:p>
    <w:p w14:paraId="0F5BEA36" w14:textId="30FD7C89" w:rsidR="005A4E4A" w:rsidRPr="005A4E4A" w:rsidRDefault="00351D0C" w:rsidP="005A4E4A">
      <w:pPr>
        <w:pStyle w:val="NoSpacing"/>
        <w:numPr>
          <w:ilvl w:val="0"/>
          <w:numId w:val="13"/>
        </w:numPr>
        <w:tabs>
          <w:tab w:val="left" w:pos="1589"/>
          <w:tab w:val="left" w:pos="4347"/>
        </w:tabs>
        <w:spacing w:after="60"/>
        <w:ind w:left="270" w:hanging="180"/>
      </w:pPr>
      <w:r w:rsidRPr="00ED1662">
        <w:rPr>
          <w:color w:val="000000" w:themeColor="text1"/>
          <w:sz w:val="22"/>
          <w:szCs w:val="22"/>
        </w:rPr>
        <w:t>Ensure that all HIPAA-specific identifiers are removed from the case report so that there is no reasonable risk of patient identification in the case report. This means:</w:t>
      </w:r>
      <w:r w:rsidR="005A4E4A">
        <w:tab/>
      </w:r>
      <w:r w:rsidR="005A4E4A">
        <w:tab/>
      </w:r>
    </w:p>
    <w:p w14:paraId="417B57B3" w14:textId="0C7254AF" w:rsidR="00351D0C" w:rsidRPr="00266007" w:rsidRDefault="00351D0C" w:rsidP="00ED1662">
      <w:pPr>
        <w:pStyle w:val="NoSpacing"/>
        <w:numPr>
          <w:ilvl w:val="1"/>
          <w:numId w:val="14"/>
        </w:numPr>
        <w:spacing w:after="60"/>
        <w:ind w:left="630" w:hanging="180"/>
      </w:pPr>
      <w:r w:rsidRPr="00ED1662">
        <w:rPr>
          <w:color w:val="000000" w:themeColor="text1"/>
          <w:sz w:val="22"/>
          <w:szCs w:val="22"/>
        </w:rPr>
        <w:t>Removing the 18 identifiers specified in the HIPAA Privacy Rule</w:t>
      </w:r>
      <w:r w:rsidR="000E5F01" w:rsidRPr="00ED1662">
        <w:rPr>
          <w:color w:val="000000" w:themeColor="text1"/>
          <w:sz w:val="22"/>
          <w:szCs w:val="22"/>
        </w:rPr>
        <w:t xml:space="preserve"> (</w:t>
      </w:r>
      <w:hyperlink r:id="rId12" w:history="1">
        <w:r w:rsidR="000E5F01" w:rsidRPr="000E5F01">
          <w:rPr>
            <w:rStyle w:val="Hyperlink"/>
            <w:sz w:val="22"/>
            <w:szCs w:val="22"/>
          </w:rPr>
          <w:t>UW Medicine Compliance policy COMP.103</w:t>
        </w:r>
      </w:hyperlink>
      <w:r w:rsidR="000E5F01" w:rsidRPr="00ED1662">
        <w:rPr>
          <w:color w:val="000000" w:themeColor="text1"/>
          <w:sz w:val="22"/>
          <w:szCs w:val="22"/>
        </w:rPr>
        <w:t xml:space="preserve"> “Special Circumstances: Limited Data Sets, and De-identification of PHI”); </w:t>
      </w:r>
      <w:r w:rsidR="000E5F01" w:rsidRPr="00ED1662">
        <w:rPr>
          <w:b/>
          <w:color w:val="000000" w:themeColor="text1"/>
          <w:sz w:val="22"/>
          <w:szCs w:val="22"/>
        </w:rPr>
        <w:t>AND</w:t>
      </w:r>
    </w:p>
    <w:p w14:paraId="02AEEECE" w14:textId="55E45626" w:rsidR="00351D0C" w:rsidRDefault="00351D0C" w:rsidP="00ED1662">
      <w:pPr>
        <w:pStyle w:val="NoSpacing"/>
        <w:numPr>
          <w:ilvl w:val="1"/>
          <w:numId w:val="14"/>
        </w:numPr>
        <w:spacing w:after="60"/>
        <w:ind w:left="630" w:hanging="180"/>
        <w:rPr>
          <w:color w:val="000000" w:themeColor="text1"/>
          <w:sz w:val="22"/>
          <w:szCs w:val="22"/>
        </w:rPr>
      </w:pPr>
      <w:r>
        <w:rPr>
          <w:color w:val="000000" w:themeColor="text1"/>
          <w:sz w:val="22"/>
          <w:szCs w:val="22"/>
        </w:rPr>
        <w:t>Determining that no photo, image, or illustration in the case report could lead to identification of the patient;</w:t>
      </w:r>
      <w:r w:rsidR="000E5F01">
        <w:rPr>
          <w:color w:val="000000" w:themeColor="text1"/>
          <w:sz w:val="22"/>
          <w:szCs w:val="22"/>
        </w:rPr>
        <w:t xml:space="preserve"> </w:t>
      </w:r>
      <w:r w:rsidR="000E5F01" w:rsidRPr="000E5F01">
        <w:rPr>
          <w:b/>
          <w:color w:val="000000" w:themeColor="text1"/>
          <w:sz w:val="22"/>
          <w:szCs w:val="22"/>
        </w:rPr>
        <w:t>AND</w:t>
      </w:r>
    </w:p>
    <w:p w14:paraId="7B4D88EA" w14:textId="6286108B" w:rsidR="00351D0C" w:rsidRDefault="00351D0C" w:rsidP="00ED1662">
      <w:pPr>
        <w:pStyle w:val="NoSpacing"/>
        <w:numPr>
          <w:ilvl w:val="1"/>
          <w:numId w:val="14"/>
        </w:numPr>
        <w:ind w:left="630" w:hanging="180"/>
        <w:rPr>
          <w:color w:val="000000" w:themeColor="text1"/>
          <w:sz w:val="22"/>
          <w:szCs w:val="22"/>
        </w:rPr>
      </w:pPr>
      <w:r>
        <w:rPr>
          <w:color w:val="000000" w:themeColor="text1"/>
          <w:sz w:val="22"/>
          <w:szCs w:val="22"/>
        </w:rPr>
        <w:t>Determining that the cases described are not so unique as to be identifiable if someone looked at public sources such as media accounts.</w:t>
      </w:r>
    </w:p>
    <w:p w14:paraId="319C4D74" w14:textId="77777777" w:rsidR="00351D0C" w:rsidRPr="00351D0C" w:rsidRDefault="00351D0C" w:rsidP="00351D0C">
      <w:pPr>
        <w:pStyle w:val="NoSpacing"/>
        <w:ind w:left="360"/>
        <w:rPr>
          <w:color w:val="000000" w:themeColor="text1"/>
          <w:sz w:val="22"/>
          <w:szCs w:val="22"/>
        </w:rPr>
      </w:pPr>
    </w:p>
    <w:p w14:paraId="58799A06" w14:textId="4C16BE75" w:rsidR="00270F5B" w:rsidRDefault="005A4E4A" w:rsidP="00270F5B">
      <w:pPr>
        <w:pStyle w:val="NoSpacing"/>
        <w:spacing w:after="120"/>
        <w:outlineLvl w:val="0"/>
        <w:rPr>
          <w:b/>
          <w:color w:val="auto"/>
          <w:sz w:val="22"/>
          <w:szCs w:val="22"/>
        </w:rPr>
      </w:pPr>
      <w:r>
        <w:rPr>
          <w:b/>
          <w:color w:val="auto"/>
          <w:sz w:val="22"/>
          <w:szCs w:val="22"/>
        </w:rPr>
        <w:t>RELATED MATERIALS</w:t>
      </w:r>
    </w:p>
    <w:p w14:paraId="4177ADA6" w14:textId="0A7197E9" w:rsidR="00270F5B" w:rsidRDefault="00270F5B" w:rsidP="00270F5B">
      <w:r>
        <w:t>None</w:t>
      </w:r>
    </w:p>
    <w:p w14:paraId="24C074C4" w14:textId="0B62CD11" w:rsidR="005A4E4A" w:rsidRPr="00A03C60" w:rsidRDefault="005A4E4A" w:rsidP="00ED1662">
      <w:pPr>
        <w:pStyle w:val="NoSpacing"/>
        <w:spacing w:after="120"/>
        <w:outlineLvl w:val="0"/>
        <w:rPr>
          <w:b/>
          <w:color w:val="auto"/>
          <w:sz w:val="22"/>
          <w:szCs w:val="22"/>
        </w:rPr>
      </w:pPr>
      <w:r>
        <w:rPr>
          <w:b/>
          <w:color w:val="auto"/>
          <w:sz w:val="22"/>
          <w:szCs w:val="22"/>
        </w:rPr>
        <w:t>REGULATORY REFERENCES</w:t>
      </w:r>
    </w:p>
    <w:p w14:paraId="0A31DA83" w14:textId="69D4834E" w:rsidR="001F12A4" w:rsidRDefault="005A4E4A" w:rsidP="00F3072D">
      <w:pPr>
        <w:pStyle w:val="NoSpacing"/>
        <w:rPr>
          <w:color w:val="auto"/>
          <w:sz w:val="22"/>
          <w:szCs w:val="22"/>
        </w:rPr>
      </w:pPr>
      <w:r>
        <w:rPr>
          <w:color w:val="auto"/>
          <w:sz w:val="22"/>
          <w:szCs w:val="22"/>
        </w:rPr>
        <w:t>UW Medicine Compliance Policy COMP.103, “Use and Disclosure of Protected Health Information (PHI)”</w:t>
      </w:r>
    </w:p>
    <w:tbl>
      <w:tblPr>
        <w:tblStyle w:val="TableGrid"/>
        <w:tblW w:w="1017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160"/>
        <w:gridCol w:w="1755"/>
        <w:gridCol w:w="1755"/>
        <w:gridCol w:w="4500"/>
      </w:tblGrid>
      <w:tr w:rsidR="005A4E4A" w:rsidRPr="00ED134C" w14:paraId="706142E8" w14:textId="77777777" w:rsidTr="00842FE8">
        <w:trPr>
          <w:trHeight w:val="233"/>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213C599A" w14:textId="77777777" w:rsidR="005A4E4A" w:rsidRPr="00954C91" w:rsidRDefault="005A4E4A" w:rsidP="00842FE8">
            <w:pPr>
              <w:pStyle w:val="NoSpacing"/>
              <w:jc w:val="center"/>
              <w:rPr>
                <w:b/>
                <w:bCs/>
                <w:color w:val="FFFFFF" w:themeColor="background1"/>
                <w:sz w:val="22"/>
                <w:szCs w:val="22"/>
              </w:rPr>
            </w:pPr>
            <w:r w:rsidRPr="00954C91">
              <w:rPr>
                <w:b/>
                <w:bCs/>
                <w:color w:val="FFFFFF" w:themeColor="background1"/>
                <w:sz w:val="22"/>
                <w:szCs w:val="22"/>
              </w:rPr>
              <w:lastRenderedPageBreak/>
              <w:t>Version Number</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23463779" w14:textId="77777777" w:rsidR="005A4E4A" w:rsidRPr="00954C91" w:rsidRDefault="005A4E4A" w:rsidP="00842FE8">
            <w:pPr>
              <w:pStyle w:val="NoSpacing"/>
              <w:jc w:val="center"/>
              <w:rPr>
                <w:b/>
                <w:bCs/>
                <w:color w:val="FFFFFF" w:themeColor="background1"/>
                <w:sz w:val="22"/>
                <w:szCs w:val="22"/>
              </w:rPr>
            </w:pPr>
            <w:r w:rsidRPr="00954C91">
              <w:rPr>
                <w:b/>
                <w:bCs/>
                <w:color w:val="FFFFFF" w:themeColor="background1"/>
                <w:sz w:val="22"/>
                <w:szCs w:val="22"/>
              </w:rPr>
              <w:t>Posted Date</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CADE38" w14:textId="77777777" w:rsidR="005A4E4A" w:rsidRPr="00954C91" w:rsidRDefault="005A4E4A" w:rsidP="00842FE8">
            <w:pPr>
              <w:pStyle w:val="NoSpacing"/>
              <w:jc w:val="center"/>
              <w:rPr>
                <w:b/>
                <w:bCs/>
                <w:color w:val="FFFFFF" w:themeColor="background1"/>
                <w:sz w:val="22"/>
                <w:szCs w:val="22"/>
              </w:rPr>
            </w:pPr>
            <w:r w:rsidRPr="00954C91">
              <w:rPr>
                <w:b/>
                <w:bCs/>
                <w:color w:val="FFFFFF" w:themeColor="background1"/>
                <w:sz w:val="22"/>
                <w:szCs w:val="22"/>
              </w:rPr>
              <w:t>Implementation Date</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1CBBEC34" w14:textId="77777777" w:rsidR="005A4E4A" w:rsidRPr="00954C91" w:rsidRDefault="005A4E4A" w:rsidP="00842FE8">
            <w:pPr>
              <w:pStyle w:val="NoSpacing"/>
              <w:jc w:val="center"/>
              <w:rPr>
                <w:b/>
                <w:bCs/>
                <w:color w:val="FFFFFF" w:themeColor="background1"/>
                <w:sz w:val="22"/>
                <w:szCs w:val="22"/>
              </w:rPr>
            </w:pPr>
            <w:r w:rsidRPr="00954C91">
              <w:rPr>
                <w:b/>
                <w:bCs/>
                <w:color w:val="FFFFFF" w:themeColor="background1"/>
                <w:sz w:val="22"/>
                <w:szCs w:val="22"/>
              </w:rPr>
              <w:t>Summary of Changes</w:t>
            </w:r>
          </w:p>
        </w:tc>
      </w:tr>
      <w:tr w:rsidR="00270F5B" w:rsidRPr="00D26748" w14:paraId="5BEB7C23" w14:textId="77777777" w:rsidTr="00842FE8">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40522A" w14:textId="6D34EC87" w:rsidR="00270F5B" w:rsidRDefault="00270F5B" w:rsidP="00842FE8">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1.3</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D0B92" w14:textId="6A44E98D" w:rsidR="00270F5B" w:rsidRDefault="00270F5B" w:rsidP="00842FE8">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01.29.2026</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1B29C" w14:textId="68164856" w:rsidR="00270F5B" w:rsidRDefault="00270F5B" w:rsidP="00842FE8">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01.29.2026</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BDEAF4" w14:textId="43A9570E" w:rsidR="00270F5B" w:rsidRDefault="00270F5B" w:rsidP="00842FE8">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Updates for accessibility</w:t>
            </w:r>
          </w:p>
        </w:tc>
      </w:tr>
      <w:tr w:rsidR="005A4E4A" w:rsidRPr="00D26748" w14:paraId="15A9D171" w14:textId="77777777" w:rsidTr="00842FE8">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50AB13" w14:textId="068BCE65" w:rsidR="005A4E4A" w:rsidRPr="00543DD2" w:rsidRDefault="005A4E4A" w:rsidP="00842FE8">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1.2</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BFEE37" w14:textId="5ADF414D" w:rsidR="005A4E4A" w:rsidRDefault="005A4E4A" w:rsidP="00842FE8">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03.02.2023</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22868C" w14:textId="26DE32E7" w:rsidR="005A4E4A" w:rsidRPr="00543DD2" w:rsidRDefault="005A4E4A" w:rsidP="00842FE8">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03.02.2023</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90AF82" w14:textId="67840A0F" w:rsidR="005A4E4A" w:rsidRPr="00543DD2" w:rsidRDefault="005A4E4A" w:rsidP="00842FE8">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Remove statement that case reports don’t need IRB review with 3 or less patients; replace with note that case reports don’t need IRB review because they are not research</w:t>
            </w:r>
          </w:p>
        </w:tc>
      </w:tr>
      <w:tr w:rsidR="005A4E4A" w:rsidRPr="00D26748" w14:paraId="72884877" w14:textId="77777777" w:rsidTr="00842FE8">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B27CB2" w14:textId="55F38E95" w:rsidR="005A4E4A" w:rsidRDefault="005A4E4A" w:rsidP="00842FE8">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1.1</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66060" w14:textId="034B5E0B" w:rsidR="005A4E4A" w:rsidRPr="1301FCCD" w:rsidRDefault="005A4E4A" w:rsidP="00842FE8">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08.31.2018</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8C270D" w14:textId="25E1CAFB" w:rsidR="005A4E4A" w:rsidRDefault="005A4E4A" w:rsidP="00842FE8">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08.31.2018</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C3184E" w14:textId="107139FB" w:rsidR="005A4E4A" w:rsidRDefault="005A4E4A" w:rsidP="00842FE8">
            <w:pPr>
              <w:pStyle w:val="NoSpacing"/>
              <w:rPr>
                <w:rFonts w:ascii="Calibri" w:eastAsiaTheme="majorEastAsia" w:hAnsi="Calibri" w:cstheme="majorBidi"/>
                <w:color w:val="auto"/>
                <w:sz w:val="22"/>
                <w:szCs w:val="26"/>
              </w:rPr>
            </w:pPr>
            <w:r>
              <w:rPr>
                <w:rFonts w:ascii="Calibri" w:eastAsiaTheme="majorEastAsia" w:hAnsi="Calibri" w:cstheme="majorBidi"/>
                <w:color w:val="auto"/>
                <w:sz w:val="22"/>
                <w:szCs w:val="26"/>
              </w:rPr>
              <w:t>Corrected reference to the UW Medicine Compliance Policy (changed due to major restructuring of their policies)</w:t>
            </w:r>
          </w:p>
        </w:tc>
      </w:tr>
      <w:tr w:rsidR="005A4E4A" w:rsidRPr="00D26748" w14:paraId="55FF5AFF" w14:textId="77777777" w:rsidTr="00842FE8">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48CE8" w14:textId="0D1433FA" w:rsidR="005A4E4A" w:rsidRPr="00135B00" w:rsidRDefault="00F713D4" w:rsidP="00842FE8">
            <w:pPr>
              <w:pStyle w:val="NoSpacing"/>
              <w:jc w:val="center"/>
              <w:rPr>
                <w:rFonts w:ascii="Calibri" w:eastAsiaTheme="majorEastAsia" w:hAnsi="Calibri" w:cstheme="majorBidi"/>
                <w:color w:val="000000" w:themeColor="text1"/>
                <w:sz w:val="22"/>
                <w:szCs w:val="22"/>
              </w:rPr>
            </w:pPr>
            <w:r>
              <w:rPr>
                <w:rFonts w:ascii="Calibri" w:eastAsiaTheme="majorEastAsia" w:hAnsi="Calibri" w:cstheme="majorBidi"/>
                <w:color w:val="000000" w:themeColor="text1"/>
                <w:sz w:val="22"/>
                <w:szCs w:val="22"/>
              </w:rPr>
              <w:t>1.0</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2E643E" w14:textId="63C03DDE" w:rsidR="005A4E4A" w:rsidRPr="00135B00" w:rsidRDefault="00F713D4" w:rsidP="00842FE8">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08.07.2017</w:t>
            </w:r>
          </w:p>
        </w:tc>
        <w:tc>
          <w:tcPr>
            <w:tcW w:w="17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86EB3" w14:textId="496AB582" w:rsidR="005A4E4A" w:rsidRPr="00135B00" w:rsidRDefault="00F713D4" w:rsidP="00842FE8">
            <w:pPr>
              <w:pStyle w:val="NoSpacing"/>
              <w:jc w:val="center"/>
              <w:rPr>
                <w:rFonts w:ascii="Calibri" w:eastAsiaTheme="majorEastAsia" w:hAnsi="Calibri" w:cstheme="majorBidi"/>
                <w:color w:val="000000" w:themeColor="text1"/>
                <w:sz w:val="22"/>
                <w:szCs w:val="26"/>
              </w:rPr>
            </w:pPr>
            <w:r>
              <w:rPr>
                <w:rFonts w:ascii="Calibri" w:eastAsiaTheme="majorEastAsia" w:hAnsi="Calibri" w:cstheme="majorBidi"/>
                <w:color w:val="000000" w:themeColor="text1"/>
                <w:sz w:val="22"/>
                <w:szCs w:val="26"/>
              </w:rPr>
              <w:t>08.07.2017</w:t>
            </w:r>
          </w:p>
        </w:tc>
        <w:tc>
          <w:tcPr>
            <w:tcW w:w="4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B8A23" w14:textId="298157E4" w:rsidR="005A4E4A" w:rsidRPr="00135B00" w:rsidRDefault="00F713D4" w:rsidP="00842FE8">
            <w:pPr>
              <w:pStyle w:val="NoSpacing"/>
              <w:rPr>
                <w:rFonts w:ascii="Calibri" w:eastAsiaTheme="majorEastAsia" w:hAnsi="Calibri" w:cstheme="majorBidi"/>
                <w:color w:val="000000" w:themeColor="text1"/>
                <w:sz w:val="22"/>
                <w:szCs w:val="22"/>
              </w:rPr>
            </w:pPr>
            <w:r>
              <w:rPr>
                <w:rFonts w:ascii="Calibri" w:eastAsiaTheme="majorEastAsia" w:hAnsi="Calibri" w:cstheme="majorBidi"/>
                <w:color w:val="000000" w:themeColor="text1"/>
                <w:sz w:val="22"/>
                <w:szCs w:val="22"/>
              </w:rPr>
              <w:t>Newly posted guidance</w:t>
            </w:r>
          </w:p>
        </w:tc>
      </w:tr>
    </w:tbl>
    <w:p w14:paraId="0B09CF48" w14:textId="37E9615C" w:rsidR="005609F5" w:rsidRPr="005609F5" w:rsidRDefault="008C406F" w:rsidP="002E71CF">
      <w:pPr>
        <w:pStyle w:val="NoSpacing"/>
        <w:spacing w:before="160"/>
      </w:pPr>
      <w:r w:rsidRPr="008C406F">
        <w:rPr>
          <w:b/>
          <w:bCs/>
          <w:color w:val="auto"/>
          <w:sz w:val="18"/>
          <w:szCs w:val="18"/>
        </w:rPr>
        <w:t xml:space="preserve">Keywords: </w:t>
      </w:r>
      <w:r w:rsidRPr="008C406F">
        <w:rPr>
          <w:color w:val="auto"/>
          <w:sz w:val="18"/>
          <w:szCs w:val="18"/>
        </w:rPr>
        <w:t>HIPAA</w:t>
      </w:r>
      <w:r>
        <w:rPr>
          <w:color w:val="auto"/>
          <w:sz w:val="18"/>
          <w:szCs w:val="18"/>
        </w:rPr>
        <w:t>; Research</w:t>
      </w:r>
    </w:p>
    <w:sectPr w:rsidR="005609F5" w:rsidRPr="005609F5" w:rsidSect="00E16D1A">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4C3E" w14:textId="77777777" w:rsidR="00E86717" w:rsidRDefault="00E86717" w:rsidP="00BC532C">
      <w:pPr>
        <w:spacing w:after="0" w:line="240" w:lineRule="auto"/>
      </w:pPr>
      <w:r>
        <w:separator/>
      </w:r>
    </w:p>
  </w:endnote>
  <w:endnote w:type="continuationSeparator" w:id="0">
    <w:p w14:paraId="423EC3BB" w14:textId="77777777" w:rsidR="00E86717" w:rsidRDefault="00E86717" w:rsidP="00BC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8878" w14:textId="77777777" w:rsidR="00270F5B" w:rsidRDefault="00270F5B" w:rsidP="00270F5B">
    <w:pPr>
      <w:pStyle w:val="Footer"/>
      <w:tabs>
        <w:tab w:val="clear" w:pos="4680"/>
        <w:tab w:val="clear" w:pos="9360"/>
        <w:tab w:val="center" w:pos="5310"/>
        <w:tab w:val="right" w:pos="10800"/>
      </w:tabs>
    </w:pPr>
    <w:r w:rsidRPr="005031DB">
      <w:rPr>
        <w:rFonts w:cs="Calibri"/>
        <w:sz w:val="18"/>
        <w:szCs w:val="18"/>
      </w:rPr>
      <w:t xml:space="preserve">Date Posted </w:t>
    </w:r>
    <w:r>
      <w:rPr>
        <w:rFonts w:cs="Calibri"/>
        <w:sz w:val="18"/>
        <w:szCs w:val="18"/>
      </w:rPr>
      <w:t>01.29.2026</w:t>
    </w:r>
  </w:p>
  <w:p w14:paraId="232C3A84" w14:textId="599E27ED" w:rsidR="00270F5B" w:rsidRDefault="00270F5B" w:rsidP="00270F5B">
    <w:pPr>
      <w:pStyle w:val="Footer"/>
      <w:tabs>
        <w:tab w:val="clear" w:pos="4680"/>
        <w:tab w:val="clear" w:pos="9360"/>
        <w:tab w:val="center" w:pos="5310"/>
        <w:tab w:val="right" w:pos="10800"/>
      </w:tabs>
      <w:rPr>
        <w:rFonts w:cs="Calibri"/>
        <w:sz w:val="18"/>
        <w:szCs w:val="18"/>
      </w:rPr>
    </w:pPr>
    <w:r>
      <w:rPr>
        <w:rFonts w:cs="Calibri"/>
        <w:sz w:val="18"/>
        <w:szCs w:val="18"/>
      </w:rPr>
      <w:t>GUIDANCE Case Reports, IRB Review, and HIPAA</w:t>
    </w:r>
  </w:p>
  <w:p w14:paraId="72CD990A" w14:textId="47D3A891" w:rsidR="00270F5B" w:rsidRDefault="00270F5B" w:rsidP="00270F5B">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1.3</w:t>
    </w:r>
  </w:p>
  <w:p w14:paraId="05BB0CB6" w14:textId="6F7A4D1F" w:rsidR="00BC532C" w:rsidRPr="00270F5B" w:rsidRDefault="00270F5B" w:rsidP="00270F5B">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2</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FDEB" w14:textId="77777777" w:rsidR="00E86717" w:rsidRDefault="00E86717" w:rsidP="00BC532C">
      <w:pPr>
        <w:spacing w:after="0" w:line="240" w:lineRule="auto"/>
      </w:pPr>
      <w:r>
        <w:separator/>
      </w:r>
    </w:p>
  </w:footnote>
  <w:footnote w:type="continuationSeparator" w:id="0">
    <w:p w14:paraId="3CD052A0" w14:textId="77777777" w:rsidR="00E86717" w:rsidRDefault="00E86717" w:rsidP="00BC5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739"/>
    <w:multiLevelType w:val="hybridMultilevel"/>
    <w:tmpl w:val="46AA5B4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 w15:restartNumberingAfterBreak="0">
    <w:nsid w:val="2E704A16"/>
    <w:multiLevelType w:val="hybridMultilevel"/>
    <w:tmpl w:val="A7E46E4E"/>
    <w:lvl w:ilvl="0" w:tplc="FFFFFFFF">
      <w:start w:val="1"/>
      <w:numFmt w:val="bullet"/>
      <w:lvlText w:val=""/>
      <w:lvlJc w:val="left"/>
      <w:pPr>
        <w:ind w:left="1260" w:hanging="360"/>
      </w:pPr>
      <w:rPr>
        <w:rFonts w:ascii="Symbol" w:hAnsi="Symbol" w:hint="default"/>
      </w:rPr>
    </w:lvl>
    <w:lvl w:ilvl="1" w:tplc="0EB2157A">
      <w:start w:val="1"/>
      <w:numFmt w:val="bullet"/>
      <w:lvlText w:val=""/>
      <w:lvlJc w:val="left"/>
      <w:pPr>
        <w:ind w:left="1980" w:hanging="360"/>
      </w:pPr>
      <w:rPr>
        <w:rFonts w:ascii="Wingdings" w:hAnsi="Wingdings" w:hint="default"/>
        <w:color w:val="auto"/>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 w15:restartNumberingAfterBreak="0">
    <w:nsid w:val="3484781B"/>
    <w:multiLevelType w:val="hybridMultilevel"/>
    <w:tmpl w:val="CDC6C868"/>
    <w:lvl w:ilvl="0" w:tplc="6868C72C">
      <w:start w:val="1"/>
      <w:numFmt w:val="decimal"/>
      <w:lvlText w:val="1.%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7DE5911"/>
    <w:multiLevelType w:val="hybridMultilevel"/>
    <w:tmpl w:val="D50A7496"/>
    <w:lvl w:ilvl="0" w:tplc="01DC91C2">
      <w:start w:val="1"/>
      <w:numFmt w:val="bullet"/>
      <w:lvlText w:val=""/>
      <w:lvlJc w:val="left"/>
      <w:pPr>
        <w:ind w:left="1260" w:hanging="360"/>
      </w:pPr>
      <w:rPr>
        <w:rFonts w:ascii="Symbol" w:hAnsi="Symbol"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4DED5576"/>
    <w:multiLevelType w:val="hybridMultilevel"/>
    <w:tmpl w:val="D78EFD94"/>
    <w:lvl w:ilvl="0" w:tplc="4C1C50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116CC"/>
    <w:multiLevelType w:val="multilevel"/>
    <w:tmpl w:val="D5DC0158"/>
    <w:styleLink w:val="HSDSOPHeadings"/>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decimal"/>
      <w:lvlText w:val="%1.%2.%3.%4"/>
      <w:lvlJc w:val="left"/>
      <w:pPr>
        <w:tabs>
          <w:tab w:val="num" w:pos="1512"/>
        </w:tabs>
        <w:ind w:left="2376" w:hanging="864"/>
      </w:pPr>
      <w:rPr>
        <w:rFonts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65925AD0"/>
    <w:multiLevelType w:val="multilevel"/>
    <w:tmpl w:val="D5DC0158"/>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decimal"/>
      <w:lvlText w:val="%1.%2.%3.%4"/>
      <w:lvlJc w:val="left"/>
      <w:pPr>
        <w:tabs>
          <w:tab w:val="num" w:pos="1512"/>
        </w:tabs>
        <w:ind w:left="2376" w:hanging="864"/>
      </w:pPr>
      <w:rPr>
        <w:rFonts w:hint="default"/>
      </w:rPr>
    </w:lvl>
    <w:lvl w:ilvl="4">
      <w:start w:val="1"/>
      <w:numFmt w:val="decimal"/>
      <w:lvlText w:val="%1.%2.%3.%4.%5"/>
      <w:lvlJc w:val="left"/>
      <w:pPr>
        <w:tabs>
          <w:tab w:val="num" w:pos="2376"/>
        </w:tabs>
        <w:ind w:left="3456"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7C3423EF"/>
    <w:multiLevelType w:val="hybridMultilevel"/>
    <w:tmpl w:val="68FE3830"/>
    <w:lvl w:ilvl="0" w:tplc="21BA4D04">
      <w:start w:val="1"/>
      <w:numFmt w:val="decimal"/>
      <w:lvlText w:val="1.%1"/>
      <w:lvlJc w:val="left"/>
      <w:pPr>
        <w:ind w:left="1440" w:hanging="360"/>
      </w:pPr>
      <w:rPr>
        <w:rFonts w:ascii="Calibri" w:hAnsi="Calibri"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23562946">
    <w:abstractNumId w:val="5"/>
  </w:num>
  <w:num w:numId="2" w16cid:durableId="2067678764">
    <w:abstractNumId w:val="4"/>
  </w:num>
  <w:num w:numId="3" w16cid:durableId="110173995">
    <w:abstractNumId w:val="10"/>
  </w:num>
  <w:num w:numId="4" w16cid:durableId="1584073157">
    <w:abstractNumId w:val="5"/>
  </w:num>
  <w:num w:numId="5" w16cid:durableId="869952886">
    <w:abstractNumId w:val="1"/>
  </w:num>
  <w:num w:numId="6" w16cid:durableId="723021181">
    <w:abstractNumId w:val="2"/>
  </w:num>
  <w:num w:numId="7" w16cid:durableId="1980576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5418163">
    <w:abstractNumId w:val="2"/>
  </w:num>
  <w:num w:numId="9" w16cid:durableId="255673401">
    <w:abstractNumId w:val="7"/>
  </w:num>
  <w:num w:numId="10" w16cid:durableId="1640920941">
    <w:abstractNumId w:val="8"/>
  </w:num>
  <w:num w:numId="11" w16cid:durableId="734819119">
    <w:abstractNumId w:val="9"/>
  </w:num>
  <w:num w:numId="12" w16cid:durableId="1690330261">
    <w:abstractNumId w:val="0"/>
  </w:num>
  <w:num w:numId="13" w16cid:durableId="434785187">
    <w:abstractNumId w:val="6"/>
  </w:num>
  <w:num w:numId="14" w16cid:durableId="2100828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58CC"/>
    <w:rsid w:val="00074749"/>
    <w:rsid w:val="00075BE3"/>
    <w:rsid w:val="000B7FBC"/>
    <w:rsid w:val="000C25E0"/>
    <w:rsid w:val="000E5F01"/>
    <w:rsid w:val="000F329E"/>
    <w:rsid w:val="00165C97"/>
    <w:rsid w:val="001B1196"/>
    <w:rsid w:val="001B415E"/>
    <w:rsid w:val="001D1C9B"/>
    <w:rsid w:val="001F12A4"/>
    <w:rsid w:val="00200AFC"/>
    <w:rsid w:val="00230559"/>
    <w:rsid w:val="00266007"/>
    <w:rsid w:val="00270F5B"/>
    <w:rsid w:val="00287F89"/>
    <w:rsid w:val="002E6543"/>
    <w:rsid w:val="002E71CF"/>
    <w:rsid w:val="00302450"/>
    <w:rsid w:val="00351D0C"/>
    <w:rsid w:val="003638AC"/>
    <w:rsid w:val="003803AC"/>
    <w:rsid w:val="00444707"/>
    <w:rsid w:val="00484D41"/>
    <w:rsid w:val="00494396"/>
    <w:rsid w:val="004A47EE"/>
    <w:rsid w:val="00501E5B"/>
    <w:rsid w:val="005172F4"/>
    <w:rsid w:val="0053410A"/>
    <w:rsid w:val="00543DD2"/>
    <w:rsid w:val="005609F5"/>
    <w:rsid w:val="005A4E4A"/>
    <w:rsid w:val="005B333C"/>
    <w:rsid w:val="005E1D24"/>
    <w:rsid w:val="00600013"/>
    <w:rsid w:val="00637993"/>
    <w:rsid w:val="00647F10"/>
    <w:rsid w:val="00680828"/>
    <w:rsid w:val="006E46B6"/>
    <w:rsid w:val="006F15E1"/>
    <w:rsid w:val="00765C73"/>
    <w:rsid w:val="007C1757"/>
    <w:rsid w:val="00875FC3"/>
    <w:rsid w:val="008C406F"/>
    <w:rsid w:val="008D6D57"/>
    <w:rsid w:val="00925F6C"/>
    <w:rsid w:val="009441C3"/>
    <w:rsid w:val="009B187A"/>
    <w:rsid w:val="009D39EC"/>
    <w:rsid w:val="009F53DE"/>
    <w:rsid w:val="00A03C60"/>
    <w:rsid w:val="00A71D4E"/>
    <w:rsid w:val="00AB3715"/>
    <w:rsid w:val="00B91761"/>
    <w:rsid w:val="00BC532C"/>
    <w:rsid w:val="00BE1F64"/>
    <w:rsid w:val="00C06212"/>
    <w:rsid w:val="00C11281"/>
    <w:rsid w:val="00C31C24"/>
    <w:rsid w:val="00C378D2"/>
    <w:rsid w:val="00C54E38"/>
    <w:rsid w:val="00C74168"/>
    <w:rsid w:val="00CA0AE0"/>
    <w:rsid w:val="00CA2F63"/>
    <w:rsid w:val="00CD2FA9"/>
    <w:rsid w:val="00CE2FB5"/>
    <w:rsid w:val="00CF0BB9"/>
    <w:rsid w:val="00D10B36"/>
    <w:rsid w:val="00D46DC1"/>
    <w:rsid w:val="00D65261"/>
    <w:rsid w:val="00DA40D9"/>
    <w:rsid w:val="00E12C16"/>
    <w:rsid w:val="00E16D1A"/>
    <w:rsid w:val="00E86717"/>
    <w:rsid w:val="00EB45EA"/>
    <w:rsid w:val="00EC67C8"/>
    <w:rsid w:val="00ED134C"/>
    <w:rsid w:val="00ED1662"/>
    <w:rsid w:val="00EF507E"/>
    <w:rsid w:val="00F3072D"/>
    <w:rsid w:val="00F713D4"/>
    <w:rsid w:val="339E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9385A938-9A50-4309-BB72-2C0D11E3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link w:val="Heading2Char"/>
    <w:uiPriority w:val="9"/>
    <w:unhideWhenUsed/>
    <w:qFormat/>
    <w:rsid w:val="00351D0C"/>
    <w:pPr>
      <w:keepNext w:val="0"/>
      <w:keepLines w:val="0"/>
      <w:spacing w:before="200" w:after="80" w:line="240" w:lineRule="auto"/>
      <w:ind w:left="864" w:hanging="504"/>
      <w:outlineLvl w:val="1"/>
    </w:pPr>
    <w:rPr>
      <w:rFonts w:ascii="Calibri" w:hAnsi="Calibri"/>
      <w:color w:val="auto"/>
      <w:sz w:val="22"/>
      <w:szCs w:val="26"/>
    </w:rPr>
  </w:style>
  <w:style w:type="paragraph" w:styleId="Heading3">
    <w:name w:val="heading 3"/>
    <w:basedOn w:val="Heading2"/>
    <w:link w:val="Heading3Char"/>
    <w:uiPriority w:val="9"/>
    <w:unhideWhenUsed/>
    <w:qFormat/>
    <w:rsid w:val="00351D0C"/>
    <w:pPr>
      <w:spacing w:before="0"/>
      <w:ind w:left="1512" w:hanging="648"/>
      <w:outlineLvl w:val="2"/>
    </w:pPr>
    <w:rPr>
      <w:bCs/>
    </w:rPr>
  </w:style>
  <w:style w:type="paragraph" w:styleId="Heading4">
    <w:name w:val="heading 4"/>
    <w:basedOn w:val="Heading3"/>
    <w:link w:val="Heading4Char"/>
    <w:uiPriority w:val="9"/>
    <w:unhideWhenUsed/>
    <w:rsid w:val="00351D0C"/>
    <w:pPr>
      <w:tabs>
        <w:tab w:val="num" w:pos="1512"/>
      </w:tabs>
      <w:ind w:left="2376" w:hanging="864"/>
      <w:outlineLvl w:val="3"/>
    </w:pPr>
    <w:rPr>
      <w:bCs w:val="0"/>
      <w:iCs/>
    </w:rPr>
  </w:style>
  <w:style w:type="paragraph" w:styleId="Heading5">
    <w:name w:val="heading 5"/>
    <w:basedOn w:val="Heading4"/>
    <w:link w:val="Heading5Char"/>
    <w:uiPriority w:val="9"/>
    <w:unhideWhenUsed/>
    <w:rsid w:val="00351D0C"/>
    <w:pPr>
      <w:tabs>
        <w:tab w:val="clear" w:pos="1512"/>
        <w:tab w:val="num" w:pos="2376"/>
      </w:tabs>
      <w:ind w:left="3456" w:hanging="1080"/>
      <w:outlineLvl w:val="4"/>
    </w:pPr>
  </w:style>
  <w:style w:type="paragraph" w:styleId="Heading6">
    <w:name w:val="heading 6"/>
    <w:basedOn w:val="Heading5"/>
    <w:link w:val="Heading6Char"/>
    <w:uiPriority w:val="9"/>
    <w:unhideWhenUsed/>
    <w:rsid w:val="00351D0C"/>
    <w:pPr>
      <w:tabs>
        <w:tab w:val="clear" w:pos="2376"/>
        <w:tab w:val="num" w:pos="3456"/>
      </w:tabs>
      <w:ind w:left="4680" w:hanging="1224"/>
      <w:outlineLvl w:val="5"/>
    </w:pPr>
    <w:rPr>
      <w:iCs w:val="0"/>
    </w:rPr>
  </w:style>
  <w:style w:type="paragraph" w:styleId="Heading7">
    <w:name w:val="heading 7"/>
    <w:basedOn w:val="Heading6"/>
    <w:link w:val="Heading7Char"/>
    <w:uiPriority w:val="9"/>
    <w:unhideWhenUsed/>
    <w:rsid w:val="00351D0C"/>
    <w:pPr>
      <w:tabs>
        <w:tab w:val="clear" w:pos="3456"/>
        <w:tab w:val="num" w:pos="3672"/>
      </w:tabs>
      <w:ind w:left="5040" w:hanging="1368"/>
      <w:outlineLvl w:val="6"/>
    </w:pPr>
    <w:rPr>
      <w:iCs/>
    </w:rPr>
  </w:style>
  <w:style w:type="paragraph" w:styleId="Heading8">
    <w:name w:val="heading 8"/>
    <w:basedOn w:val="Heading7"/>
    <w:link w:val="Heading8Char"/>
    <w:uiPriority w:val="9"/>
    <w:unhideWhenUsed/>
    <w:rsid w:val="00351D0C"/>
    <w:pPr>
      <w:tabs>
        <w:tab w:val="clear" w:pos="3672"/>
        <w:tab w:val="num" w:pos="4176"/>
      </w:tabs>
      <w:ind w:left="5472" w:hanging="1512"/>
      <w:outlineLvl w:val="7"/>
    </w:pPr>
    <w:rPr>
      <w:szCs w:val="20"/>
    </w:rPr>
  </w:style>
  <w:style w:type="paragraph" w:styleId="Heading9">
    <w:name w:val="heading 9"/>
    <w:basedOn w:val="Heading8"/>
    <w:link w:val="Heading9Char"/>
    <w:uiPriority w:val="9"/>
    <w:unhideWhenUsed/>
    <w:rsid w:val="00351D0C"/>
    <w:pPr>
      <w:tabs>
        <w:tab w:val="clear" w:pos="4176"/>
      </w:tabs>
      <w:ind w:left="6120" w:hanging="180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uiPriority w:val="59"/>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6"/>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semiHidden/>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semiHidden/>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character" w:customStyle="1" w:styleId="Heading2Char">
    <w:name w:val="Heading 2 Char"/>
    <w:basedOn w:val="DefaultParagraphFont"/>
    <w:link w:val="Heading2"/>
    <w:uiPriority w:val="9"/>
    <w:rsid w:val="00351D0C"/>
    <w:rPr>
      <w:rFonts w:ascii="Calibri" w:eastAsiaTheme="majorEastAsia" w:hAnsi="Calibri" w:cstheme="majorBidi"/>
      <w:szCs w:val="26"/>
    </w:rPr>
  </w:style>
  <w:style w:type="character" w:customStyle="1" w:styleId="Heading3Char">
    <w:name w:val="Heading 3 Char"/>
    <w:basedOn w:val="DefaultParagraphFont"/>
    <w:link w:val="Heading3"/>
    <w:uiPriority w:val="9"/>
    <w:rsid w:val="00351D0C"/>
    <w:rPr>
      <w:rFonts w:ascii="Calibri" w:eastAsiaTheme="majorEastAsia" w:hAnsi="Calibri" w:cstheme="majorBidi"/>
      <w:bCs/>
      <w:szCs w:val="26"/>
    </w:rPr>
  </w:style>
  <w:style w:type="character" w:customStyle="1" w:styleId="Heading4Char">
    <w:name w:val="Heading 4 Char"/>
    <w:basedOn w:val="DefaultParagraphFont"/>
    <w:link w:val="Heading4"/>
    <w:uiPriority w:val="9"/>
    <w:rsid w:val="00351D0C"/>
    <w:rPr>
      <w:rFonts w:ascii="Calibri" w:eastAsiaTheme="majorEastAsia" w:hAnsi="Calibri" w:cstheme="majorBidi"/>
      <w:iCs/>
      <w:szCs w:val="26"/>
    </w:rPr>
  </w:style>
  <w:style w:type="character" w:customStyle="1" w:styleId="Heading5Char">
    <w:name w:val="Heading 5 Char"/>
    <w:basedOn w:val="DefaultParagraphFont"/>
    <w:link w:val="Heading5"/>
    <w:uiPriority w:val="9"/>
    <w:rsid w:val="00351D0C"/>
    <w:rPr>
      <w:rFonts w:ascii="Calibri" w:eastAsiaTheme="majorEastAsia" w:hAnsi="Calibri" w:cstheme="majorBidi"/>
      <w:iCs/>
      <w:szCs w:val="26"/>
    </w:rPr>
  </w:style>
  <w:style w:type="character" w:customStyle="1" w:styleId="Heading6Char">
    <w:name w:val="Heading 6 Char"/>
    <w:basedOn w:val="DefaultParagraphFont"/>
    <w:link w:val="Heading6"/>
    <w:uiPriority w:val="9"/>
    <w:rsid w:val="00351D0C"/>
    <w:rPr>
      <w:rFonts w:ascii="Calibri" w:eastAsiaTheme="majorEastAsia" w:hAnsi="Calibri" w:cstheme="majorBidi"/>
      <w:szCs w:val="26"/>
    </w:rPr>
  </w:style>
  <w:style w:type="character" w:customStyle="1" w:styleId="Heading7Char">
    <w:name w:val="Heading 7 Char"/>
    <w:basedOn w:val="DefaultParagraphFont"/>
    <w:link w:val="Heading7"/>
    <w:uiPriority w:val="9"/>
    <w:rsid w:val="00351D0C"/>
    <w:rPr>
      <w:rFonts w:ascii="Calibri" w:eastAsiaTheme="majorEastAsia" w:hAnsi="Calibri" w:cstheme="majorBidi"/>
      <w:iCs/>
      <w:szCs w:val="26"/>
    </w:rPr>
  </w:style>
  <w:style w:type="character" w:customStyle="1" w:styleId="Heading8Char">
    <w:name w:val="Heading 8 Char"/>
    <w:basedOn w:val="DefaultParagraphFont"/>
    <w:link w:val="Heading8"/>
    <w:uiPriority w:val="9"/>
    <w:rsid w:val="00351D0C"/>
    <w:rPr>
      <w:rFonts w:ascii="Calibri" w:eastAsiaTheme="majorEastAsia" w:hAnsi="Calibri" w:cstheme="majorBidi"/>
      <w:iCs/>
      <w:szCs w:val="20"/>
    </w:rPr>
  </w:style>
  <w:style w:type="character" w:customStyle="1" w:styleId="Heading9Char">
    <w:name w:val="Heading 9 Char"/>
    <w:basedOn w:val="DefaultParagraphFont"/>
    <w:link w:val="Heading9"/>
    <w:uiPriority w:val="9"/>
    <w:rsid w:val="00351D0C"/>
    <w:rPr>
      <w:rFonts w:ascii="Calibri" w:eastAsiaTheme="majorEastAsia" w:hAnsi="Calibri" w:cstheme="majorBidi"/>
      <w:szCs w:val="20"/>
    </w:rPr>
  </w:style>
  <w:style w:type="numbering" w:customStyle="1" w:styleId="HSDSOPHeadings">
    <w:name w:val="HSD SOP Headings"/>
    <w:uiPriority w:val="99"/>
    <w:rsid w:val="00351D0C"/>
    <w:pPr>
      <w:numPr>
        <w:numId w:val="10"/>
      </w:numPr>
    </w:pPr>
  </w:style>
  <w:style w:type="character" w:styleId="Hyperlink">
    <w:name w:val="Hyperlink"/>
    <w:basedOn w:val="DefaultParagraphFont"/>
    <w:uiPriority w:val="99"/>
    <w:unhideWhenUsed/>
    <w:rsid w:val="000E5F01"/>
    <w:rPr>
      <w:color w:val="0563C1" w:themeColor="hyperlink"/>
      <w:u w:val="single"/>
    </w:rPr>
  </w:style>
  <w:style w:type="paragraph" w:styleId="Revision">
    <w:name w:val="Revision"/>
    <w:hidden/>
    <w:uiPriority w:val="99"/>
    <w:semiHidden/>
    <w:rsid w:val="007C1757"/>
    <w:pPr>
      <w:spacing w:after="0" w:line="240" w:lineRule="auto"/>
    </w:pPr>
  </w:style>
  <w:style w:type="character" w:styleId="FollowedHyperlink">
    <w:name w:val="FollowedHyperlink"/>
    <w:basedOn w:val="DefaultParagraphFont"/>
    <w:uiPriority w:val="99"/>
    <w:semiHidden/>
    <w:unhideWhenUsed/>
    <w:rsid w:val="00C11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pts.washington.edu/comply/docs/comp_10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ange_x0020_Notes xmlns="7c9d0ed2-8163-4b50-bae4-466292e5dd21">Remove statement that case reports don’t need IRB review with 3 or less patients; replace with note that case reports don’t need IRB review because they are not research</Change_x0020_Notes>
    <Date_x0020_Implemented xmlns="7c9d0ed2-8163-4b50-bae4-466292e5dd21" xsi:nil="true"/>
    <Posted_x0020_Date xmlns="7c9d0ed2-8163-4b50-bae4-466292e5dd21">2023-03-02T08:00:00+00:00</Posted_x0020_Date>
    <Taxonomy0 xmlns="7c9d0ed2-8163-4b50-bae4-466292e5dd21">
      <Value>Guidance</Value>
    </Taxonomy0>
    <Version_x0020_Number xmlns="7c9d0ed2-8163-4b50-bae4-466292e5dd21">1.2</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https://www.washington.edu/research/policies/guidance-case-reports-irb-review-hipaa/</Url>
      <Description>https://www.washington.edu/research/policies/guidance-case-reports-irb-review-hipaa/</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1D4FF-C054-4439-8AE4-E320D9D29ED1}">
  <ds:schemaRefs>
    <ds:schemaRef ds:uri="http://schemas.microsoft.com/sharepoint/v3/contenttype/forms"/>
  </ds:schemaRefs>
</ds:datastoreItem>
</file>

<file path=customXml/itemProps2.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DC54FFD9-2977-4F09-B437-04F2352406BC}">
  <ds:schemaRefs>
    <ds:schemaRef ds:uri="http://schemas.openxmlformats.org/officeDocument/2006/bibliography"/>
  </ds:schemaRefs>
</ds:datastoreItem>
</file>

<file path=customXml/itemProps4.xml><?xml version="1.0" encoding="utf-8"?>
<ds:datastoreItem xmlns:ds="http://schemas.openxmlformats.org/officeDocument/2006/customXml" ds:itemID="{1BE8AC7C-68C9-4A27-A8DD-236E3A7DD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2629</Characters>
  <Application>Microsoft Office Word</Application>
  <DocSecurity>0</DocSecurity>
  <Lines>101</Lines>
  <Paragraphs>92</Paragraphs>
  <ScaleCrop>false</ScaleCrop>
  <Company>University of Washington</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GUIDANCE_CaseReports_HIPAA_IRB_Review_v1.2_2023.03.02</dc:title>
  <dc:creator>Sherry Edwards</dc:creator>
  <cp:keywords>;#HIPAA;#Research;#</cp:keywords>
  <cp:lastModifiedBy>Jenny Maki</cp:lastModifiedBy>
  <cp:revision>2</cp:revision>
  <dcterms:created xsi:type="dcterms:W3CDTF">2026-01-29T16:34:00Z</dcterms:created>
  <dcterms:modified xsi:type="dcterms:W3CDTF">2026-01-29T16:34:00Z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y fmtid="{D5CDD505-2E9C-101B-9397-08002B2CF9AE}" pid="3" name="Item Owner">
    <vt:lpwstr>;#Karen Moe;#</vt:lpwstr>
  </property>
  <property fmtid="{D5CDD505-2E9C-101B-9397-08002B2CF9AE}" pid="4" name="Topical Category">
    <vt:lpwstr>;#Pre-review: Not Research and Not Human Subjects Determinations;#</vt:lpwstr>
  </property>
  <property fmtid="{D5CDD505-2E9C-101B-9397-08002B2CF9AE}" pid="5" name="Item Type">
    <vt:lpwstr>;#Guidance;#</vt:lpwstr>
  </property>
  <property fmtid="{D5CDD505-2E9C-101B-9397-08002B2CF9AE}" pid="6" name="Status">
    <vt:lpwstr>Ready for Implementation</vt:lpwstr>
  </property>
</Properties>
</file>