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1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A854" w14:textId="77777777" w:rsidR="00A164AC" w:rsidRPr="00756F7A" w:rsidRDefault="00A164AC" w:rsidP="0088770E">
      <w:pPr>
        <w:rPr>
          <w:rFonts w:asciiTheme="minorHAnsi" w:hAnsiTheme="minorHAnsi" w:cstheme="minorHAnsi"/>
          <w:i/>
          <w:color w:val="0070C0"/>
          <w:sz w:val="20"/>
          <w:szCs w:val="20"/>
        </w:rPr>
      </w:pPr>
    </w:p>
    <w:p w14:paraId="01B192CF" w14:textId="77777777" w:rsidR="00A164AC" w:rsidRPr="00756F7A" w:rsidRDefault="000D5968" w:rsidP="0088770E">
      <w:pPr>
        <w:rPr>
          <w:rFonts w:asciiTheme="minorHAnsi" w:hAnsiTheme="minorHAnsi" w:cstheme="minorHAnsi"/>
          <w:i/>
          <w:color w:val="0070C0"/>
          <w:sz w:val="20"/>
          <w:szCs w:val="20"/>
        </w:rPr>
      </w:pPr>
      <w:r w:rsidRPr="00756F7A">
        <w:rPr>
          <w:rFonts w:asciiTheme="minorHAnsi" w:hAnsiTheme="minorHAnsi" w:cstheme="minorHAnsi"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75DF5" wp14:editId="311C52A7">
                <wp:simplePos x="0" y="0"/>
                <wp:positionH relativeFrom="column">
                  <wp:posOffset>800100</wp:posOffset>
                </wp:positionH>
                <wp:positionV relativeFrom="paragraph">
                  <wp:posOffset>80010</wp:posOffset>
                </wp:positionV>
                <wp:extent cx="3606800" cy="800100"/>
                <wp:effectExtent l="0" t="3810" r="317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530F" w14:textId="77777777" w:rsidR="00EE5074" w:rsidRPr="00545D00" w:rsidRDefault="00EE5074" w:rsidP="00115F47">
                            <w:pPr>
                              <w:rPr>
                                <w:rFonts w:ascii="Calibri" w:hAnsi="Calibri"/>
                                <w:b/>
                                <w:spacing w:val="32"/>
                                <w:sz w:val="26"/>
                                <w:szCs w:val="26"/>
                              </w:rPr>
                            </w:pPr>
                            <w:r w:rsidRPr="00545D00">
                              <w:rPr>
                                <w:rFonts w:ascii="Calibri" w:hAnsi="Calibri"/>
                                <w:b/>
                                <w:spacing w:val="32"/>
                                <w:sz w:val="26"/>
                                <w:szCs w:val="26"/>
                              </w:rPr>
                              <w:t>Office of Research</w:t>
                            </w:r>
                          </w:p>
                          <w:p w14:paraId="69C342A1" w14:textId="77777777" w:rsidR="00B50565" w:rsidRPr="00230609" w:rsidRDefault="007515AF" w:rsidP="00B50565">
                            <w:pPr>
                              <w:pBdr>
                                <w:bottom w:val="single" w:sz="4" w:space="3" w:color="auto"/>
                              </w:pBdr>
                              <w:rPr>
                                <w:rFonts w:ascii="Calibri" w:hAnsi="Calibri"/>
                                <w:spacing w:val="3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32"/>
                                <w:sz w:val="26"/>
                                <w:szCs w:val="26"/>
                              </w:rPr>
                              <w:t>iSTAR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32"/>
                                <w:sz w:val="26"/>
                                <w:szCs w:val="26"/>
                              </w:rPr>
                              <w:t xml:space="preserve"> Metrics: </w:t>
                            </w:r>
                            <w:r w:rsidR="00B50565">
                              <w:rPr>
                                <w:rFonts w:ascii="Calibri" w:hAnsi="Calibri"/>
                                <w:spacing w:val="32"/>
                              </w:rPr>
                              <w:t>FY20 Q3</w:t>
                            </w:r>
                          </w:p>
                          <w:p w14:paraId="02DFFB86" w14:textId="77777777" w:rsidR="00B50565" w:rsidRPr="00230609" w:rsidRDefault="00B50565" w:rsidP="00B50565">
                            <w:pPr>
                              <w:rPr>
                                <w:rFonts w:ascii="Calibri" w:hAnsi="Calibri"/>
                                <w:spacing w:val="3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32"/>
                              </w:rPr>
                              <w:t>July 24, 2020</w:t>
                            </w:r>
                          </w:p>
                          <w:p w14:paraId="6C5E8E0F" w14:textId="65C0FFC5" w:rsidR="00EE5074" w:rsidRPr="00306E17" w:rsidRDefault="00EE5074" w:rsidP="00B50565">
                            <w:pPr>
                              <w:pBdr>
                                <w:bottom w:val="single" w:sz="4" w:space="3" w:color="auto"/>
                              </w:pBdr>
                              <w:rPr>
                                <w:rFonts w:ascii="Calibri" w:hAnsi="Calibri"/>
                                <w:spacing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75D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3pt;margin-top:6.3pt;width:28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" stroked="f">
                <v:textbox>
                  <w:txbxContent>
                    <w:p w14:paraId="285E530F" w14:textId="77777777" w:rsidR="00EE5074" w:rsidRPr="00545D00" w:rsidRDefault="00EE5074" w:rsidP="00115F47">
                      <w:pPr>
                        <w:rPr>
                          <w:rFonts w:ascii="Calibri" w:hAnsi="Calibri"/>
                          <w:b/>
                          <w:spacing w:val="32"/>
                          <w:sz w:val="26"/>
                          <w:szCs w:val="26"/>
                        </w:rPr>
                      </w:pPr>
                      <w:r w:rsidRPr="00545D00">
                        <w:rPr>
                          <w:rFonts w:ascii="Calibri" w:hAnsi="Calibri"/>
                          <w:b/>
                          <w:spacing w:val="32"/>
                          <w:sz w:val="26"/>
                          <w:szCs w:val="26"/>
                        </w:rPr>
                        <w:t>Office of Research</w:t>
                      </w:r>
                    </w:p>
                    <w:p w14:paraId="69C342A1" w14:textId="77777777" w:rsidR="00B50565" w:rsidRPr="00230609" w:rsidRDefault="007515AF" w:rsidP="00B50565">
                      <w:pPr>
                        <w:pBdr>
                          <w:bottom w:val="single" w:sz="4" w:space="3" w:color="auto"/>
                        </w:pBdr>
                        <w:rPr>
                          <w:rFonts w:ascii="Calibri" w:hAnsi="Calibri"/>
                          <w:spacing w:val="3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32"/>
                          <w:sz w:val="26"/>
                          <w:szCs w:val="26"/>
                        </w:rPr>
                        <w:t>iSTAR</w:t>
                      </w:r>
                      <w:proofErr w:type="spellEnd"/>
                      <w:r>
                        <w:rPr>
                          <w:rFonts w:ascii="Calibri" w:hAnsi="Calibri"/>
                          <w:spacing w:val="32"/>
                          <w:sz w:val="26"/>
                          <w:szCs w:val="26"/>
                        </w:rPr>
                        <w:t xml:space="preserve"> Metrics: </w:t>
                      </w:r>
                      <w:r w:rsidR="00B50565">
                        <w:rPr>
                          <w:rFonts w:ascii="Calibri" w:hAnsi="Calibri"/>
                          <w:spacing w:val="32"/>
                        </w:rPr>
                        <w:t>FY20 Q3</w:t>
                      </w:r>
                    </w:p>
                    <w:p w14:paraId="02DFFB86" w14:textId="77777777" w:rsidR="00B50565" w:rsidRPr="00230609" w:rsidRDefault="00B50565" w:rsidP="00B50565">
                      <w:pPr>
                        <w:rPr>
                          <w:rFonts w:ascii="Calibri" w:hAnsi="Calibri"/>
                          <w:spacing w:val="32"/>
                        </w:rPr>
                      </w:pPr>
                      <w:r>
                        <w:rPr>
                          <w:rFonts w:ascii="Calibri" w:hAnsi="Calibri"/>
                          <w:spacing w:val="32"/>
                        </w:rPr>
                        <w:t>July 24, 2020</w:t>
                      </w:r>
                    </w:p>
                    <w:p w14:paraId="6C5E8E0F" w14:textId="65C0FFC5" w:rsidR="00EE5074" w:rsidRPr="00306E17" w:rsidRDefault="00EE5074" w:rsidP="00B50565">
                      <w:pPr>
                        <w:pBdr>
                          <w:bottom w:val="single" w:sz="4" w:space="3" w:color="auto"/>
                        </w:pBdr>
                        <w:rPr>
                          <w:rFonts w:ascii="Calibri" w:hAnsi="Calibri"/>
                          <w:spacing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59BF15" w14:textId="77777777" w:rsidR="0088770E" w:rsidRPr="00756F7A" w:rsidRDefault="0036280A" w:rsidP="0088770E">
      <w:pPr>
        <w:rPr>
          <w:rFonts w:asciiTheme="minorHAnsi" w:hAnsiTheme="minorHAnsi" w:cstheme="minorHAnsi"/>
          <w:i/>
          <w:color w:val="0070C0"/>
          <w:sz w:val="20"/>
          <w:szCs w:val="20"/>
        </w:rPr>
      </w:pPr>
      <w:r w:rsidRPr="00756F7A">
        <w:rPr>
          <w:rFonts w:asciiTheme="minorHAnsi" w:hAnsiTheme="minorHAnsi" w:cstheme="minorHAnsi"/>
          <w:i/>
          <w:noProof/>
          <w:color w:val="0070C0"/>
          <w:sz w:val="20"/>
          <w:szCs w:val="20"/>
        </w:rPr>
        <w:drawing>
          <wp:inline distT="0" distB="0" distL="0" distR="0" wp14:anchorId="269B918F" wp14:editId="392BD9F7">
            <wp:extent cx="708806" cy="493431"/>
            <wp:effectExtent l="19050" t="0" r="0" b="0"/>
            <wp:docPr id="1" name="Picture 1" descr="UW_W-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_W-Logo_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48" t="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05" cy="49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43EBB" w14:textId="77777777" w:rsidR="002B1C85" w:rsidRPr="00756F7A" w:rsidRDefault="002B1C85" w:rsidP="002B1C85">
      <w:pPr>
        <w:rPr>
          <w:rFonts w:asciiTheme="minorHAnsi" w:hAnsiTheme="minorHAnsi" w:cstheme="minorHAnsi"/>
          <w:b/>
          <w:i/>
          <w:color w:val="0070C0"/>
          <w:sz w:val="20"/>
          <w:szCs w:val="20"/>
        </w:rPr>
      </w:pPr>
    </w:p>
    <w:p w14:paraId="07E75BF6" w14:textId="77777777" w:rsidR="00545D00" w:rsidRPr="00756F7A" w:rsidRDefault="00545D00" w:rsidP="002B1C85">
      <w:pPr>
        <w:rPr>
          <w:rFonts w:asciiTheme="minorHAnsi" w:hAnsiTheme="minorHAnsi" w:cstheme="minorHAnsi"/>
          <w:b/>
          <w:i/>
          <w:color w:val="0070C0"/>
          <w:sz w:val="20"/>
          <w:szCs w:val="20"/>
        </w:rPr>
      </w:pPr>
    </w:p>
    <w:p w14:paraId="51BF9F8B" w14:textId="77777777" w:rsidR="003323E3" w:rsidRPr="00756F7A" w:rsidRDefault="003323E3" w:rsidP="003323E3">
      <w:pPr>
        <w:rPr>
          <w:rFonts w:asciiTheme="minorHAnsi" w:hAnsiTheme="minorHAnsi" w:cstheme="minorHAnsi"/>
          <w:b/>
          <w:i/>
          <w:color w:val="0070C0"/>
          <w:sz w:val="20"/>
          <w:szCs w:val="20"/>
        </w:rPr>
      </w:pPr>
    </w:p>
    <w:p w14:paraId="3F5873A9" w14:textId="77777777" w:rsidR="000B69F2" w:rsidRDefault="00C525BB" w:rsidP="0022463F">
      <w:pPr>
        <w:rPr>
          <w:rFonts w:asciiTheme="minorHAnsi" w:hAnsiTheme="minorHAnsi" w:cstheme="minorHAnsi"/>
          <w:b/>
          <w:sz w:val="20"/>
          <w:szCs w:val="20"/>
        </w:rPr>
        <w:sectPr w:rsidR="000B69F2" w:rsidSect="00C60D61">
          <w:footerReference w:type="even" r:id="rId9"/>
          <w:footerReference w:type="default" r:id="rId10"/>
          <w:footerReference w:type="first" r:id="rId11"/>
          <w:pgSz w:w="12240" w:h="15840"/>
          <w:pgMar w:top="540" w:right="540" w:bottom="864" w:left="864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sz w:val="20"/>
          <w:szCs w:val="20"/>
        </w:rPr>
        <w:t xml:space="preserve">Customer </w:t>
      </w:r>
      <w:r w:rsidR="00023D3A">
        <w:rPr>
          <w:rFonts w:asciiTheme="minorHAnsi" w:hAnsiTheme="minorHAnsi" w:cstheme="minorHAnsi"/>
          <w:b/>
          <w:sz w:val="20"/>
          <w:szCs w:val="20"/>
        </w:rPr>
        <w:t>Service</w:t>
      </w:r>
    </w:p>
    <w:p w14:paraId="3F59DDE8" w14:textId="77777777" w:rsidR="007515AF" w:rsidRPr="002E16A1" w:rsidRDefault="007515AF" w:rsidP="007515A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E16A1">
        <w:rPr>
          <w:rFonts w:asciiTheme="minorHAnsi" w:hAnsiTheme="minorHAnsi" w:cstheme="minorHAnsi"/>
          <w:color w:val="000000" w:themeColor="text1"/>
          <w:szCs w:val="20"/>
          <w:u w:val="single"/>
        </w:rPr>
        <w:lastRenderedPageBreak/>
        <w:t>Office of Research Central:</w:t>
      </w:r>
      <w:r w:rsidRPr="002E16A1">
        <w:rPr>
          <w:rFonts w:asciiTheme="minorHAnsi" w:hAnsiTheme="minorHAnsi" w:cstheme="minorHAnsi"/>
          <w:b/>
          <w:color w:val="000000" w:themeColor="text1"/>
          <w:szCs w:val="20"/>
          <w:u w:val="single"/>
        </w:rPr>
        <w:t xml:space="preserve"> Royalty Research Fund (RRF)</w:t>
      </w:r>
    </w:p>
    <w:p w14:paraId="75A2DA01" w14:textId="77777777" w:rsidR="007515AF" w:rsidRDefault="007515AF" w:rsidP="007515AF">
      <w:pPr>
        <w:rPr>
          <w:rFonts w:asciiTheme="minorHAnsi" w:hAnsiTheme="minorHAnsi" w:cstheme="minorHAnsi"/>
          <w:b/>
          <w:sz w:val="20"/>
          <w:szCs w:val="20"/>
        </w:rPr>
      </w:pPr>
    </w:p>
    <w:p w14:paraId="03925892" w14:textId="77777777" w:rsidR="007515AF" w:rsidRPr="00756F7A" w:rsidRDefault="007515AF" w:rsidP="007515AF">
      <w:pPr>
        <w:rPr>
          <w:rFonts w:asciiTheme="minorHAnsi" w:hAnsiTheme="minorHAnsi" w:cstheme="minorHAnsi"/>
          <w:b/>
          <w:sz w:val="20"/>
          <w:szCs w:val="20"/>
        </w:rPr>
      </w:pPr>
    </w:p>
    <w:p w14:paraId="205C846D" w14:textId="4A3E67E8" w:rsidR="007515AF" w:rsidRDefault="00A54026" w:rsidP="007515A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57251E40" wp14:editId="46065777">
            <wp:extent cx="6448425" cy="3533775"/>
            <wp:effectExtent l="0" t="0" r="9525" b="952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510398" w14:textId="77777777" w:rsidR="007515AF" w:rsidRPr="00756F7A" w:rsidRDefault="007515AF" w:rsidP="007515AF">
      <w:pPr>
        <w:rPr>
          <w:rFonts w:asciiTheme="minorHAnsi" w:hAnsiTheme="minorHAnsi" w:cstheme="minorHAnsi"/>
          <w:b/>
          <w:sz w:val="20"/>
          <w:szCs w:val="20"/>
        </w:rPr>
      </w:pPr>
    </w:p>
    <w:p w14:paraId="7703A852" w14:textId="77777777" w:rsidR="007515AF" w:rsidRDefault="007515AF" w:rsidP="007515AF">
      <w:pPr>
        <w:rPr>
          <w:rFonts w:asciiTheme="minorHAnsi" w:hAnsiTheme="minorHAnsi" w:cstheme="minorHAnsi"/>
          <w:b/>
          <w:sz w:val="20"/>
          <w:szCs w:val="20"/>
        </w:rPr>
      </w:pPr>
    </w:p>
    <w:p w14:paraId="2F11469D" w14:textId="64744B4F" w:rsidR="007515AF" w:rsidRPr="00756F7A" w:rsidRDefault="00A54026" w:rsidP="007515A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5C7A12C1" wp14:editId="522E5605">
            <wp:extent cx="6296025" cy="3724275"/>
            <wp:effectExtent l="0" t="0" r="9525" b="952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4CEC150" w14:textId="77777777" w:rsidR="007515AF" w:rsidRDefault="007515AF" w:rsidP="007515AF">
      <w:pPr>
        <w:rPr>
          <w:rFonts w:asciiTheme="minorHAnsi" w:hAnsiTheme="minorHAnsi" w:cstheme="minorHAnsi"/>
          <w:b/>
          <w:sz w:val="20"/>
          <w:szCs w:val="20"/>
        </w:rPr>
      </w:pPr>
    </w:p>
    <w:p w14:paraId="4ADAF074" w14:textId="77777777" w:rsidR="007515AF" w:rsidRDefault="007515AF" w:rsidP="007515AF">
      <w:pPr>
        <w:rPr>
          <w:rFonts w:asciiTheme="minorHAnsi" w:hAnsiTheme="minorHAnsi" w:cstheme="minorHAnsi"/>
          <w:b/>
          <w:sz w:val="20"/>
          <w:szCs w:val="20"/>
        </w:rPr>
      </w:pPr>
    </w:p>
    <w:p w14:paraId="4C477C8A" w14:textId="77777777" w:rsidR="00306E17" w:rsidRDefault="00306E17" w:rsidP="00306E17">
      <w:pPr>
        <w:rPr>
          <w:rFonts w:asciiTheme="minorHAnsi" w:hAnsiTheme="minorHAnsi" w:cstheme="minorHAnsi"/>
          <w:b/>
          <w:sz w:val="20"/>
          <w:szCs w:val="20"/>
        </w:rPr>
      </w:pPr>
    </w:p>
    <w:p w14:paraId="6D819146" w14:textId="656E6317" w:rsidR="00306E17" w:rsidRDefault="00A54026" w:rsidP="00306E17">
      <w:pPr>
        <w:ind w:left="-360" w:firstLine="360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6DC4E5C" wp14:editId="5CB6F391">
            <wp:extent cx="6753225" cy="3835400"/>
            <wp:effectExtent l="0" t="0" r="9525" b="1270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EAF0DC9" w14:textId="77777777" w:rsidR="00306E17" w:rsidRPr="00756F7A" w:rsidRDefault="00306E17" w:rsidP="00306E17">
      <w:pPr>
        <w:rPr>
          <w:rFonts w:asciiTheme="minorHAnsi" w:hAnsiTheme="minorHAnsi" w:cstheme="minorHAnsi"/>
          <w:b/>
          <w:sz w:val="20"/>
          <w:szCs w:val="20"/>
        </w:rPr>
      </w:pPr>
    </w:p>
    <w:p w14:paraId="3CB0AC77" w14:textId="77777777" w:rsidR="00306E17" w:rsidRPr="00756F7A" w:rsidRDefault="00306E17" w:rsidP="00306E17">
      <w:pPr>
        <w:rPr>
          <w:rFonts w:asciiTheme="minorHAnsi" w:hAnsiTheme="minorHAnsi" w:cstheme="minorHAnsi"/>
          <w:b/>
          <w:sz w:val="20"/>
          <w:szCs w:val="20"/>
        </w:rPr>
      </w:pPr>
    </w:p>
    <w:p w14:paraId="60D51FE7" w14:textId="35B7EED3" w:rsidR="00306E17" w:rsidRDefault="00A54026" w:rsidP="00306E1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6C51EEDD" wp14:editId="1E4588CD">
            <wp:extent cx="6791325" cy="3914775"/>
            <wp:effectExtent l="0" t="0" r="9525" b="952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B35D67A" w14:textId="77777777" w:rsidR="00306E17" w:rsidRDefault="00306E17" w:rsidP="00306E1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B72064D" w14:textId="77777777" w:rsidR="00306E17" w:rsidRDefault="00306E17" w:rsidP="00306E1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6874BE" w14:textId="77777777" w:rsidR="007515AF" w:rsidRDefault="007515AF" w:rsidP="007515A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535C6A" w14:textId="77777777" w:rsidR="007515AF" w:rsidRDefault="007515AF" w:rsidP="00FC4046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430D1B9C" w14:textId="77777777" w:rsidR="00C60D61" w:rsidRDefault="00C60D61" w:rsidP="00C60D61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  <w:sectPr w:rsidR="00C60D61" w:rsidSect="00C60D61">
          <w:footerReference w:type="even" r:id="rId16"/>
          <w:footerReference w:type="default" r:id="rId17"/>
          <w:pgSz w:w="12240" w:h="15840" w:code="1"/>
          <w:pgMar w:top="547" w:right="720" w:bottom="864" w:left="540" w:header="720" w:footer="720" w:gutter="0"/>
          <w:cols w:space="720"/>
          <w:titlePg/>
          <w:docGrid w:linePitch="360"/>
        </w:sectPr>
      </w:pPr>
    </w:p>
    <w:p w14:paraId="68E905FD" w14:textId="77777777" w:rsidR="00FC4046" w:rsidRPr="00FC4DF8" w:rsidRDefault="00C60D61" w:rsidP="00FC4046">
      <w:pPr>
        <w:pBdr>
          <w:bottom w:val="single" w:sz="4" w:space="1" w:color="auto"/>
        </w:pBdr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color w:val="000000" w:themeColor="text1"/>
          <w:szCs w:val="20"/>
        </w:rPr>
        <w:lastRenderedPageBreak/>
        <w:t>Offi</w:t>
      </w:r>
      <w:r w:rsidR="00FC4046" w:rsidRPr="00E366EB">
        <w:rPr>
          <w:rFonts w:asciiTheme="minorHAnsi" w:hAnsiTheme="minorHAnsi" w:cstheme="minorHAnsi"/>
          <w:color w:val="000000" w:themeColor="text1"/>
          <w:szCs w:val="20"/>
        </w:rPr>
        <w:t>ce of Research Central:</w:t>
      </w:r>
      <w:r w:rsidR="00FC4046" w:rsidRPr="004A1C7E">
        <w:rPr>
          <w:rFonts w:asciiTheme="minorHAnsi" w:hAnsiTheme="minorHAnsi" w:cstheme="minorHAnsi"/>
          <w:b/>
          <w:color w:val="000000" w:themeColor="text1"/>
          <w:szCs w:val="20"/>
        </w:rPr>
        <w:t xml:space="preserve"> </w:t>
      </w:r>
      <w:r w:rsidR="00FC4046" w:rsidRPr="00E366EB">
        <w:rPr>
          <w:rFonts w:asciiTheme="minorHAnsi" w:hAnsiTheme="minorHAnsi" w:cstheme="minorHAnsi"/>
          <w:b/>
          <w:color w:val="000000" w:themeColor="text1"/>
          <w:szCs w:val="20"/>
        </w:rPr>
        <w:t>Bridge Funding</w:t>
      </w:r>
    </w:p>
    <w:p w14:paraId="4E979E57" w14:textId="77777777" w:rsidR="00FC4046" w:rsidRPr="00756F7A" w:rsidRDefault="00FC4046" w:rsidP="00FC4046">
      <w:pPr>
        <w:rPr>
          <w:rFonts w:asciiTheme="minorHAnsi" w:hAnsiTheme="minorHAnsi" w:cstheme="minorHAnsi"/>
          <w:b/>
          <w:sz w:val="20"/>
          <w:szCs w:val="20"/>
        </w:rPr>
      </w:pPr>
    </w:p>
    <w:p w14:paraId="29A24ADF" w14:textId="104CFAA9" w:rsidR="00FC4046" w:rsidRDefault="00B50565" w:rsidP="00FC4046">
      <w:pPr>
        <w:ind w:firstLine="360"/>
        <w:rPr>
          <w:noProof/>
        </w:rPr>
      </w:pPr>
      <w:r>
        <w:rPr>
          <w:noProof/>
        </w:rPr>
        <w:drawing>
          <wp:inline distT="0" distB="0" distL="0" distR="0" wp14:anchorId="7438E874" wp14:editId="463A99C9">
            <wp:extent cx="8961120" cy="60579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87CAEE0" w14:textId="77777777" w:rsidR="008E67A8" w:rsidRPr="00A10154" w:rsidRDefault="008E67A8" w:rsidP="00FC4046">
      <w:pPr>
        <w:ind w:firstLine="360"/>
        <w:rPr>
          <w:noProof/>
        </w:rPr>
      </w:pPr>
    </w:p>
    <w:tbl>
      <w:tblPr>
        <w:tblW w:w="13500" w:type="dxa"/>
        <w:tblLook w:val="04A0" w:firstRow="1" w:lastRow="0" w:firstColumn="1" w:lastColumn="0" w:noHBand="0" w:noVBand="1"/>
      </w:tblPr>
      <w:tblGrid>
        <w:gridCol w:w="1421"/>
        <w:gridCol w:w="1505"/>
        <w:gridCol w:w="1505"/>
        <w:gridCol w:w="1505"/>
        <w:gridCol w:w="1693"/>
        <w:gridCol w:w="1693"/>
        <w:gridCol w:w="1693"/>
        <w:gridCol w:w="1609"/>
        <w:gridCol w:w="1484"/>
      </w:tblGrid>
      <w:tr w:rsidR="008E67A8" w14:paraId="17102693" w14:textId="77777777" w:rsidTr="00962808">
        <w:trPr>
          <w:trHeight w:val="300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39275B"/>
            <w:noWrap/>
            <w:vAlign w:val="bottom"/>
            <w:hideMark/>
          </w:tcPr>
          <w:p w14:paraId="40CD17A0" w14:textId="77777777" w:rsidR="008E67A8" w:rsidRPr="00FC46EF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16"/>
              </w:rPr>
            </w:pPr>
            <w:bookmarkStart w:id="0" w:name="RANGE!B2:J30"/>
            <w:r w:rsidRPr="00FC46EF">
              <w:rPr>
                <w:rFonts w:ascii="Calibri" w:hAnsi="Calibri" w:cs="Calibri"/>
                <w:b/>
                <w:bCs/>
                <w:color w:val="FFFFFF"/>
                <w:sz w:val="20"/>
                <w:szCs w:val="16"/>
              </w:rPr>
              <w:lastRenderedPageBreak/>
              <w:t>Success of Bridge Funding Program</w:t>
            </w:r>
            <w:bookmarkEnd w:id="0"/>
          </w:p>
        </w:tc>
      </w:tr>
      <w:tr w:rsidR="008E67A8" w14:paraId="02B0740F" w14:textId="77777777" w:rsidTr="00962808">
        <w:trPr>
          <w:trHeight w:val="300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39275B"/>
            <w:noWrap/>
            <w:hideMark/>
          </w:tcPr>
          <w:p w14:paraId="61A499E3" w14:textId="77777777" w:rsidR="008E67A8" w:rsidRPr="00FC46EF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16"/>
              </w:rPr>
            </w:pPr>
            <w:r w:rsidRPr="00FC46EF">
              <w:rPr>
                <w:rFonts w:ascii="Calibri" w:hAnsi="Calibri" w:cs="Calibri"/>
                <w:b/>
                <w:bCs/>
                <w:color w:val="FFFFFF"/>
                <w:sz w:val="20"/>
                <w:szCs w:val="16"/>
              </w:rPr>
              <w:t>December 2006 - May 2018</w:t>
            </w:r>
          </w:p>
        </w:tc>
      </w:tr>
      <w:tr w:rsidR="008E67A8" w14:paraId="3F3450A7" w14:textId="77777777" w:rsidTr="00962808">
        <w:trPr>
          <w:trHeight w:val="910"/>
        </w:trPr>
        <w:tc>
          <w:tcPr>
            <w:tcW w:w="1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bottom"/>
            <w:hideMark/>
          </w:tcPr>
          <w:p w14:paraId="466107B7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>Submission Date</w:t>
            </w: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bottom"/>
            <w:hideMark/>
          </w:tcPr>
          <w:p w14:paraId="1371CE07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>Distribution Provost</w:t>
            </w: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bottom"/>
            <w:hideMark/>
          </w:tcPr>
          <w:p w14:paraId="0FF9A528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>Distribution Matching</w:t>
            </w: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bottom"/>
            <w:hideMark/>
          </w:tcPr>
          <w:p w14:paraId="7741B55D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>Total Provost and Matching</w:t>
            </w:r>
          </w:p>
        </w:tc>
        <w:tc>
          <w:tcPr>
            <w:tcW w:w="16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bottom"/>
            <w:hideMark/>
          </w:tcPr>
          <w:p w14:paraId="2ED795B7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 xml:space="preserve">Number of </w:t>
            </w: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br/>
              <w:t>Bridge</w:t>
            </w: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br/>
              <w:t>Awards</w:t>
            </w:r>
          </w:p>
        </w:tc>
        <w:tc>
          <w:tcPr>
            <w:tcW w:w="16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center"/>
            <w:hideMark/>
          </w:tcPr>
          <w:p w14:paraId="1F975ABC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>Awardees</w:t>
            </w: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br/>
              <w:t>Receiving External Funding</w:t>
            </w: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br/>
              <w:t xml:space="preserve">within 1.5 </w:t>
            </w:r>
            <w:proofErr w:type="spellStart"/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>yrs</w:t>
            </w:r>
            <w:proofErr w:type="spellEnd"/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 xml:space="preserve"> of award</w:t>
            </w:r>
          </w:p>
        </w:tc>
        <w:tc>
          <w:tcPr>
            <w:tcW w:w="16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bottom"/>
            <w:hideMark/>
          </w:tcPr>
          <w:p w14:paraId="0C809C31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 xml:space="preserve">% Receiving Funding </w:t>
            </w:r>
            <w:r>
              <w:rPr>
                <w:rFonts w:ascii="Calibri" w:hAnsi="Calibri" w:cs="Calibri"/>
                <w:b/>
                <w:bCs/>
                <w:i/>
                <w:iCs/>
                <w:color w:val="F2F2F2"/>
                <w:sz w:val="16"/>
                <w:szCs w:val="16"/>
              </w:rPr>
              <w:t>(total is an average)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bottom"/>
            <w:hideMark/>
          </w:tcPr>
          <w:p w14:paraId="3CF4B8A0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>External Grants Obtained (direct and indirect costs)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9275B"/>
            <w:vAlign w:val="bottom"/>
            <w:hideMark/>
          </w:tcPr>
          <w:p w14:paraId="135BAE24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2F2F2"/>
                <w:sz w:val="16"/>
                <w:szCs w:val="16"/>
              </w:rPr>
              <w:t xml:space="preserve">Return on Investment - fold return </w:t>
            </w:r>
            <w:r>
              <w:rPr>
                <w:rFonts w:ascii="Calibri" w:hAnsi="Calibri" w:cs="Calibri"/>
                <w:b/>
                <w:bCs/>
                <w:i/>
                <w:iCs/>
                <w:color w:val="F2F2F2"/>
                <w:sz w:val="16"/>
                <w:szCs w:val="16"/>
              </w:rPr>
              <w:t>(total is an average)</w:t>
            </w:r>
          </w:p>
        </w:tc>
      </w:tr>
      <w:tr w:rsidR="008E67A8" w14:paraId="5F960966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06EBA3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Dec-06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8AA54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$489,177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F47A0D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$549,041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FB20F5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$1,038,217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2C47D9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CD1870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2F5AE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77%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BF1E11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$10,408,299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DF15D52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10.0</w:t>
            </w:r>
          </w:p>
        </w:tc>
      </w:tr>
      <w:tr w:rsidR="008E67A8" w14:paraId="4B6525DB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F37C94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FEEA2C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$394,809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A6A5A7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$482,486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D1EA309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$877,295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61757F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E57242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5D481D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92%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A43703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$10,779,910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DF2397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12.3</w:t>
            </w:r>
          </w:p>
        </w:tc>
      </w:tr>
      <w:tr w:rsidR="008E67A8" w14:paraId="7F32235D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6A1FC6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Dec-07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51A0E8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$501,802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96C40B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$584,861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EBA9B9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$1,086,662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DADBDF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31E6A9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F6AA368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53%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90BA797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$7,575,584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F2951C0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7.0</w:t>
            </w:r>
          </w:p>
        </w:tc>
      </w:tr>
      <w:tr w:rsidR="008E67A8" w14:paraId="28A5A76A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83A736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B2A957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$523,468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176FEE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$573,117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2DEB14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$1,096,586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A05481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D6A478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704DA2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50%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5F28FA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$9,190,014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B3D2AA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8.4</w:t>
            </w:r>
          </w:p>
        </w:tc>
      </w:tr>
      <w:tr w:rsidR="008E67A8" w14:paraId="2C8E3648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14574F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Dec-08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666EA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$576,521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B0E227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$659,742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E0BCF3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$1,236,263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BD7465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27106B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ADCEE3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E6913E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$14,546,157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F5EA289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11.8</w:t>
            </w:r>
          </w:p>
        </w:tc>
      </w:tr>
      <w:tr w:rsidR="008E67A8" w14:paraId="0FC8D59B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6C52E83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9646E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$399,662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2C1584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$459,637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34248DC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$859,299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F20CF1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E75E7A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2061DB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057125C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$2,953,107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681A62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3.4</w:t>
            </w:r>
          </w:p>
        </w:tc>
      </w:tr>
      <w:tr w:rsidR="008E67A8" w14:paraId="5A8C1B28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B75109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Dec-09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AC82C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$394,870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233669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$459,637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BEB339D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$854,507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27BCDD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855847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988E82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99FEE96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$9,841,584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90D6C6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11.5</w:t>
            </w:r>
          </w:p>
        </w:tc>
      </w:tr>
      <w:tr w:rsidR="008E67A8" w14:paraId="1D7CDEB7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FAB455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E502C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$290,205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A9A88C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$324,394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B3EBA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$614,599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6576D5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8CB68C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440BBA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57%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C82A395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$4,563,844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CA49C5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7.4</w:t>
            </w:r>
          </w:p>
        </w:tc>
      </w:tr>
      <w:tr w:rsidR="008E67A8" w14:paraId="616EF3C3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78C548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Dec-10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6353AD6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$520,670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1F2239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$548,500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70AF8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$1,069,170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0BEC6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78CAD1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096B85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6EC4F9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$9,057,210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8787BB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8.5</w:t>
            </w:r>
          </w:p>
        </w:tc>
      </w:tr>
      <w:tr w:rsidR="008E67A8" w14:paraId="31C1ADDD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8A7014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FAB336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$441,893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9BA19E0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$429,066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7F7893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$870,959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415CD8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93A23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C2BFFE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50%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4C4CF7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$3,558,512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316377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4.1</w:t>
            </w:r>
          </w:p>
        </w:tc>
      </w:tr>
      <w:tr w:rsidR="008E67A8" w14:paraId="304F8D56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37C4D5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Dec-11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871F81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$645,752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D08915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$649,189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27AFC9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$1,294,941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8FA4F5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B83D45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1359FB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F6FCAD3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$8,197,602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C4D5ED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6.3</w:t>
            </w:r>
          </w:p>
        </w:tc>
      </w:tr>
      <w:tr w:rsidR="008E67A8" w14:paraId="3A5DEE22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EDE478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F62D3B2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$645,357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601022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$645,797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957B23B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$1,291,154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5D5F0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1317A2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7E935E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56%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E85E1B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$8,390,917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6F0D4C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6.5</w:t>
            </w:r>
          </w:p>
        </w:tc>
      </w:tr>
      <w:tr w:rsidR="008E67A8" w14:paraId="0820F167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8559CE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Dec-12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D30A4D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$653,074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93F1D56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$728,755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5565A1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$1,381,828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288EDB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FD385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66E760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C72730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$7,996,561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374A0E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5.8</w:t>
            </w:r>
          </w:p>
        </w:tc>
      </w:tr>
      <w:tr w:rsidR="008E67A8" w14:paraId="1E22DBC7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D9A8B3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29C248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$324,830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0F0353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$376,134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FF3F5A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$700,964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2E1C03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F5816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71E58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7EF362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$5,580,753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4BEF2A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8.0</w:t>
            </w:r>
          </w:p>
        </w:tc>
      </w:tr>
      <w:tr w:rsidR="008E67A8" w14:paraId="36815BC5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5619A4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Dec-13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2272D6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$730,017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9C2F72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$622,388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D4E8A0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$1,352,405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ED3585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2AD84E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B8E98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E39492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$12,337,212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C7652F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9.1</w:t>
            </w:r>
          </w:p>
        </w:tc>
      </w:tr>
      <w:tr w:rsidR="008E67A8" w14:paraId="60DD6D22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AA680B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3661F72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$451,776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D1541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$555,692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94FEE9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$1,007,468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03D55C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1D0469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3F0FC2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4C3043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$2,673,905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E44950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2.7</w:t>
            </w:r>
          </w:p>
        </w:tc>
      </w:tr>
      <w:tr w:rsidR="008E67A8" w14:paraId="161DB975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B0A0D9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Nov-14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176318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$486,773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418DC0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$586,783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E7C64E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$1,073,556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AF8A15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51291C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A2FD14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50%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D39CF0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$15,968,881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3897A1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14.9</w:t>
            </w:r>
          </w:p>
        </w:tc>
      </w:tr>
      <w:tr w:rsidR="008E67A8" w14:paraId="1DFB7FC8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60794D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1A3EDE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$516,630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EAAA04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$517,700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B891F90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$1,034,330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8CB56C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18CF78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DC0344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7604EB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$6,442,091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A79493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6.2</w:t>
            </w:r>
          </w:p>
        </w:tc>
      </w:tr>
      <w:tr w:rsidR="008E67A8" w14:paraId="4F0896B7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61CDDB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Nov-15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233F39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$437,408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3D406E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$438,421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DD83D0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$875,829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16CA30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573E38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FADFAE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64016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$25,012,884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F97D665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28.6</w:t>
            </w:r>
          </w:p>
        </w:tc>
      </w:tr>
      <w:tr w:rsidR="008E67A8" w14:paraId="33B66756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8AC2E6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63B1EB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$392,974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AD5F56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$399,181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2F2D5A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$792,155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EB97A3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24F5B2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F29151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3BDC0BE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$29,468,423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981DA7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37.2</w:t>
            </w:r>
          </w:p>
        </w:tc>
      </w:tr>
      <w:tr w:rsidR="008E67A8" w14:paraId="5AFFA1B8" w14:textId="77777777" w:rsidTr="00962808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A715A5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Nov-16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F65F1D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$308,675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9ABC543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$327,337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DBB5A22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$636,012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7D8612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8D317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AF5C4C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50%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74C70D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$3,112,001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04DF84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4.9</w:t>
            </w:r>
          </w:p>
        </w:tc>
      </w:tr>
      <w:tr w:rsidR="008E67A8" w14:paraId="757FBBBC" w14:textId="77777777" w:rsidTr="00962808">
        <w:trPr>
          <w:trHeight w:val="163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EBF6B9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64D9BE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$329,629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023341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$364,858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75074D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$694,487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A5E1C6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D349BC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C0A537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8EE275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$6,633,939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92742E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9.6</w:t>
            </w:r>
          </w:p>
        </w:tc>
      </w:tr>
      <w:tr w:rsidR="008E67A8" w14:paraId="6EF7D45B" w14:textId="77777777" w:rsidTr="00962808">
        <w:trPr>
          <w:trHeight w:val="217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520FE3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Nov-17 </w:t>
            </w:r>
            <w:r>
              <w:rPr>
                <w:rFonts w:ascii="Calibri" w:hAnsi="Calibri" w:cs="Calibri"/>
                <w:b/>
                <w:bCs/>
                <w:color w:val="C79900"/>
                <w:sz w:val="16"/>
                <w:szCs w:val="16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384338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$290,565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778752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$279,017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8F35AB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$569,582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0ADC01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A6E802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1F5FCD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AB3BD3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$8,297,066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22ED55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14.6</w:t>
            </w:r>
          </w:p>
        </w:tc>
      </w:tr>
      <w:tr w:rsidR="008E67A8" w14:paraId="56043F4F" w14:textId="77777777" w:rsidTr="00962808">
        <w:trPr>
          <w:trHeight w:val="77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9A9847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May-18</w:t>
            </w:r>
            <w:r>
              <w:rPr>
                <w:rFonts w:ascii="Calibri" w:hAnsi="Calibri" w:cs="Calibri"/>
                <w:b/>
                <w:bCs/>
                <w:color w:val="C79900"/>
                <w:sz w:val="16"/>
                <w:szCs w:val="16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D0A0F4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$284,935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3BB7D38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$304,607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BF9940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$589,542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66DFCC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A4941D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D2F1E0" w14:textId="77777777" w:rsidR="008E67A8" w:rsidRDefault="008E67A8" w:rsidP="00962808">
            <w:pPr>
              <w:jc w:val="center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86%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961A4F" w14:textId="77777777" w:rsidR="008E67A8" w:rsidRDefault="008E67A8" w:rsidP="00962808">
            <w:pPr>
              <w:jc w:val="right"/>
              <w:rPr>
                <w:rFonts w:ascii="Calibri" w:hAnsi="Calibri" w:cs="Calibri"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color w:val="4C4C4C"/>
                <w:sz w:val="16"/>
                <w:szCs w:val="16"/>
              </w:rPr>
              <w:t>$6,530,915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7C0CCE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C4C4C"/>
                <w:sz w:val="16"/>
                <w:szCs w:val="16"/>
              </w:rPr>
              <w:t>11.1</w:t>
            </w:r>
          </w:p>
        </w:tc>
      </w:tr>
      <w:tr w:rsidR="008E67A8" w14:paraId="2CE82B23" w14:textId="77777777" w:rsidTr="00962808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79900"/>
            <w:vAlign w:val="bottom"/>
            <w:hideMark/>
          </w:tcPr>
          <w:p w14:paraId="7BFD98EE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FFF1BF" w:fill="C79900"/>
            <w:noWrap/>
            <w:vAlign w:val="bottom"/>
            <w:hideMark/>
          </w:tcPr>
          <w:p w14:paraId="4AE0DD7E" w14:textId="77777777" w:rsidR="008E67A8" w:rsidRDefault="008E67A8" w:rsidP="0096280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$11,031,473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FFF1BF" w:fill="C79900"/>
            <w:noWrap/>
            <w:vAlign w:val="bottom"/>
            <w:hideMark/>
          </w:tcPr>
          <w:p w14:paraId="2F9E0E81" w14:textId="77777777" w:rsidR="008E67A8" w:rsidRDefault="008E67A8" w:rsidP="0096280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$11,866,336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FFF1BF" w:fill="C79900"/>
            <w:noWrap/>
            <w:vAlign w:val="bottom"/>
            <w:hideMark/>
          </w:tcPr>
          <w:p w14:paraId="5D9F3BA2" w14:textId="77777777" w:rsidR="008E67A8" w:rsidRDefault="008E67A8" w:rsidP="0096280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$22,897,809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FFF1BF" w:fill="C79900"/>
            <w:noWrap/>
            <w:vAlign w:val="center"/>
            <w:hideMark/>
          </w:tcPr>
          <w:p w14:paraId="40BFAEB6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9900"/>
            <w:noWrap/>
            <w:vAlign w:val="center"/>
            <w:hideMark/>
          </w:tcPr>
          <w:p w14:paraId="149E556F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FFF1BF" w:fill="C79900"/>
            <w:noWrap/>
            <w:vAlign w:val="bottom"/>
            <w:hideMark/>
          </w:tcPr>
          <w:p w14:paraId="19404A95" w14:textId="77777777" w:rsidR="008E67A8" w:rsidRDefault="008E67A8" w:rsidP="0096280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FFF1BF" w:fill="C79900"/>
            <w:noWrap/>
            <w:vAlign w:val="bottom"/>
            <w:hideMark/>
          </w:tcPr>
          <w:p w14:paraId="527A0600" w14:textId="77777777" w:rsidR="008E67A8" w:rsidRDefault="008E67A8" w:rsidP="0096280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$229,117,371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9900"/>
            <w:noWrap/>
            <w:vAlign w:val="bottom"/>
            <w:hideMark/>
          </w:tcPr>
          <w:p w14:paraId="2E451FF8" w14:textId="77777777" w:rsidR="008E67A8" w:rsidRDefault="008E67A8" w:rsidP="009628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10.4</w:t>
            </w:r>
          </w:p>
        </w:tc>
      </w:tr>
      <w:tr w:rsidR="008E67A8" w14:paraId="5BD83C17" w14:textId="77777777" w:rsidTr="00962808">
        <w:trPr>
          <w:trHeight w:val="793"/>
        </w:trPr>
        <w:tc>
          <w:tcPr>
            <w:tcW w:w="1350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CBA079" w14:textId="77777777" w:rsidR="008E67A8" w:rsidRDefault="008E67A8" w:rsidP="0096280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NOTES 1. Provost Distribution amounts displayed may be less than the original Provost distribution, unspent funds are returned to the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Provost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budget when awardees receive external funding. 2. The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Nov,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2015 and the May, 2016 cycles have a higher ROI than average. This is due to multiple factors: over those two years the percentage of awardees receiving external funding increased to 75% and they included high dollar grants - the two largest grants were $15,915,986 (Nov 2015) and $17,875,215 (May 2016) and is reflected in the ROI.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color w:val="C79900"/>
                <w:sz w:val="16"/>
                <w:szCs w:val="16"/>
              </w:rPr>
              <w:t>*</w:t>
            </w:r>
            <w:r>
              <w:rPr>
                <w:rFonts w:ascii="Calibri" w:hAnsi="Calibri" w:cs="Calibri"/>
                <w:sz w:val="16"/>
                <w:szCs w:val="16"/>
              </w:rPr>
              <w:t>Does not include awards currently in extension</w:t>
            </w:r>
          </w:p>
        </w:tc>
      </w:tr>
      <w:tr w:rsidR="008E67A8" w14:paraId="60C842EB" w14:textId="77777777" w:rsidTr="00962808">
        <w:trPr>
          <w:trHeight w:val="793"/>
        </w:trPr>
        <w:tc>
          <w:tcPr>
            <w:tcW w:w="1350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861B0C" w14:textId="77777777" w:rsidR="008E67A8" w:rsidRDefault="008E67A8" w:rsidP="0096280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BC2DF9" wp14:editId="373CAC48">
                  <wp:extent cx="8812924" cy="6195849"/>
                  <wp:effectExtent l="0" t="0" r="7620" b="14605"/>
                  <wp:docPr id="23" name="Chart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14:paraId="2A851CC5" w14:textId="77777777" w:rsidR="00C60D61" w:rsidRPr="00C60D61" w:rsidRDefault="00C60D61" w:rsidP="00C60D61">
      <w:pPr>
        <w:rPr>
          <w:rFonts w:asciiTheme="minorHAnsi" w:hAnsiTheme="minorHAnsi" w:cstheme="minorHAnsi"/>
          <w:b/>
          <w:sz w:val="20"/>
          <w:szCs w:val="20"/>
        </w:rPr>
        <w:sectPr w:rsidR="00C60D61" w:rsidRPr="00C60D61" w:rsidSect="00C60D61">
          <w:pgSz w:w="15840" w:h="12240" w:orient="landscape" w:code="1"/>
          <w:pgMar w:top="547" w:right="547" w:bottom="720" w:left="864" w:header="720" w:footer="720" w:gutter="0"/>
          <w:cols w:space="720"/>
          <w:titlePg/>
          <w:docGrid w:linePitch="360"/>
        </w:sectPr>
      </w:pPr>
      <w:r>
        <w:rPr>
          <w:noProof/>
        </w:rPr>
        <w:lastRenderedPageBreak/>
        <w:drawing>
          <wp:inline distT="0" distB="0" distL="0" distR="0" wp14:anchorId="23414247" wp14:editId="1998747D">
            <wp:extent cx="8856345" cy="6334760"/>
            <wp:effectExtent l="0" t="0" r="1905" b="889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FAD7261" w14:textId="77777777" w:rsidR="00C60D61" w:rsidRPr="00070713" w:rsidRDefault="00C60D61" w:rsidP="00C60D61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  <w:r w:rsidRPr="00070713">
        <w:rPr>
          <w:rFonts w:asciiTheme="minorHAnsi" w:hAnsiTheme="minorHAnsi" w:cstheme="minorHAnsi"/>
          <w:color w:val="000000" w:themeColor="text1"/>
          <w:szCs w:val="20"/>
        </w:rPr>
        <w:lastRenderedPageBreak/>
        <w:t>Human Subjects Division (HSD)</w:t>
      </w:r>
    </w:p>
    <w:p w14:paraId="4C09D1A6" w14:textId="77777777" w:rsidR="00C60D61" w:rsidRPr="00756F7A" w:rsidRDefault="00C60D61" w:rsidP="00C60D61">
      <w:pPr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</w:p>
    <w:p w14:paraId="2FBCA20D" w14:textId="3290FFF4" w:rsidR="00C60D61" w:rsidRDefault="00B50565" w:rsidP="00C60D61">
      <w:pPr>
        <w:tabs>
          <w:tab w:val="left" w:pos="990"/>
        </w:tabs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FB8010A" wp14:editId="6B20BCAA">
            <wp:extent cx="6967855" cy="4510329"/>
            <wp:effectExtent l="0" t="0" r="4445" b="508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2A190E8" w14:textId="77777777" w:rsidR="00306E17" w:rsidRDefault="00306E17" w:rsidP="00C60D61">
      <w:pPr>
        <w:tabs>
          <w:tab w:val="left" w:pos="990"/>
        </w:tabs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</w:p>
    <w:p w14:paraId="46AB199C" w14:textId="7C433B57" w:rsidR="00C60D61" w:rsidRDefault="00A54026" w:rsidP="00C60D61">
      <w:pPr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A48627B" wp14:editId="05F6D57D">
            <wp:extent cx="6657975" cy="3228975"/>
            <wp:effectExtent l="0" t="0" r="9525" b="9525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D0251AF" w14:textId="77777777" w:rsidR="00C60D61" w:rsidRPr="001D0D01" w:rsidRDefault="00C60D61" w:rsidP="00C60D61">
      <w:pPr>
        <w:outlineLvl w:val="2"/>
        <w:rPr>
          <w:rFonts w:asciiTheme="minorHAnsi" w:hAnsiTheme="minorHAnsi" w:cstheme="minorHAnsi"/>
          <w:bCs/>
          <w:sz w:val="20"/>
          <w:szCs w:val="20"/>
        </w:rPr>
      </w:pPr>
      <w:r w:rsidRPr="001D0D01">
        <w:rPr>
          <w:rFonts w:asciiTheme="minorHAnsi" w:hAnsiTheme="minorHAnsi" w:cstheme="minorHAnsi"/>
          <w:bCs/>
          <w:sz w:val="20"/>
          <w:szCs w:val="20"/>
        </w:rPr>
        <w:t>The above sections are aggregated to show both Minimal Risk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Standard together. </w:t>
      </w:r>
      <w:r w:rsidRPr="001D0D01">
        <w:rPr>
          <w:rFonts w:asciiTheme="minorHAnsi" w:hAnsiTheme="minorHAnsi" w:cstheme="minorHAnsi"/>
          <w:bCs/>
          <w:sz w:val="20"/>
          <w:szCs w:val="20"/>
        </w:rPr>
        <w:t>This includes both Zipline and DORA systems</w:t>
      </w:r>
    </w:p>
    <w:p w14:paraId="4D048283" w14:textId="77777777" w:rsidR="00C60D61" w:rsidRDefault="00C60D61" w:rsidP="00C60D61">
      <w:pPr>
        <w:outlineLvl w:val="2"/>
        <w:rPr>
          <w:rFonts w:asciiTheme="minorHAnsi" w:hAnsiTheme="minorHAnsi" w:cstheme="minorHAnsi"/>
          <w:bCs/>
          <w:sz w:val="20"/>
          <w:szCs w:val="20"/>
        </w:rPr>
      </w:pPr>
      <w:r w:rsidRPr="001D0D01">
        <w:rPr>
          <w:rFonts w:asciiTheme="minorHAnsi" w:hAnsiTheme="minorHAnsi" w:cstheme="minorHAnsi"/>
          <w:bCs/>
          <w:sz w:val="20"/>
          <w:szCs w:val="20"/>
        </w:rPr>
        <w:t>data.</w:t>
      </w:r>
      <w:r>
        <w:rPr>
          <w:rFonts w:asciiTheme="minorHAnsi" w:hAnsiTheme="minorHAnsi" w:cstheme="minorHAnsi"/>
          <w:bCs/>
          <w:sz w:val="20"/>
          <w:szCs w:val="20"/>
        </w:rPr>
        <w:t xml:space="preserve"> Over time, enough data will be collected to show a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five year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trend.</w:t>
      </w:r>
    </w:p>
    <w:p w14:paraId="410FB08F" w14:textId="29067EE7" w:rsidR="005A3568" w:rsidRDefault="005A3568" w:rsidP="005A3568">
      <w:pPr>
        <w:rPr>
          <w:rFonts w:asciiTheme="minorHAnsi" w:hAnsiTheme="minorHAnsi" w:cstheme="minorHAnsi"/>
          <w:b/>
          <w:sz w:val="20"/>
          <w:szCs w:val="20"/>
        </w:rPr>
      </w:pPr>
    </w:p>
    <w:p w14:paraId="793F1D89" w14:textId="11604934" w:rsidR="008E67A8" w:rsidRDefault="008E67A8" w:rsidP="005A3568">
      <w:pPr>
        <w:rPr>
          <w:rFonts w:asciiTheme="minorHAnsi" w:hAnsiTheme="minorHAnsi" w:cstheme="minorHAnsi"/>
          <w:b/>
          <w:sz w:val="20"/>
          <w:szCs w:val="20"/>
        </w:rPr>
      </w:pPr>
    </w:p>
    <w:p w14:paraId="35E5076A" w14:textId="77777777" w:rsidR="008E67A8" w:rsidRPr="003753B7" w:rsidRDefault="008E67A8" w:rsidP="005A356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800" w:type="dxa"/>
        <w:tblInd w:w="108" w:type="dxa"/>
        <w:tblLook w:val="04A0" w:firstRow="1" w:lastRow="0" w:firstColumn="1" w:lastColumn="0" w:noHBand="0" w:noVBand="1"/>
      </w:tblPr>
      <w:tblGrid>
        <w:gridCol w:w="700"/>
        <w:gridCol w:w="2296"/>
        <w:gridCol w:w="885"/>
        <w:gridCol w:w="959"/>
        <w:gridCol w:w="960"/>
      </w:tblGrid>
      <w:tr w:rsidR="00B50565" w14:paraId="1DD78A5E" w14:textId="77777777" w:rsidTr="00B50565">
        <w:trPr>
          <w:trHeight w:val="225"/>
        </w:trPr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3E0D4331" w14:textId="77777777" w:rsidR="00B50565" w:rsidRDefault="00B5056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External Trainings</w:t>
            </w:r>
          </w:p>
        </w:tc>
      </w:tr>
      <w:tr w:rsidR="00B50565" w14:paraId="5F3C4DB4" w14:textId="77777777" w:rsidTr="00B50565">
        <w:trPr>
          <w:trHeight w:val="11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3EA46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F6D1F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Session Title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A3B77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Action (Training/ Outreach)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83227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Sessions Within the Last 3 Months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8C78D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Total Attendees Within the Last 3 Months</w:t>
            </w:r>
          </w:p>
        </w:tc>
      </w:tr>
      <w:tr w:rsidR="00B50565" w14:paraId="22376F91" w14:textId="77777777" w:rsidTr="00B50565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D84C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ORIS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049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SAGE: Creating and Submitting eGC1s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0E99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C167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A46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B50565" w14:paraId="186C6CF6" w14:textId="77777777" w:rsidTr="00B50565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C2E0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ORIS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E3DE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SAGE: Budget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82FB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AE06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A07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B50565" w14:paraId="387B4149" w14:textId="77777777" w:rsidTr="00B50565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D89C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ORIS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97D7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SAGE: Creating NIH Proposals in GR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CB4D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2BA8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87F9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B50565" w14:paraId="7BE96594" w14:textId="77777777" w:rsidTr="00B50565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6196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ORIS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B00D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Research Admin Data: Vis. and Reports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C69A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E0A7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5749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B50565" w14:paraId="58A6A5EF" w14:textId="77777777" w:rsidTr="00B50565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EBB5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ORIS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4BDB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Research Admin Data: Cube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E6DF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02CE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742D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B50565" w14:paraId="7525E4F2" w14:textId="77777777" w:rsidTr="00B50565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9586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E508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IRB 101 for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Taccoma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Researchers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5C51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55F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E19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B50565" w14:paraId="0E1EA4ED" w14:textId="77777777" w:rsidTr="00B50565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1F76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BF8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IRB 101 for Bothell Researchers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0B95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1F2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D3A1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B50565" w14:paraId="446D1103" w14:textId="77777777" w:rsidTr="00B50565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DEFB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1694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IRB 101 for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ObGyn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Residents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0BFA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1FC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B47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B50565" w14:paraId="4E57C10F" w14:textId="77777777" w:rsidTr="00B50565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816C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433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IRB 101 for CSDE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fcaulty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&amp; staff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5BCF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E186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BCE8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B50565" w14:paraId="1E51C0A2" w14:textId="77777777" w:rsidTr="00B50565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3FCF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9621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ITHS Career Development webinar: A Single IRB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5716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E4CD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3EF9" w14:textId="77777777" w:rsidR="00B50565" w:rsidRDefault="00B505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</w:tr>
    </w:tbl>
    <w:p w14:paraId="40CE5955" w14:textId="77777777" w:rsidR="005A3568" w:rsidRPr="003753B7" w:rsidRDefault="005A3568" w:rsidP="005A3568">
      <w:pPr>
        <w:rPr>
          <w:rFonts w:asciiTheme="minorHAnsi" w:hAnsiTheme="minorHAnsi" w:cstheme="minorHAnsi"/>
          <w:b/>
          <w:sz w:val="20"/>
          <w:szCs w:val="20"/>
        </w:rPr>
      </w:pPr>
    </w:p>
    <w:p w14:paraId="4745E340" w14:textId="77777777" w:rsidR="005A3568" w:rsidRPr="003753B7" w:rsidRDefault="005A3568" w:rsidP="005A356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440" w:type="dxa"/>
        <w:tblInd w:w="108" w:type="dxa"/>
        <w:tblLook w:val="04A0" w:firstRow="1" w:lastRow="0" w:firstColumn="1" w:lastColumn="0" w:noHBand="0" w:noVBand="1"/>
      </w:tblPr>
      <w:tblGrid>
        <w:gridCol w:w="751"/>
        <w:gridCol w:w="958"/>
        <w:gridCol w:w="1167"/>
        <w:gridCol w:w="2564"/>
      </w:tblGrid>
      <w:tr w:rsidR="00B50565" w14:paraId="7AFA44B4" w14:textId="77777777" w:rsidTr="00B50565">
        <w:trPr>
          <w:trHeight w:val="225"/>
        </w:trPr>
        <w:tc>
          <w:tcPr>
            <w:tcW w:w="5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bottom"/>
            <w:hideMark/>
          </w:tcPr>
          <w:p w14:paraId="600355AA" w14:textId="77777777" w:rsidR="00B50565" w:rsidRDefault="00B5056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Guidance, Training and Outreach - Development &amp; Updating</w:t>
            </w:r>
          </w:p>
        </w:tc>
      </w:tr>
      <w:tr w:rsidR="00B50565" w14:paraId="4E14CD80" w14:textId="77777777" w:rsidTr="00B50565">
        <w:trPr>
          <w:trHeight w:val="11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AA772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6BC91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D0622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Action (Development / Update)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0F8C7" w14:textId="77777777" w:rsidR="00B50565" w:rsidRDefault="00B505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</w:tr>
      <w:tr w:rsidR="00B50565" w14:paraId="27C9E33F" w14:textId="77777777" w:rsidTr="00B50565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953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261D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Meeting with ABC Group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12E1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349B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01/10/2020 - Discussion of Unit and OSP Roles (3 individuals, ~1 hour)</w:t>
            </w:r>
          </w:p>
        </w:tc>
      </w:tr>
      <w:tr w:rsidR="00B50565" w14:paraId="6DF3AD49" w14:textId="77777777" w:rsidTr="00B5056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9F90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0937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Meeting with OAW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BC6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77C5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02/14/20 - Discussion of Unit and OSP Roles (5 individuals, ~1 hour)</w:t>
            </w:r>
          </w:p>
        </w:tc>
      </w:tr>
      <w:tr w:rsidR="00B50565" w14:paraId="3338C41E" w14:textId="77777777" w:rsidTr="00B50565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B8DD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D20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Meeting with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3279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0A60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02/20/20 - Discussion with Unit on transfer of new Chair's grants (5 individuals, ~30 minutes)</w:t>
            </w:r>
          </w:p>
        </w:tc>
      </w:tr>
      <w:tr w:rsidR="00B50565" w14:paraId="7E23C0A2" w14:textId="77777777" w:rsidTr="00B50565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7211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AE5F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Meeting with FHCRC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5531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1B1A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02/24/20 - Meet &amp; Greet with FHCRC OSP equivalent (9 individuals, ~1 hour)</w:t>
            </w:r>
          </w:p>
        </w:tc>
      </w:tr>
      <w:tr w:rsidR="00B50565" w14:paraId="15BF134A" w14:textId="77777777" w:rsidTr="00B50565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015C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OSP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FAA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Meeting with A&amp;S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D0B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E95C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02/28/20 - Discussion RE: managing a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sponosr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(4 individuals, ~30 minutes)</w:t>
            </w:r>
          </w:p>
        </w:tc>
      </w:tr>
      <w:tr w:rsidR="00B50565" w14:paraId="26A2482E" w14:textId="77777777" w:rsidTr="00B50565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BF72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4FC8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Meeting with Campus &amp; NIH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7D8D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7884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03/06/20 - Discussion of Project moving to contract (~8 individuals, ~1 hour)</w:t>
            </w:r>
          </w:p>
        </w:tc>
      </w:tr>
      <w:tr w:rsidR="00B50565" w14:paraId="6A498F57" w14:textId="77777777" w:rsidTr="00B50565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D9AA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1724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Meeting with Multiple Units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8563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017B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03/09/20 - Discussion of common identifier for clinical studies (~10 individuals, ~1 hour)</w:t>
            </w:r>
          </w:p>
        </w:tc>
      </w:tr>
      <w:tr w:rsidR="00B50565" w14:paraId="29EF3DC1" w14:textId="77777777" w:rsidTr="00B50565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FDA2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0173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Meeting with ABC Group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6B33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55DF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01/10/2020 - Discussion of Unit and OSP Roles (4 individuals, ~1 hour)</w:t>
            </w:r>
          </w:p>
        </w:tc>
      </w:tr>
      <w:tr w:rsidR="00B50565" w14:paraId="1B2776FB" w14:textId="77777777" w:rsidTr="00B50565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49C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2A29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External IRB Tutorial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98B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4A62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20-minute online tutorial about a topic confusing to many researchers</w:t>
            </w:r>
          </w:p>
        </w:tc>
      </w:tr>
      <w:tr w:rsidR="00B50565" w14:paraId="3FB75F86" w14:textId="77777777" w:rsidTr="00B50565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BE1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8A0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CITI Human Subjects Refressher course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45EC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5C0E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 response to regulatory and campus needs</w:t>
            </w:r>
          </w:p>
        </w:tc>
      </w:tr>
      <w:tr w:rsidR="00B50565" w14:paraId="6763638E" w14:textId="77777777" w:rsidTr="00B50565">
        <w:trPr>
          <w:trHeight w:val="11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7ABB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D15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CITI Good Clinical Practice Refresher Course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FED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C403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 response to regulatory and campus needs</w:t>
            </w:r>
          </w:p>
        </w:tc>
      </w:tr>
      <w:tr w:rsidR="00B50565" w14:paraId="489FEFDA" w14:textId="77777777" w:rsidTr="00B50565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ED4" w14:textId="77777777" w:rsidR="00B50565" w:rsidRDefault="00B505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5899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COVID-related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E0D6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Development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6A4D" w14:textId="77777777" w:rsidR="00B50565" w:rsidRDefault="00B5056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Many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guidances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and outreach related to COVID-19</w:t>
            </w:r>
          </w:p>
        </w:tc>
      </w:tr>
    </w:tbl>
    <w:p w14:paraId="3E1D54E0" w14:textId="77777777" w:rsidR="008E67A8" w:rsidRDefault="008E67A8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5A8658F4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40160E41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5A74F504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1909E42D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6A5ED02E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147A7DC7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0D5FDDCC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0E05B37F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7241395B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4ADF187C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04CA0FE9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2C31B374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626A30DF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579E35EE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5486172D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5FEB3FC3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38978BC2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39A040F5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2624FA32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36A07926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5279B269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1BE5A9FF" w14:textId="77777777" w:rsidR="00B50565" w:rsidRDefault="00B50565" w:rsidP="00FD7A93">
      <w:pPr>
        <w:pBdr>
          <w:bottom w:val="single" w:sz="4" w:space="1" w:color="auto"/>
        </w:pBdr>
        <w:rPr>
          <w:rFonts w:asciiTheme="minorHAnsi" w:hAnsiTheme="minorHAnsi" w:cstheme="minorHAnsi"/>
          <w:color w:val="000000" w:themeColor="text1"/>
          <w:szCs w:val="20"/>
        </w:rPr>
      </w:pPr>
    </w:p>
    <w:p w14:paraId="509A46F4" w14:textId="21BE483A" w:rsidR="00FD7A93" w:rsidRPr="00197CCD" w:rsidRDefault="00FD7A93" w:rsidP="00FD7A93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000000" w:themeColor="text1"/>
          <w:szCs w:val="20"/>
        </w:rPr>
      </w:pPr>
      <w:r w:rsidRPr="00197CCD">
        <w:rPr>
          <w:rFonts w:asciiTheme="minorHAnsi" w:hAnsiTheme="minorHAnsi" w:cstheme="minorHAnsi"/>
          <w:color w:val="000000" w:themeColor="text1"/>
          <w:szCs w:val="20"/>
        </w:rPr>
        <w:lastRenderedPageBreak/>
        <w:t>Office of Research Central:</w:t>
      </w:r>
      <w:r w:rsidRPr="004259B7">
        <w:rPr>
          <w:rFonts w:asciiTheme="minorHAnsi" w:hAnsiTheme="minorHAnsi" w:cstheme="minorHAnsi"/>
          <w:b/>
          <w:color w:val="000000" w:themeColor="text1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Cs w:val="20"/>
        </w:rPr>
        <w:t>CORE</w:t>
      </w:r>
    </w:p>
    <w:p w14:paraId="49A0D94E" w14:textId="77777777" w:rsidR="00FD7A93" w:rsidRDefault="00FD7A93" w:rsidP="00FD7A93">
      <w:pPr>
        <w:rPr>
          <w:rFonts w:asciiTheme="minorHAnsi" w:hAnsiTheme="minorHAnsi" w:cstheme="minorHAnsi"/>
          <w:sz w:val="22"/>
        </w:rPr>
      </w:pPr>
    </w:p>
    <w:p w14:paraId="3ABD56EF" w14:textId="67345FD1" w:rsidR="00FD7A93" w:rsidRDefault="00B50565" w:rsidP="00FD7A93">
      <w:pPr>
        <w:rPr>
          <w:rFonts w:asciiTheme="minorHAnsi" w:hAnsiTheme="minorHAnsi" w:cstheme="minorHAnsi"/>
          <w:sz w:val="22"/>
        </w:rPr>
      </w:pPr>
      <w:r>
        <w:rPr>
          <w:noProof/>
        </w:rPr>
        <w:drawing>
          <wp:inline distT="0" distB="0" distL="0" distR="0" wp14:anchorId="5F4CCED5" wp14:editId="1963DA64">
            <wp:extent cx="6967855" cy="3816182"/>
            <wp:effectExtent l="0" t="0" r="4445" b="1333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CBCE140" w14:textId="77777777" w:rsidR="00FD7A93" w:rsidRPr="00EA36D2" w:rsidRDefault="00FD7A93" w:rsidP="00FD7A93">
      <w:pPr>
        <w:rPr>
          <w:rFonts w:asciiTheme="minorHAnsi" w:hAnsiTheme="minorHAnsi" w:cstheme="minorHAnsi"/>
          <w:sz w:val="20"/>
        </w:rPr>
      </w:pPr>
    </w:p>
    <w:p w14:paraId="451A003C" w14:textId="0F5B574A" w:rsidR="00FD7A93" w:rsidRDefault="00A54026" w:rsidP="00FD7A93">
      <w:pPr>
        <w:rPr>
          <w:rFonts w:asciiTheme="minorHAnsi" w:hAnsiTheme="minorHAnsi" w:cstheme="minorHAnsi"/>
          <w:sz w:val="22"/>
        </w:rPr>
      </w:pPr>
      <w:r>
        <w:rPr>
          <w:noProof/>
        </w:rPr>
        <w:t>\</w:t>
      </w:r>
      <w:r>
        <w:rPr>
          <w:noProof/>
        </w:rPr>
        <w:drawing>
          <wp:inline distT="0" distB="0" distL="0" distR="0" wp14:anchorId="3E30594C" wp14:editId="0FED3F42">
            <wp:extent cx="6967855" cy="3844925"/>
            <wp:effectExtent l="0" t="0" r="4445" b="317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13D92D9" w14:textId="77777777" w:rsidR="00FD7A93" w:rsidRPr="00E04677" w:rsidRDefault="00FD7A93" w:rsidP="00525B23">
      <w:pPr>
        <w:rPr>
          <w:rFonts w:asciiTheme="minorHAnsi" w:hAnsiTheme="minorHAnsi" w:cstheme="minorHAnsi"/>
          <w:i/>
          <w:szCs w:val="20"/>
        </w:rPr>
      </w:pPr>
    </w:p>
    <w:sectPr w:rsidR="00FD7A93" w:rsidRPr="00E04677" w:rsidSect="00C60D61">
      <w:pgSz w:w="12240" w:h="15840" w:code="1"/>
      <w:pgMar w:top="547" w:right="720" w:bottom="864" w:left="5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EE01" w14:textId="77777777" w:rsidR="00CA737F" w:rsidRDefault="00CA737F">
      <w:r>
        <w:separator/>
      </w:r>
    </w:p>
  </w:endnote>
  <w:endnote w:type="continuationSeparator" w:id="0">
    <w:p w14:paraId="785D67E1" w14:textId="77777777" w:rsidR="00CA737F" w:rsidRDefault="00CA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BC50" w14:textId="77777777" w:rsidR="00EE5074" w:rsidRDefault="00EE5074" w:rsidP="00CD24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62200" w14:textId="77777777" w:rsidR="00EE5074" w:rsidRDefault="00EE5074" w:rsidP="00115F47">
    <w:pPr>
      <w:pStyle w:val="Footer"/>
      <w:ind w:right="360"/>
    </w:pPr>
  </w:p>
  <w:p w14:paraId="41934B24" w14:textId="77777777" w:rsidR="00EE5074" w:rsidRDefault="00EE5074"/>
  <w:p w14:paraId="4AB688B5" w14:textId="77777777" w:rsidR="00EE5074" w:rsidRDefault="00EE50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79A4" w14:textId="77777777" w:rsidR="00EE5074" w:rsidRPr="00550542" w:rsidRDefault="00EE5074">
    <w:pPr>
      <w:pStyle w:val="Footer"/>
      <w:pBdr>
        <w:top w:val="single" w:sz="4" w:space="1" w:color="D9D9D9"/>
      </w:pBdr>
      <w:jc w:val="right"/>
      <w:rPr>
        <w:rFonts w:ascii="Calibri" w:hAnsi="Calibri" w:cs="Calibri"/>
        <w:sz w:val="18"/>
        <w:szCs w:val="18"/>
      </w:rPr>
    </w:pPr>
    <w:r w:rsidRPr="00550542">
      <w:rPr>
        <w:rFonts w:ascii="Calibri" w:hAnsi="Calibri" w:cs="Calibri"/>
        <w:sz w:val="18"/>
        <w:szCs w:val="18"/>
      </w:rPr>
      <w:fldChar w:fldCharType="begin"/>
    </w:r>
    <w:r w:rsidRPr="00550542">
      <w:rPr>
        <w:rFonts w:ascii="Calibri" w:hAnsi="Calibri" w:cs="Calibri"/>
        <w:sz w:val="18"/>
        <w:szCs w:val="18"/>
      </w:rPr>
      <w:instrText xml:space="preserve"> PAGE   \* MERGEFORMAT </w:instrText>
    </w:r>
    <w:r w:rsidRPr="00550542">
      <w:rPr>
        <w:rFonts w:ascii="Calibri" w:hAnsi="Calibri" w:cs="Calibri"/>
        <w:sz w:val="18"/>
        <w:szCs w:val="18"/>
      </w:rPr>
      <w:fldChar w:fldCharType="separate"/>
    </w:r>
    <w:r w:rsidR="0022463F">
      <w:rPr>
        <w:rFonts w:ascii="Calibri" w:hAnsi="Calibri" w:cs="Calibri"/>
        <w:noProof/>
        <w:sz w:val="18"/>
        <w:szCs w:val="18"/>
      </w:rPr>
      <w:t>7</w:t>
    </w:r>
    <w:r w:rsidRPr="00550542">
      <w:rPr>
        <w:rFonts w:ascii="Calibri" w:hAnsi="Calibri" w:cs="Calibri"/>
        <w:sz w:val="18"/>
        <w:szCs w:val="18"/>
      </w:rPr>
      <w:fldChar w:fldCharType="end"/>
    </w:r>
    <w:r w:rsidRPr="00550542">
      <w:rPr>
        <w:rFonts w:ascii="Calibri" w:hAnsi="Calibri" w:cs="Calibri"/>
        <w:sz w:val="18"/>
        <w:szCs w:val="18"/>
      </w:rPr>
      <w:t xml:space="preserve"> | </w:t>
    </w:r>
    <w:r w:rsidRPr="00550542">
      <w:rPr>
        <w:rFonts w:ascii="Calibri" w:hAnsi="Calibri" w:cs="Calibri"/>
        <w:color w:val="7F7F7F"/>
        <w:spacing w:val="60"/>
        <w:sz w:val="18"/>
        <w:szCs w:val="18"/>
      </w:rPr>
      <w:t>Page</w:t>
    </w:r>
  </w:p>
  <w:p w14:paraId="05BB6664" w14:textId="77777777" w:rsidR="00EE5074" w:rsidRPr="00115F47" w:rsidRDefault="00EE5074" w:rsidP="00115F47">
    <w:pPr>
      <w:pStyle w:val="Footer"/>
      <w:ind w:right="360"/>
      <w:rPr>
        <w:rFonts w:ascii="Calibri" w:hAnsi="Calibri"/>
        <w:sz w:val="16"/>
        <w:szCs w:val="16"/>
      </w:rPr>
    </w:pPr>
  </w:p>
  <w:p w14:paraId="0153CDB1" w14:textId="77777777" w:rsidR="00EE5074" w:rsidRDefault="00EE5074"/>
  <w:p w14:paraId="0706BE18" w14:textId="77777777" w:rsidR="00EE5074" w:rsidRDefault="00EE50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4387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</w:rPr>
    </w:sdtEndPr>
    <w:sdtContent>
      <w:p w14:paraId="1D15571D" w14:textId="77777777" w:rsidR="00EE5074" w:rsidRPr="00FC0CCB" w:rsidRDefault="00EE5074">
        <w:pPr>
          <w:pStyle w:val="Footer"/>
          <w:jc w:val="right"/>
          <w:rPr>
            <w:rFonts w:asciiTheme="minorHAnsi" w:hAnsiTheme="minorHAnsi"/>
            <w:sz w:val="18"/>
          </w:rPr>
        </w:pPr>
        <w:r w:rsidRPr="00FC0CCB">
          <w:rPr>
            <w:rFonts w:asciiTheme="minorHAnsi" w:hAnsiTheme="minorHAnsi"/>
            <w:sz w:val="18"/>
          </w:rPr>
          <w:fldChar w:fldCharType="begin"/>
        </w:r>
        <w:r w:rsidRPr="00FC0CCB">
          <w:rPr>
            <w:rFonts w:asciiTheme="minorHAnsi" w:hAnsiTheme="minorHAnsi"/>
            <w:sz w:val="18"/>
          </w:rPr>
          <w:instrText xml:space="preserve"> PAGE   \* MERGEFORMAT </w:instrText>
        </w:r>
        <w:r w:rsidRPr="00FC0CCB">
          <w:rPr>
            <w:rFonts w:asciiTheme="minorHAnsi" w:hAnsiTheme="minorHAnsi"/>
            <w:sz w:val="18"/>
          </w:rPr>
          <w:fldChar w:fldCharType="separate"/>
        </w:r>
        <w:r w:rsidR="00FD7A93">
          <w:rPr>
            <w:rFonts w:asciiTheme="minorHAnsi" w:hAnsiTheme="minorHAnsi"/>
            <w:noProof/>
            <w:sz w:val="18"/>
          </w:rPr>
          <w:t>7</w:t>
        </w:r>
        <w:r w:rsidRPr="00FC0CCB">
          <w:rPr>
            <w:rFonts w:asciiTheme="minorHAnsi" w:hAnsiTheme="minorHAnsi"/>
            <w:noProof/>
            <w:sz w:val="18"/>
          </w:rPr>
          <w:fldChar w:fldCharType="end"/>
        </w:r>
        <w:r w:rsidRPr="00FC0CCB">
          <w:rPr>
            <w:rFonts w:asciiTheme="minorHAnsi" w:hAnsiTheme="minorHAnsi"/>
            <w:noProof/>
            <w:sz w:val="18"/>
          </w:rPr>
          <w:t xml:space="preserve"> | P</w:t>
        </w:r>
        <w:r>
          <w:rPr>
            <w:rFonts w:asciiTheme="minorHAnsi" w:hAnsiTheme="minorHAnsi"/>
            <w:noProof/>
            <w:sz w:val="18"/>
          </w:rPr>
          <w:t xml:space="preserve"> </w:t>
        </w:r>
        <w:r w:rsidRPr="00FC0CCB">
          <w:rPr>
            <w:rFonts w:asciiTheme="minorHAnsi" w:hAnsiTheme="minorHAnsi"/>
            <w:noProof/>
            <w:sz w:val="18"/>
          </w:rPr>
          <w:t>a</w:t>
        </w:r>
        <w:r>
          <w:rPr>
            <w:rFonts w:asciiTheme="minorHAnsi" w:hAnsiTheme="minorHAnsi"/>
            <w:noProof/>
            <w:sz w:val="18"/>
          </w:rPr>
          <w:t xml:space="preserve"> </w:t>
        </w:r>
        <w:r w:rsidRPr="00FC0CCB">
          <w:rPr>
            <w:rFonts w:asciiTheme="minorHAnsi" w:hAnsiTheme="minorHAnsi"/>
            <w:noProof/>
            <w:sz w:val="18"/>
          </w:rPr>
          <w:t>g</w:t>
        </w:r>
        <w:r>
          <w:rPr>
            <w:rFonts w:asciiTheme="minorHAnsi" w:hAnsiTheme="minorHAnsi"/>
            <w:noProof/>
            <w:sz w:val="18"/>
          </w:rPr>
          <w:t xml:space="preserve"> </w:t>
        </w:r>
        <w:r w:rsidRPr="00FC0CCB">
          <w:rPr>
            <w:rFonts w:asciiTheme="minorHAnsi" w:hAnsiTheme="minorHAnsi"/>
            <w:noProof/>
            <w:sz w:val="18"/>
          </w:rPr>
          <w:t>e</w:t>
        </w:r>
      </w:p>
    </w:sdtContent>
  </w:sdt>
  <w:p w14:paraId="56BBBC41" w14:textId="77777777" w:rsidR="00EE5074" w:rsidRDefault="00EE507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2932" w14:textId="77777777" w:rsidR="00EE5074" w:rsidRDefault="00EE5074" w:rsidP="00CD24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CC3835" w14:textId="77777777" w:rsidR="00EE5074" w:rsidRDefault="00EE5074" w:rsidP="00115F47">
    <w:pPr>
      <w:pStyle w:val="Footer"/>
      <w:ind w:right="360"/>
    </w:pPr>
  </w:p>
  <w:p w14:paraId="39952950" w14:textId="77777777" w:rsidR="00EE5074" w:rsidRDefault="00EE5074"/>
  <w:p w14:paraId="2A5EB6A8" w14:textId="77777777" w:rsidR="00EE5074" w:rsidRDefault="00EE507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ABE7" w14:textId="77777777" w:rsidR="00EE5074" w:rsidRPr="00550542" w:rsidRDefault="00EE5074">
    <w:pPr>
      <w:pStyle w:val="Footer"/>
      <w:pBdr>
        <w:top w:val="single" w:sz="4" w:space="1" w:color="D9D9D9"/>
      </w:pBdr>
      <w:jc w:val="right"/>
      <w:rPr>
        <w:rFonts w:ascii="Calibri" w:hAnsi="Calibri" w:cs="Calibri"/>
        <w:sz w:val="18"/>
        <w:szCs w:val="18"/>
      </w:rPr>
    </w:pPr>
    <w:r w:rsidRPr="00550542">
      <w:rPr>
        <w:rFonts w:ascii="Calibri" w:hAnsi="Calibri" w:cs="Calibri"/>
        <w:sz w:val="18"/>
        <w:szCs w:val="18"/>
      </w:rPr>
      <w:fldChar w:fldCharType="begin"/>
    </w:r>
    <w:r w:rsidRPr="00550542">
      <w:rPr>
        <w:rFonts w:ascii="Calibri" w:hAnsi="Calibri" w:cs="Calibri"/>
        <w:sz w:val="18"/>
        <w:szCs w:val="18"/>
      </w:rPr>
      <w:instrText xml:space="preserve"> PAGE   \* MERGEFORMAT </w:instrText>
    </w:r>
    <w:r w:rsidRPr="00550542">
      <w:rPr>
        <w:rFonts w:ascii="Calibri" w:hAnsi="Calibri" w:cs="Calibri"/>
        <w:sz w:val="18"/>
        <w:szCs w:val="18"/>
      </w:rPr>
      <w:fldChar w:fldCharType="separate"/>
    </w:r>
    <w:r w:rsidR="00FD7A93">
      <w:rPr>
        <w:rFonts w:ascii="Calibri" w:hAnsi="Calibri" w:cs="Calibri"/>
        <w:noProof/>
        <w:sz w:val="18"/>
        <w:szCs w:val="18"/>
      </w:rPr>
      <w:t>8</w:t>
    </w:r>
    <w:r w:rsidRPr="00550542">
      <w:rPr>
        <w:rFonts w:ascii="Calibri" w:hAnsi="Calibri" w:cs="Calibri"/>
        <w:sz w:val="18"/>
        <w:szCs w:val="18"/>
      </w:rPr>
      <w:fldChar w:fldCharType="end"/>
    </w:r>
    <w:r w:rsidRPr="00550542">
      <w:rPr>
        <w:rFonts w:ascii="Calibri" w:hAnsi="Calibri" w:cs="Calibri"/>
        <w:sz w:val="18"/>
        <w:szCs w:val="18"/>
      </w:rPr>
      <w:t xml:space="preserve"> | </w:t>
    </w:r>
    <w:r w:rsidRPr="00550542">
      <w:rPr>
        <w:rFonts w:ascii="Calibri" w:hAnsi="Calibri" w:cs="Calibri"/>
        <w:color w:val="7F7F7F"/>
        <w:spacing w:val="60"/>
        <w:sz w:val="18"/>
        <w:szCs w:val="18"/>
      </w:rPr>
      <w:t>Page</w:t>
    </w:r>
  </w:p>
  <w:p w14:paraId="795A70EA" w14:textId="77777777" w:rsidR="00EE5074" w:rsidRPr="00115F47" w:rsidRDefault="00EE5074" w:rsidP="00115F47">
    <w:pPr>
      <w:pStyle w:val="Footer"/>
      <w:ind w:right="360"/>
      <w:rPr>
        <w:rFonts w:ascii="Calibri" w:hAnsi="Calibri"/>
        <w:sz w:val="16"/>
        <w:szCs w:val="16"/>
      </w:rPr>
    </w:pPr>
  </w:p>
  <w:p w14:paraId="1DAAC376" w14:textId="77777777" w:rsidR="00EE5074" w:rsidRDefault="00EE5074"/>
  <w:p w14:paraId="3B19427C" w14:textId="77777777" w:rsidR="00EE5074" w:rsidRDefault="00EE50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930D" w14:textId="77777777" w:rsidR="00CA737F" w:rsidRDefault="00CA737F">
      <w:r>
        <w:separator/>
      </w:r>
    </w:p>
  </w:footnote>
  <w:footnote w:type="continuationSeparator" w:id="0">
    <w:p w14:paraId="6C841FAD" w14:textId="77777777" w:rsidR="00CA737F" w:rsidRDefault="00CA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06"/>
    <w:multiLevelType w:val="hybridMultilevel"/>
    <w:tmpl w:val="9DB6E4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37B"/>
    <w:multiLevelType w:val="hybridMultilevel"/>
    <w:tmpl w:val="292E4E6E"/>
    <w:lvl w:ilvl="0" w:tplc="04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03F4637A"/>
    <w:multiLevelType w:val="hybridMultilevel"/>
    <w:tmpl w:val="333CFD26"/>
    <w:lvl w:ilvl="0" w:tplc="04090005">
      <w:start w:val="1"/>
      <w:numFmt w:val="bullet"/>
      <w:lvlText w:val=""/>
      <w:lvlJc w:val="left"/>
      <w:pPr>
        <w:ind w:left="1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0944384E"/>
    <w:multiLevelType w:val="hybridMultilevel"/>
    <w:tmpl w:val="951A71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00FD"/>
    <w:multiLevelType w:val="hybridMultilevel"/>
    <w:tmpl w:val="3BC0B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2BF"/>
    <w:multiLevelType w:val="hybridMultilevel"/>
    <w:tmpl w:val="779E66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3656"/>
    <w:multiLevelType w:val="hybridMultilevel"/>
    <w:tmpl w:val="8CF64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4E4F"/>
    <w:multiLevelType w:val="hybridMultilevel"/>
    <w:tmpl w:val="EFAA1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767330"/>
    <w:multiLevelType w:val="hybridMultilevel"/>
    <w:tmpl w:val="86A25386"/>
    <w:lvl w:ilvl="0" w:tplc="04090005">
      <w:start w:val="1"/>
      <w:numFmt w:val="bullet"/>
      <w:lvlText w:val=""/>
      <w:lvlJc w:val="left"/>
      <w:pPr>
        <w:ind w:left="8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9" w15:restartNumberingAfterBreak="0">
    <w:nsid w:val="198F298A"/>
    <w:multiLevelType w:val="hybridMultilevel"/>
    <w:tmpl w:val="7B167A7A"/>
    <w:lvl w:ilvl="0" w:tplc="04090005">
      <w:start w:val="1"/>
      <w:numFmt w:val="bullet"/>
      <w:lvlText w:val=""/>
      <w:lvlJc w:val="left"/>
      <w:pPr>
        <w:ind w:left="8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0" w15:restartNumberingAfterBreak="0">
    <w:nsid w:val="1A974D03"/>
    <w:multiLevelType w:val="hybridMultilevel"/>
    <w:tmpl w:val="70FA9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C3578"/>
    <w:multiLevelType w:val="hybridMultilevel"/>
    <w:tmpl w:val="2C4CD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2509BD"/>
    <w:multiLevelType w:val="hybridMultilevel"/>
    <w:tmpl w:val="8C48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5027"/>
    <w:multiLevelType w:val="hybridMultilevel"/>
    <w:tmpl w:val="648267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91135"/>
    <w:multiLevelType w:val="hybridMultilevel"/>
    <w:tmpl w:val="AF141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477CD"/>
    <w:multiLevelType w:val="hybridMultilevel"/>
    <w:tmpl w:val="816C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113FD"/>
    <w:multiLevelType w:val="hybridMultilevel"/>
    <w:tmpl w:val="2326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513EF"/>
    <w:multiLevelType w:val="hybridMultilevel"/>
    <w:tmpl w:val="F5EA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00DA0"/>
    <w:multiLevelType w:val="hybridMultilevel"/>
    <w:tmpl w:val="E6FA91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B6885"/>
    <w:multiLevelType w:val="hybridMultilevel"/>
    <w:tmpl w:val="0066A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0173CD"/>
    <w:multiLevelType w:val="hybridMultilevel"/>
    <w:tmpl w:val="8A5C5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5276B"/>
    <w:multiLevelType w:val="multilevel"/>
    <w:tmpl w:val="740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4481D"/>
    <w:multiLevelType w:val="hybridMultilevel"/>
    <w:tmpl w:val="6C00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72C18"/>
    <w:multiLevelType w:val="hybridMultilevel"/>
    <w:tmpl w:val="A0101820"/>
    <w:lvl w:ilvl="0" w:tplc="573624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8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168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20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5A2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82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0C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18D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10C26"/>
    <w:multiLevelType w:val="hybridMultilevel"/>
    <w:tmpl w:val="9F88B4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E0365"/>
    <w:multiLevelType w:val="hybridMultilevel"/>
    <w:tmpl w:val="C85C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6525B"/>
    <w:multiLevelType w:val="hybridMultilevel"/>
    <w:tmpl w:val="5DA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C0CD0"/>
    <w:multiLevelType w:val="hybridMultilevel"/>
    <w:tmpl w:val="4FFCCC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B0024"/>
    <w:multiLevelType w:val="hybridMultilevel"/>
    <w:tmpl w:val="2796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6594C"/>
    <w:multiLevelType w:val="hybridMultilevel"/>
    <w:tmpl w:val="0418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87E46"/>
    <w:multiLevelType w:val="hybridMultilevel"/>
    <w:tmpl w:val="08C003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F091C"/>
    <w:multiLevelType w:val="hybridMultilevel"/>
    <w:tmpl w:val="631EE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46EAB"/>
    <w:multiLevelType w:val="hybridMultilevel"/>
    <w:tmpl w:val="CD2CAE0E"/>
    <w:lvl w:ilvl="0" w:tplc="04090005">
      <w:start w:val="1"/>
      <w:numFmt w:val="bullet"/>
      <w:lvlText w:val=""/>
      <w:lvlJc w:val="left"/>
      <w:pPr>
        <w:ind w:left="3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3" w15:restartNumberingAfterBreak="0">
    <w:nsid w:val="66523048"/>
    <w:multiLevelType w:val="hybridMultilevel"/>
    <w:tmpl w:val="075A87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02F23"/>
    <w:multiLevelType w:val="hybridMultilevel"/>
    <w:tmpl w:val="7402FB58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E71C8"/>
    <w:multiLevelType w:val="hybridMultilevel"/>
    <w:tmpl w:val="C2607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A718F"/>
    <w:multiLevelType w:val="hybridMultilevel"/>
    <w:tmpl w:val="ABD0DE5E"/>
    <w:lvl w:ilvl="0" w:tplc="0130F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54B53"/>
    <w:multiLevelType w:val="hybridMultilevel"/>
    <w:tmpl w:val="0736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713E6"/>
    <w:multiLevelType w:val="hybridMultilevel"/>
    <w:tmpl w:val="3356B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46C56"/>
    <w:multiLevelType w:val="hybridMultilevel"/>
    <w:tmpl w:val="B4885B20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96875"/>
    <w:multiLevelType w:val="hybridMultilevel"/>
    <w:tmpl w:val="49F0D012"/>
    <w:lvl w:ilvl="0" w:tplc="040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938DA"/>
    <w:multiLevelType w:val="hybridMultilevel"/>
    <w:tmpl w:val="8B12C5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8162D"/>
    <w:multiLevelType w:val="hybridMultilevel"/>
    <w:tmpl w:val="FBE2BFDA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4"/>
  </w:num>
  <w:num w:numId="3">
    <w:abstractNumId w:val="12"/>
  </w:num>
  <w:num w:numId="4">
    <w:abstractNumId w:val="33"/>
  </w:num>
  <w:num w:numId="5">
    <w:abstractNumId w:val="23"/>
  </w:num>
  <w:num w:numId="6">
    <w:abstractNumId w:val="40"/>
  </w:num>
  <w:num w:numId="7">
    <w:abstractNumId w:val="42"/>
  </w:num>
  <w:num w:numId="8">
    <w:abstractNumId w:val="30"/>
  </w:num>
  <w:num w:numId="9">
    <w:abstractNumId w:val="3"/>
  </w:num>
  <w:num w:numId="10">
    <w:abstractNumId w:val="5"/>
  </w:num>
  <w:num w:numId="11">
    <w:abstractNumId w:val="21"/>
  </w:num>
  <w:num w:numId="12">
    <w:abstractNumId w:val="41"/>
  </w:num>
  <w:num w:numId="13">
    <w:abstractNumId w:val="27"/>
  </w:num>
  <w:num w:numId="14">
    <w:abstractNumId w:val="0"/>
  </w:num>
  <w:num w:numId="15">
    <w:abstractNumId w:val="18"/>
  </w:num>
  <w:num w:numId="16">
    <w:abstractNumId w:val="36"/>
  </w:num>
  <w:num w:numId="17">
    <w:abstractNumId w:val="13"/>
  </w:num>
  <w:num w:numId="18">
    <w:abstractNumId w:val="24"/>
  </w:num>
  <w:num w:numId="19">
    <w:abstractNumId w:val="15"/>
  </w:num>
  <w:num w:numId="20">
    <w:abstractNumId w:val="19"/>
  </w:num>
  <w:num w:numId="21">
    <w:abstractNumId w:val="29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6"/>
  </w:num>
  <w:num w:numId="25">
    <w:abstractNumId w:val="31"/>
  </w:num>
  <w:num w:numId="26">
    <w:abstractNumId w:val="38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7"/>
  </w:num>
  <w:num w:numId="30">
    <w:abstractNumId w:val="28"/>
  </w:num>
  <w:num w:numId="31">
    <w:abstractNumId w:val="22"/>
  </w:num>
  <w:num w:numId="32">
    <w:abstractNumId w:val="25"/>
  </w:num>
  <w:num w:numId="33">
    <w:abstractNumId w:val="17"/>
  </w:num>
  <w:num w:numId="34">
    <w:abstractNumId w:val="4"/>
  </w:num>
  <w:num w:numId="35">
    <w:abstractNumId w:val="35"/>
  </w:num>
  <w:num w:numId="36">
    <w:abstractNumId w:val="6"/>
  </w:num>
  <w:num w:numId="37">
    <w:abstractNumId w:val="8"/>
  </w:num>
  <w:num w:numId="38">
    <w:abstractNumId w:val="14"/>
  </w:num>
  <w:num w:numId="39">
    <w:abstractNumId w:val="26"/>
  </w:num>
  <w:num w:numId="40">
    <w:abstractNumId w:val="9"/>
  </w:num>
  <w:num w:numId="41">
    <w:abstractNumId w:val="1"/>
  </w:num>
  <w:num w:numId="42">
    <w:abstractNumId w:val="3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4AC"/>
    <w:rsid w:val="00001441"/>
    <w:rsid w:val="00001D5F"/>
    <w:rsid w:val="00007316"/>
    <w:rsid w:val="0001244E"/>
    <w:rsid w:val="00014B8F"/>
    <w:rsid w:val="00020C74"/>
    <w:rsid w:val="00021FB3"/>
    <w:rsid w:val="00023C04"/>
    <w:rsid w:val="00023D3A"/>
    <w:rsid w:val="00024A7F"/>
    <w:rsid w:val="000265E4"/>
    <w:rsid w:val="00027DDB"/>
    <w:rsid w:val="0004011E"/>
    <w:rsid w:val="000410DD"/>
    <w:rsid w:val="00041E3E"/>
    <w:rsid w:val="000456D4"/>
    <w:rsid w:val="000538DC"/>
    <w:rsid w:val="00054B9B"/>
    <w:rsid w:val="00055A5F"/>
    <w:rsid w:val="00057757"/>
    <w:rsid w:val="00057F98"/>
    <w:rsid w:val="00062760"/>
    <w:rsid w:val="000632AE"/>
    <w:rsid w:val="00063443"/>
    <w:rsid w:val="00066AF0"/>
    <w:rsid w:val="0006792E"/>
    <w:rsid w:val="000679EC"/>
    <w:rsid w:val="00070AA9"/>
    <w:rsid w:val="00075896"/>
    <w:rsid w:val="000767C6"/>
    <w:rsid w:val="000809AD"/>
    <w:rsid w:val="000812A7"/>
    <w:rsid w:val="00084EB1"/>
    <w:rsid w:val="00085FF3"/>
    <w:rsid w:val="0009250E"/>
    <w:rsid w:val="00097F54"/>
    <w:rsid w:val="000A0D07"/>
    <w:rsid w:val="000B69F2"/>
    <w:rsid w:val="000B6C4D"/>
    <w:rsid w:val="000B72FE"/>
    <w:rsid w:val="000C572F"/>
    <w:rsid w:val="000C5919"/>
    <w:rsid w:val="000D14B3"/>
    <w:rsid w:val="000D216D"/>
    <w:rsid w:val="000D5968"/>
    <w:rsid w:val="000D63C5"/>
    <w:rsid w:val="000E7017"/>
    <w:rsid w:val="000F0E4B"/>
    <w:rsid w:val="000F1577"/>
    <w:rsid w:val="000F4145"/>
    <w:rsid w:val="00100EDC"/>
    <w:rsid w:val="00101234"/>
    <w:rsid w:val="00102DC4"/>
    <w:rsid w:val="001060CA"/>
    <w:rsid w:val="001072AD"/>
    <w:rsid w:val="00115F47"/>
    <w:rsid w:val="00121D1B"/>
    <w:rsid w:val="001221B1"/>
    <w:rsid w:val="00125F96"/>
    <w:rsid w:val="00134879"/>
    <w:rsid w:val="001519B8"/>
    <w:rsid w:val="00152CA9"/>
    <w:rsid w:val="0015442D"/>
    <w:rsid w:val="00167B01"/>
    <w:rsid w:val="00172F78"/>
    <w:rsid w:val="00184873"/>
    <w:rsid w:val="0019609C"/>
    <w:rsid w:val="001A225E"/>
    <w:rsid w:val="001A39AB"/>
    <w:rsid w:val="001B0031"/>
    <w:rsid w:val="001B62E3"/>
    <w:rsid w:val="001B7F77"/>
    <w:rsid w:val="001C3552"/>
    <w:rsid w:val="001D616B"/>
    <w:rsid w:val="001D721A"/>
    <w:rsid w:val="001E0470"/>
    <w:rsid w:val="001F0467"/>
    <w:rsid w:val="001F31C6"/>
    <w:rsid w:val="001F4128"/>
    <w:rsid w:val="001F58BE"/>
    <w:rsid w:val="00201703"/>
    <w:rsid w:val="002020E2"/>
    <w:rsid w:val="0020290F"/>
    <w:rsid w:val="002108B1"/>
    <w:rsid w:val="00212204"/>
    <w:rsid w:val="0021362F"/>
    <w:rsid w:val="00215357"/>
    <w:rsid w:val="00223864"/>
    <w:rsid w:val="00223BD7"/>
    <w:rsid w:val="0022463F"/>
    <w:rsid w:val="002253F3"/>
    <w:rsid w:val="00227CFC"/>
    <w:rsid w:val="002455A1"/>
    <w:rsid w:val="0024707D"/>
    <w:rsid w:val="0025211D"/>
    <w:rsid w:val="002615F2"/>
    <w:rsid w:val="002649B7"/>
    <w:rsid w:val="00265CC1"/>
    <w:rsid w:val="00270525"/>
    <w:rsid w:val="00276257"/>
    <w:rsid w:val="00281616"/>
    <w:rsid w:val="00287438"/>
    <w:rsid w:val="00292188"/>
    <w:rsid w:val="002931B8"/>
    <w:rsid w:val="002941AB"/>
    <w:rsid w:val="0029751C"/>
    <w:rsid w:val="00297EBD"/>
    <w:rsid w:val="002A17DB"/>
    <w:rsid w:val="002A1EE8"/>
    <w:rsid w:val="002B1C85"/>
    <w:rsid w:val="002B481C"/>
    <w:rsid w:val="002C0E82"/>
    <w:rsid w:val="002C279B"/>
    <w:rsid w:val="002C3C50"/>
    <w:rsid w:val="002C7640"/>
    <w:rsid w:val="002D21D3"/>
    <w:rsid w:val="002D6353"/>
    <w:rsid w:val="002F2888"/>
    <w:rsid w:val="002F5EBE"/>
    <w:rsid w:val="003001FA"/>
    <w:rsid w:val="0030631C"/>
    <w:rsid w:val="00306E17"/>
    <w:rsid w:val="00316296"/>
    <w:rsid w:val="00316962"/>
    <w:rsid w:val="00330089"/>
    <w:rsid w:val="0033020F"/>
    <w:rsid w:val="00331906"/>
    <w:rsid w:val="003323E3"/>
    <w:rsid w:val="00333159"/>
    <w:rsid w:val="00334B88"/>
    <w:rsid w:val="00337934"/>
    <w:rsid w:val="00341ADC"/>
    <w:rsid w:val="0034747A"/>
    <w:rsid w:val="00350568"/>
    <w:rsid w:val="003517AF"/>
    <w:rsid w:val="00352557"/>
    <w:rsid w:val="003565FC"/>
    <w:rsid w:val="00357BDF"/>
    <w:rsid w:val="00361262"/>
    <w:rsid w:val="0036216D"/>
    <w:rsid w:val="0036280A"/>
    <w:rsid w:val="00367DA8"/>
    <w:rsid w:val="00371267"/>
    <w:rsid w:val="0037434C"/>
    <w:rsid w:val="003753B7"/>
    <w:rsid w:val="00375EAA"/>
    <w:rsid w:val="00394CBF"/>
    <w:rsid w:val="003A070C"/>
    <w:rsid w:val="003A20F2"/>
    <w:rsid w:val="003A558D"/>
    <w:rsid w:val="003A5BC5"/>
    <w:rsid w:val="003A70CA"/>
    <w:rsid w:val="003B2A8E"/>
    <w:rsid w:val="003B7C2E"/>
    <w:rsid w:val="003C135C"/>
    <w:rsid w:val="003C52ED"/>
    <w:rsid w:val="003C5616"/>
    <w:rsid w:val="003C7227"/>
    <w:rsid w:val="003D3AA1"/>
    <w:rsid w:val="003E7540"/>
    <w:rsid w:val="003F47AE"/>
    <w:rsid w:val="003F742C"/>
    <w:rsid w:val="0040383D"/>
    <w:rsid w:val="00404E98"/>
    <w:rsid w:val="00407B8A"/>
    <w:rsid w:val="00410C0D"/>
    <w:rsid w:val="00412E21"/>
    <w:rsid w:val="00420E55"/>
    <w:rsid w:val="00422994"/>
    <w:rsid w:val="004259B7"/>
    <w:rsid w:val="0042609A"/>
    <w:rsid w:val="00433507"/>
    <w:rsid w:val="00433DB9"/>
    <w:rsid w:val="00436731"/>
    <w:rsid w:val="00437628"/>
    <w:rsid w:val="00454D24"/>
    <w:rsid w:val="004558B2"/>
    <w:rsid w:val="00457ACC"/>
    <w:rsid w:val="004616FA"/>
    <w:rsid w:val="0046592F"/>
    <w:rsid w:val="00477A82"/>
    <w:rsid w:val="00482B2C"/>
    <w:rsid w:val="00483496"/>
    <w:rsid w:val="00486CAF"/>
    <w:rsid w:val="00487251"/>
    <w:rsid w:val="00495B7A"/>
    <w:rsid w:val="0049615D"/>
    <w:rsid w:val="004A0202"/>
    <w:rsid w:val="004A1C7E"/>
    <w:rsid w:val="004A330F"/>
    <w:rsid w:val="004A44CE"/>
    <w:rsid w:val="004B2E0C"/>
    <w:rsid w:val="004B331E"/>
    <w:rsid w:val="004C5DD6"/>
    <w:rsid w:val="004D6F0B"/>
    <w:rsid w:val="004E71C0"/>
    <w:rsid w:val="004F1282"/>
    <w:rsid w:val="004F5F81"/>
    <w:rsid w:val="00501555"/>
    <w:rsid w:val="005037CC"/>
    <w:rsid w:val="005100C9"/>
    <w:rsid w:val="0051088C"/>
    <w:rsid w:val="005121A4"/>
    <w:rsid w:val="00524218"/>
    <w:rsid w:val="00524AD2"/>
    <w:rsid w:val="00525B23"/>
    <w:rsid w:val="005364EC"/>
    <w:rsid w:val="005428EC"/>
    <w:rsid w:val="00543870"/>
    <w:rsid w:val="005452DB"/>
    <w:rsid w:val="00545D00"/>
    <w:rsid w:val="00550542"/>
    <w:rsid w:val="00551FBB"/>
    <w:rsid w:val="0056349D"/>
    <w:rsid w:val="00571547"/>
    <w:rsid w:val="00571BFC"/>
    <w:rsid w:val="00573F38"/>
    <w:rsid w:val="005746E7"/>
    <w:rsid w:val="00575A27"/>
    <w:rsid w:val="00581748"/>
    <w:rsid w:val="00581C15"/>
    <w:rsid w:val="00585B26"/>
    <w:rsid w:val="00585FC3"/>
    <w:rsid w:val="0058757D"/>
    <w:rsid w:val="00593262"/>
    <w:rsid w:val="00593E8F"/>
    <w:rsid w:val="00595539"/>
    <w:rsid w:val="005972DB"/>
    <w:rsid w:val="005A3568"/>
    <w:rsid w:val="005A48EE"/>
    <w:rsid w:val="005B374C"/>
    <w:rsid w:val="005B3C9D"/>
    <w:rsid w:val="005B3E24"/>
    <w:rsid w:val="005B6A9C"/>
    <w:rsid w:val="005C0D4F"/>
    <w:rsid w:val="005C2EDE"/>
    <w:rsid w:val="005C5297"/>
    <w:rsid w:val="005D1DE3"/>
    <w:rsid w:val="005D290C"/>
    <w:rsid w:val="005D3690"/>
    <w:rsid w:val="005D67B2"/>
    <w:rsid w:val="005E1725"/>
    <w:rsid w:val="005E6921"/>
    <w:rsid w:val="005F1289"/>
    <w:rsid w:val="005F2D07"/>
    <w:rsid w:val="005F4B97"/>
    <w:rsid w:val="005F5D7E"/>
    <w:rsid w:val="005F6868"/>
    <w:rsid w:val="005F6DEE"/>
    <w:rsid w:val="006001AD"/>
    <w:rsid w:val="0060379E"/>
    <w:rsid w:val="006107D5"/>
    <w:rsid w:val="00617C73"/>
    <w:rsid w:val="00621D84"/>
    <w:rsid w:val="006246B3"/>
    <w:rsid w:val="00626D57"/>
    <w:rsid w:val="00627B6B"/>
    <w:rsid w:val="00636378"/>
    <w:rsid w:val="006413EE"/>
    <w:rsid w:val="006429D6"/>
    <w:rsid w:val="00645EE0"/>
    <w:rsid w:val="00647508"/>
    <w:rsid w:val="00664086"/>
    <w:rsid w:val="00665683"/>
    <w:rsid w:val="00674C0E"/>
    <w:rsid w:val="00675554"/>
    <w:rsid w:val="00675645"/>
    <w:rsid w:val="0068092E"/>
    <w:rsid w:val="00682A96"/>
    <w:rsid w:val="00690853"/>
    <w:rsid w:val="00692F93"/>
    <w:rsid w:val="006A0FF9"/>
    <w:rsid w:val="006A10DF"/>
    <w:rsid w:val="006A64D0"/>
    <w:rsid w:val="006B1897"/>
    <w:rsid w:val="006C1874"/>
    <w:rsid w:val="006C6F25"/>
    <w:rsid w:val="006C7048"/>
    <w:rsid w:val="006C7441"/>
    <w:rsid w:val="006E0CC0"/>
    <w:rsid w:val="006E549E"/>
    <w:rsid w:val="006E7A92"/>
    <w:rsid w:val="006F2B67"/>
    <w:rsid w:val="00703F8A"/>
    <w:rsid w:val="00704603"/>
    <w:rsid w:val="00704FF9"/>
    <w:rsid w:val="00721F6F"/>
    <w:rsid w:val="00726AB6"/>
    <w:rsid w:val="00730DC9"/>
    <w:rsid w:val="0073530D"/>
    <w:rsid w:val="00745C66"/>
    <w:rsid w:val="007515AF"/>
    <w:rsid w:val="00756F7A"/>
    <w:rsid w:val="0076554C"/>
    <w:rsid w:val="00765B54"/>
    <w:rsid w:val="00765DF0"/>
    <w:rsid w:val="007668E5"/>
    <w:rsid w:val="0077220A"/>
    <w:rsid w:val="00776BA4"/>
    <w:rsid w:val="00785224"/>
    <w:rsid w:val="007904B2"/>
    <w:rsid w:val="007912CA"/>
    <w:rsid w:val="00791800"/>
    <w:rsid w:val="00791A64"/>
    <w:rsid w:val="007952C1"/>
    <w:rsid w:val="00795FEB"/>
    <w:rsid w:val="0079693C"/>
    <w:rsid w:val="00796CDD"/>
    <w:rsid w:val="007A273B"/>
    <w:rsid w:val="007B1FA7"/>
    <w:rsid w:val="007C36F9"/>
    <w:rsid w:val="007D2DEA"/>
    <w:rsid w:val="007E5900"/>
    <w:rsid w:val="007F3FFD"/>
    <w:rsid w:val="00804586"/>
    <w:rsid w:val="00806022"/>
    <w:rsid w:val="0080635F"/>
    <w:rsid w:val="00807A25"/>
    <w:rsid w:val="008230F9"/>
    <w:rsid w:val="0082397C"/>
    <w:rsid w:val="00826D63"/>
    <w:rsid w:val="00832BFB"/>
    <w:rsid w:val="008463D7"/>
    <w:rsid w:val="008514AC"/>
    <w:rsid w:val="00853119"/>
    <w:rsid w:val="008558D1"/>
    <w:rsid w:val="00856B38"/>
    <w:rsid w:val="008610E0"/>
    <w:rsid w:val="0086113B"/>
    <w:rsid w:val="0086218A"/>
    <w:rsid w:val="008640A8"/>
    <w:rsid w:val="00864755"/>
    <w:rsid w:val="00866840"/>
    <w:rsid w:val="00873625"/>
    <w:rsid w:val="00873B58"/>
    <w:rsid w:val="008745D8"/>
    <w:rsid w:val="0088010C"/>
    <w:rsid w:val="0088770E"/>
    <w:rsid w:val="00894DAD"/>
    <w:rsid w:val="00896F7E"/>
    <w:rsid w:val="008A0F53"/>
    <w:rsid w:val="008A38E2"/>
    <w:rsid w:val="008A5A7B"/>
    <w:rsid w:val="008A6EF6"/>
    <w:rsid w:val="008B1C60"/>
    <w:rsid w:val="008C5353"/>
    <w:rsid w:val="008D11A5"/>
    <w:rsid w:val="008D440F"/>
    <w:rsid w:val="008D4B32"/>
    <w:rsid w:val="008D51EB"/>
    <w:rsid w:val="008E66DD"/>
    <w:rsid w:val="008E67A8"/>
    <w:rsid w:val="008F31AF"/>
    <w:rsid w:val="008F75A2"/>
    <w:rsid w:val="008F7924"/>
    <w:rsid w:val="0090253A"/>
    <w:rsid w:val="00903368"/>
    <w:rsid w:val="0090374E"/>
    <w:rsid w:val="00903F9B"/>
    <w:rsid w:val="009101D2"/>
    <w:rsid w:val="00913C76"/>
    <w:rsid w:val="009156C9"/>
    <w:rsid w:val="0091656A"/>
    <w:rsid w:val="00922259"/>
    <w:rsid w:val="00923F59"/>
    <w:rsid w:val="009307F6"/>
    <w:rsid w:val="009325E9"/>
    <w:rsid w:val="009371DB"/>
    <w:rsid w:val="009403EB"/>
    <w:rsid w:val="00940959"/>
    <w:rsid w:val="00942A45"/>
    <w:rsid w:val="00946199"/>
    <w:rsid w:val="00950BBB"/>
    <w:rsid w:val="00953C2C"/>
    <w:rsid w:val="0096204F"/>
    <w:rsid w:val="0096586F"/>
    <w:rsid w:val="00971AC7"/>
    <w:rsid w:val="00972A71"/>
    <w:rsid w:val="00974306"/>
    <w:rsid w:val="009766E7"/>
    <w:rsid w:val="00986547"/>
    <w:rsid w:val="00990F07"/>
    <w:rsid w:val="0099106C"/>
    <w:rsid w:val="009A174E"/>
    <w:rsid w:val="009A380A"/>
    <w:rsid w:val="009A3904"/>
    <w:rsid w:val="009A3C4B"/>
    <w:rsid w:val="009A66C3"/>
    <w:rsid w:val="009B43F9"/>
    <w:rsid w:val="009B4956"/>
    <w:rsid w:val="009C2CE1"/>
    <w:rsid w:val="009C3129"/>
    <w:rsid w:val="009C664D"/>
    <w:rsid w:val="009D1B15"/>
    <w:rsid w:val="009D78AC"/>
    <w:rsid w:val="009F1A42"/>
    <w:rsid w:val="009F4694"/>
    <w:rsid w:val="00A0250F"/>
    <w:rsid w:val="00A0598B"/>
    <w:rsid w:val="00A164AC"/>
    <w:rsid w:val="00A16EEA"/>
    <w:rsid w:val="00A36769"/>
    <w:rsid w:val="00A36F5F"/>
    <w:rsid w:val="00A418D6"/>
    <w:rsid w:val="00A54026"/>
    <w:rsid w:val="00A5547B"/>
    <w:rsid w:val="00A57F5C"/>
    <w:rsid w:val="00A6058F"/>
    <w:rsid w:val="00A60809"/>
    <w:rsid w:val="00A741DB"/>
    <w:rsid w:val="00A7605A"/>
    <w:rsid w:val="00A8109E"/>
    <w:rsid w:val="00A81822"/>
    <w:rsid w:val="00A94F8C"/>
    <w:rsid w:val="00A96197"/>
    <w:rsid w:val="00A96DF7"/>
    <w:rsid w:val="00A97577"/>
    <w:rsid w:val="00AA4779"/>
    <w:rsid w:val="00AB1632"/>
    <w:rsid w:val="00AB42C9"/>
    <w:rsid w:val="00AC4FD9"/>
    <w:rsid w:val="00AC681E"/>
    <w:rsid w:val="00AD1AAF"/>
    <w:rsid w:val="00AD5405"/>
    <w:rsid w:val="00AD7174"/>
    <w:rsid w:val="00AE33F0"/>
    <w:rsid w:val="00AF59F6"/>
    <w:rsid w:val="00AF75E9"/>
    <w:rsid w:val="00B05828"/>
    <w:rsid w:val="00B115FA"/>
    <w:rsid w:val="00B147FD"/>
    <w:rsid w:val="00B20971"/>
    <w:rsid w:val="00B21D6B"/>
    <w:rsid w:val="00B24D91"/>
    <w:rsid w:val="00B32469"/>
    <w:rsid w:val="00B36330"/>
    <w:rsid w:val="00B50565"/>
    <w:rsid w:val="00B51141"/>
    <w:rsid w:val="00B55BDF"/>
    <w:rsid w:val="00B5718C"/>
    <w:rsid w:val="00B60892"/>
    <w:rsid w:val="00B6287A"/>
    <w:rsid w:val="00B6630B"/>
    <w:rsid w:val="00B74546"/>
    <w:rsid w:val="00B800DB"/>
    <w:rsid w:val="00B8144E"/>
    <w:rsid w:val="00B84ABB"/>
    <w:rsid w:val="00B84B93"/>
    <w:rsid w:val="00B91546"/>
    <w:rsid w:val="00BA1199"/>
    <w:rsid w:val="00BA798B"/>
    <w:rsid w:val="00BB01F2"/>
    <w:rsid w:val="00BB0F23"/>
    <w:rsid w:val="00BB1385"/>
    <w:rsid w:val="00BC0EA3"/>
    <w:rsid w:val="00BC3C61"/>
    <w:rsid w:val="00BC42C2"/>
    <w:rsid w:val="00BE0CDC"/>
    <w:rsid w:val="00BE13F2"/>
    <w:rsid w:val="00BE25F1"/>
    <w:rsid w:val="00BE317D"/>
    <w:rsid w:val="00BF0EF6"/>
    <w:rsid w:val="00BF3815"/>
    <w:rsid w:val="00C1511B"/>
    <w:rsid w:val="00C21420"/>
    <w:rsid w:val="00C33893"/>
    <w:rsid w:val="00C3543D"/>
    <w:rsid w:val="00C36378"/>
    <w:rsid w:val="00C40446"/>
    <w:rsid w:val="00C40BB2"/>
    <w:rsid w:val="00C41D0C"/>
    <w:rsid w:val="00C42975"/>
    <w:rsid w:val="00C51889"/>
    <w:rsid w:val="00C525BB"/>
    <w:rsid w:val="00C5286F"/>
    <w:rsid w:val="00C6072C"/>
    <w:rsid w:val="00C60D61"/>
    <w:rsid w:val="00C62E80"/>
    <w:rsid w:val="00C639D4"/>
    <w:rsid w:val="00C7161F"/>
    <w:rsid w:val="00C83AE1"/>
    <w:rsid w:val="00C849BD"/>
    <w:rsid w:val="00C90973"/>
    <w:rsid w:val="00C923B1"/>
    <w:rsid w:val="00C94DA7"/>
    <w:rsid w:val="00C9728C"/>
    <w:rsid w:val="00CA253F"/>
    <w:rsid w:val="00CA737F"/>
    <w:rsid w:val="00CA7440"/>
    <w:rsid w:val="00CB1A7D"/>
    <w:rsid w:val="00CB47EB"/>
    <w:rsid w:val="00CB4C7B"/>
    <w:rsid w:val="00CB561B"/>
    <w:rsid w:val="00CC44C2"/>
    <w:rsid w:val="00CC4E6F"/>
    <w:rsid w:val="00CC5793"/>
    <w:rsid w:val="00CC763A"/>
    <w:rsid w:val="00CD2458"/>
    <w:rsid w:val="00CD25FD"/>
    <w:rsid w:val="00CD53BE"/>
    <w:rsid w:val="00CE07E5"/>
    <w:rsid w:val="00CE2285"/>
    <w:rsid w:val="00CF3E65"/>
    <w:rsid w:val="00D00995"/>
    <w:rsid w:val="00D01250"/>
    <w:rsid w:val="00D03CAF"/>
    <w:rsid w:val="00D07A3F"/>
    <w:rsid w:val="00D12517"/>
    <w:rsid w:val="00D12EA7"/>
    <w:rsid w:val="00D25AB1"/>
    <w:rsid w:val="00D26631"/>
    <w:rsid w:val="00D32DA4"/>
    <w:rsid w:val="00D3624C"/>
    <w:rsid w:val="00D4100D"/>
    <w:rsid w:val="00D47D3E"/>
    <w:rsid w:val="00D511CB"/>
    <w:rsid w:val="00D51B31"/>
    <w:rsid w:val="00D55E61"/>
    <w:rsid w:val="00D57A8C"/>
    <w:rsid w:val="00D6030E"/>
    <w:rsid w:val="00D63175"/>
    <w:rsid w:val="00D63B0C"/>
    <w:rsid w:val="00D64099"/>
    <w:rsid w:val="00D67D00"/>
    <w:rsid w:val="00D852EC"/>
    <w:rsid w:val="00DA08C1"/>
    <w:rsid w:val="00DB08C6"/>
    <w:rsid w:val="00DB399B"/>
    <w:rsid w:val="00DB5B0F"/>
    <w:rsid w:val="00DC14B9"/>
    <w:rsid w:val="00DC2BD7"/>
    <w:rsid w:val="00DC2D60"/>
    <w:rsid w:val="00DC31EA"/>
    <w:rsid w:val="00DC3D00"/>
    <w:rsid w:val="00DD25F4"/>
    <w:rsid w:val="00DD2BB3"/>
    <w:rsid w:val="00DD3A8F"/>
    <w:rsid w:val="00DD5218"/>
    <w:rsid w:val="00DD60F4"/>
    <w:rsid w:val="00DE2789"/>
    <w:rsid w:val="00DE42DD"/>
    <w:rsid w:val="00DE4F85"/>
    <w:rsid w:val="00DF0029"/>
    <w:rsid w:val="00DF22BF"/>
    <w:rsid w:val="00DF3906"/>
    <w:rsid w:val="00DF3995"/>
    <w:rsid w:val="00DF41E8"/>
    <w:rsid w:val="00E009FD"/>
    <w:rsid w:val="00E0302C"/>
    <w:rsid w:val="00E04677"/>
    <w:rsid w:val="00E10499"/>
    <w:rsid w:val="00E108E5"/>
    <w:rsid w:val="00E14BD3"/>
    <w:rsid w:val="00E341E9"/>
    <w:rsid w:val="00E34479"/>
    <w:rsid w:val="00E34D17"/>
    <w:rsid w:val="00E3641D"/>
    <w:rsid w:val="00E45ECC"/>
    <w:rsid w:val="00E55BAE"/>
    <w:rsid w:val="00E568BE"/>
    <w:rsid w:val="00E5764D"/>
    <w:rsid w:val="00E605CE"/>
    <w:rsid w:val="00E63823"/>
    <w:rsid w:val="00E70FEB"/>
    <w:rsid w:val="00E730C2"/>
    <w:rsid w:val="00E73542"/>
    <w:rsid w:val="00E73A4C"/>
    <w:rsid w:val="00E757B0"/>
    <w:rsid w:val="00E7593D"/>
    <w:rsid w:val="00E75F9D"/>
    <w:rsid w:val="00E83F86"/>
    <w:rsid w:val="00E845E0"/>
    <w:rsid w:val="00E86BA4"/>
    <w:rsid w:val="00E877B6"/>
    <w:rsid w:val="00E94011"/>
    <w:rsid w:val="00EA01EB"/>
    <w:rsid w:val="00EB0C75"/>
    <w:rsid w:val="00EB2FAE"/>
    <w:rsid w:val="00EB58D4"/>
    <w:rsid w:val="00EB62FF"/>
    <w:rsid w:val="00EC4F64"/>
    <w:rsid w:val="00ED1C32"/>
    <w:rsid w:val="00ED3A72"/>
    <w:rsid w:val="00ED422A"/>
    <w:rsid w:val="00ED44EC"/>
    <w:rsid w:val="00EE1E95"/>
    <w:rsid w:val="00EE2317"/>
    <w:rsid w:val="00EE5074"/>
    <w:rsid w:val="00EE55B0"/>
    <w:rsid w:val="00EF27FF"/>
    <w:rsid w:val="00EF2A4A"/>
    <w:rsid w:val="00EF3E29"/>
    <w:rsid w:val="00EF4A04"/>
    <w:rsid w:val="00F0032E"/>
    <w:rsid w:val="00F00FF5"/>
    <w:rsid w:val="00F036F7"/>
    <w:rsid w:val="00F15B6C"/>
    <w:rsid w:val="00F20184"/>
    <w:rsid w:val="00F26196"/>
    <w:rsid w:val="00F34AA1"/>
    <w:rsid w:val="00F35959"/>
    <w:rsid w:val="00F4226D"/>
    <w:rsid w:val="00F428CD"/>
    <w:rsid w:val="00F42CC8"/>
    <w:rsid w:val="00F442EF"/>
    <w:rsid w:val="00F51654"/>
    <w:rsid w:val="00F560A8"/>
    <w:rsid w:val="00F64A13"/>
    <w:rsid w:val="00F6694D"/>
    <w:rsid w:val="00F710CC"/>
    <w:rsid w:val="00F95BE5"/>
    <w:rsid w:val="00FA683F"/>
    <w:rsid w:val="00FB45BF"/>
    <w:rsid w:val="00FB5A3E"/>
    <w:rsid w:val="00FB5D43"/>
    <w:rsid w:val="00FC0CCB"/>
    <w:rsid w:val="00FC2B32"/>
    <w:rsid w:val="00FC4046"/>
    <w:rsid w:val="00FC468B"/>
    <w:rsid w:val="00FC5FAD"/>
    <w:rsid w:val="00FD18F7"/>
    <w:rsid w:val="00FD48E0"/>
    <w:rsid w:val="00FD662C"/>
    <w:rsid w:val="00FD7A93"/>
    <w:rsid w:val="00FE0640"/>
    <w:rsid w:val="00FF0422"/>
    <w:rsid w:val="00FF3C1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0A2EB"/>
  <w15:docId w15:val="{928F2A45-0DC2-4D7D-B6C3-18653948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422"/>
    <w:rPr>
      <w:sz w:val="24"/>
      <w:szCs w:val="24"/>
    </w:rPr>
  </w:style>
  <w:style w:type="paragraph" w:styleId="Heading1">
    <w:name w:val="heading 1"/>
    <w:basedOn w:val="Normal"/>
    <w:next w:val="ORISBodyText"/>
    <w:qFormat/>
    <w:rsid w:val="00EB62FF"/>
    <w:pPr>
      <w:keepNext/>
      <w:keepLines/>
      <w:tabs>
        <w:tab w:val="num" w:pos="792"/>
      </w:tabs>
      <w:spacing w:before="480" w:line="276" w:lineRule="auto"/>
      <w:ind w:left="792" w:hanging="432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EB62FF"/>
    <w:pPr>
      <w:keepNext/>
      <w:keepLines/>
      <w:tabs>
        <w:tab w:val="num" w:pos="576"/>
      </w:tabs>
      <w:spacing w:before="200" w:line="276" w:lineRule="auto"/>
      <w:ind w:left="576" w:hanging="576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300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EB62FF"/>
    <w:pPr>
      <w:keepNext/>
      <w:keepLines/>
      <w:tabs>
        <w:tab w:val="num" w:pos="864"/>
      </w:tabs>
      <w:spacing w:before="200" w:line="276" w:lineRule="auto"/>
      <w:ind w:left="864" w:hanging="864"/>
      <w:outlineLvl w:val="3"/>
    </w:pPr>
    <w:rPr>
      <w:rFonts w:ascii="Cambria" w:eastAsia="Calibri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qFormat/>
    <w:rsid w:val="00EB62F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B62F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B62FF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EB62FF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B62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rsid w:val="00AB1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115F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5F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5F47"/>
  </w:style>
  <w:style w:type="paragraph" w:styleId="TOC1">
    <w:name w:val="toc 1"/>
    <w:basedOn w:val="Normal"/>
    <w:next w:val="Normal"/>
    <w:autoRedefine/>
    <w:rsid w:val="00EB62FF"/>
    <w:pPr>
      <w:tabs>
        <w:tab w:val="left" w:pos="576"/>
        <w:tab w:val="right" w:leader="dot" w:pos="9360"/>
      </w:tabs>
      <w:spacing w:before="60" w:after="60"/>
      <w:ind w:left="144"/>
    </w:pPr>
    <w:rPr>
      <w:rFonts w:ascii="Calibri" w:hAnsi="Calibri"/>
      <w:b/>
      <w:sz w:val="20"/>
    </w:rPr>
  </w:style>
  <w:style w:type="paragraph" w:styleId="TOC2">
    <w:name w:val="toc 2"/>
    <w:basedOn w:val="Normal"/>
    <w:next w:val="Normal"/>
    <w:autoRedefine/>
    <w:rsid w:val="00EB62FF"/>
    <w:pPr>
      <w:tabs>
        <w:tab w:val="left" w:pos="960"/>
        <w:tab w:val="right" w:leader="dot" w:pos="9360"/>
      </w:tabs>
      <w:spacing w:before="60" w:after="60"/>
      <w:ind w:left="288"/>
    </w:pPr>
    <w:rPr>
      <w:rFonts w:ascii="Calibri" w:hAnsi="Calibri"/>
      <w:sz w:val="20"/>
    </w:rPr>
  </w:style>
  <w:style w:type="character" w:styleId="Hyperlink">
    <w:name w:val="Hyperlink"/>
    <w:basedOn w:val="DefaultParagraphFont"/>
    <w:rsid w:val="00EB62FF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EB62FF"/>
    <w:pPr>
      <w:spacing w:before="60" w:after="60"/>
      <w:ind w:left="432"/>
    </w:pPr>
    <w:rPr>
      <w:rFonts w:ascii="Calibri" w:hAnsi="Calibri"/>
      <w:sz w:val="20"/>
    </w:rPr>
  </w:style>
  <w:style w:type="paragraph" w:styleId="BodyText">
    <w:name w:val="Body Text"/>
    <w:basedOn w:val="Normal"/>
    <w:rsid w:val="00EB62FF"/>
    <w:pPr>
      <w:spacing w:after="120"/>
    </w:pPr>
  </w:style>
  <w:style w:type="paragraph" w:customStyle="1" w:styleId="ORISTitle1">
    <w:name w:val="ORIS Title 1"/>
    <w:basedOn w:val="Title"/>
    <w:next w:val="ORISTitle2"/>
    <w:link w:val="ORISTitle1Char"/>
    <w:qFormat/>
    <w:rsid w:val="00EB62FF"/>
    <w:pPr>
      <w:pBdr>
        <w:bottom w:val="single" w:sz="8" w:space="4" w:color="4F81BD"/>
      </w:pBdr>
      <w:spacing w:before="2040" w:after="0"/>
      <w:contextualSpacing/>
      <w:jc w:val="left"/>
      <w:outlineLvl w:val="9"/>
    </w:pPr>
    <w:rPr>
      <w:rFonts w:ascii="Cambria" w:eastAsia="Calibri" w:hAnsi="Cambria" w:cs="Times New Roman"/>
      <w:b w:val="0"/>
      <w:bCs w:val="0"/>
      <w:color w:val="17365D"/>
      <w:spacing w:val="5"/>
      <w:sz w:val="48"/>
      <w:szCs w:val="52"/>
    </w:rPr>
  </w:style>
  <w:style w:type="paragraph" w:customStyle="1" w:styleId="ORISTitle2">
    <w:name w:val="ORIS Title 2"/>
    <w:basedOn w:val="ORISTitle1"/>
    <w:link w:val="ORISTitle2Char"/>
    <w:qFormat/>
    <w:rsid w:val="00EB62FF"/>
    <w:pPr>
      <w:spacing w:before="0"/>
    </w:pPr>
    <w:rPr>
      <w:sz w:val="32"/>
      <w:szCs w:val="32"/>
    </w:rPr>
  </w:style>
  <w:style w:type="paragraph" w:customStyle="1" w:styleId="ORISSubtitle">
    <w:name w:val="ORIS Subtitle"/>
    <w:basedOn w:val="Normal"/>
    <w:link w:val="ORISSubtitleChar"/>
    <w:qFormat/>
    <w:rsid w:val="00EB62FF"/>
    <w:rPr>
      <w:rFonts w:ascii="Cambria" w:hAnsi="Cambria"/>
      <w:sz w:val="28"/>
      <w:szCs w:val="28"/>
    </w:rPr>
  </w:style>
  <w:style w:type="character" w:customStyle="1" w:styleId="ORISTitle1Char">
    <w:name w:val="ORIS Title 1 Char"/>
    <w:basedOn w:val="DefaultParagraphFont"/>
    <w:link w:val="ORISTitle1"/>
    <w:rsid w:val="00EB62FF"/>
    <w:rPr>
      <w:rFonts w:ascii="Cambria" w:eastAsia="Calibri" w:hAnsi="Cambria"/>
      <w:color w:val="17365D"/>
      <w:spacing w:val="5"/>
      <w:kern w:val="28"/>
      <w:sz w:val="48"/>
      <w:szCs w:val="52"/>
      <w:lang w:val="en-US" w:eastAsia="en-US" w:bidi="ar-SA"/>
    </w:rPr>
  </w:style>
  <w:style w:type="character" w:customStyle="1" w:styleId="ORISTitle2Char">
    <w:name w:val="ORIS Title 2 Char"/>
    <w:basedOn w:val="ORISTitle1Char"/>
    <w:link w:val="ORISTitle2"/>
    <w:rsid w:val="00EB62FF"/>
    <w:rPr>
      <w:rFonts w:ascii="Cambria" w:eastAsia="Calibri" w:hAnsi="Cambria"/>
      <w:color w:val="17365D"/>
      <w:spacing w:val="5"/>
      <w:kern w:val="28"/>
      <w:sz w:val="32"/>
      <w:szCs w:val="32"/>
      <w:lang w:val="en-US" w:eastAsia="en-US" w:bidi="ar-SA"/>
    </w:rPr>
  </w:style>
  <w:style w:type="paragraph" w:customStyle="1" w:styleId="ORISHeading1">
    <w:name w:val="ORIS Heading 1"/>
    <w:basedOn w:val="Normal"/>
    <w:next w:val="ORISBodyText"/>
    <w:link w:val="ORISHeading1Char"/>
    <w:qFormat/>
    <w:rsid w:val="00EB62FF"/>
    <w:pPr>
      <w:keepNext/>
      <w:keepLines/>
      <w:pageBreakBefore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ORISSubtitleChar">
    <w:name w:val="ORIS Subtitle Char"/>
    <w:basedOn w:val="DefaultParagraphFont"/>
    <w:link w:val="ORISSubtitle"/>
    <w:rsid w:val="00EB62FF"/>
    <w:rPr>
      <w:rFonts w:ascii="Cambria" w:hAnsi="Cambria"/>
      <w:sz w:val="28"/>
      <w:szCs w:val="28"/>
      <w:lang w:val="en-US" w:eastAsia="en-US" w:bidi="ar-SA"/>
    </w:rPr>
  </w:style>
  <w:style w:type="paragraph" w:customStyle="1" w:styleId="ORISBodyText">
    <w:name w:val="ORIS Body Text"/>
    <w:basedOn w:val="Normal"/>
    <w:link w:val="ORISBodyTextChar"/>
    <w:qFormat/>
    <w:rsid w:val="00EB62FF"/>
    <w:pPr>
      <w:spacing w:after="120"/>
    </w:pPr>
    <w:rPr>
      <w:rFonts w:ascii="Calibri" w:hAnsi="Calibri" w:cs="Calibri"/>
      <w:sz w:val="22"/>
      <w:szCs w:val="22"/>
    </w:rPr>
  </w:style>
  <w:style w:type="character" w:customStyle="1" w:styleId="ORISHeading1Char">
    <w:name w:val="ORIS Heading 1 Char"/>
    <w:basedOn w:val="DefaultParagraphFont"/>
    <w:link w:val="ORISHeading1"/>
    <w:rsid w:val="00EB62FF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paragraph" w:customStyle="1" w:styleId="ORISHeading2">
    <w:name w:val="ORIS Heading 2"/>
    <w:basedOn w:val="Heading2"/>
    <w:next w:val="ORISBodyText"/>
    <w:link w:val="ORISHeading2Char"/>
    <w:qFormat/>
    <w:rsid w:val="00EB62FF"/>
    <w:pPr>
      <w:tabs>
        <w:tab w:val="clear" w:pos="576"/>
      </w:tabs>
      <w:spacing w:after="120" w:line="240" w:lineRule="auto"/>
    </w:pPr>
  </w:style>
  <w:style w:type="character" w:customStyle="1" w:styleId="ORISBodyTextChar">
    <w:name w:val="ORIS Body Text Char"/>
    <w:basedOn w:val="DefaultParagraphFont"/>
    <w:link w:val="ORISBodyText"/>
    <w:rsid w:val="00EB62FF"/>
    <w:rPr>
      <w:rFonts w:ascii="Calibri" w:hAnsi="Calibri" w:cs="Calibri"/>
      <w:sz w:val="22"/>
      <w:szCs w:val="22"/>
      <w:lang w:val="en-US" w:eastAsia="en-US" w:bidi="ar-SA"/>
    </w:rPr>
  </w:style>
  <w:style w:type="paragraph" w:customStyle="1" w:styleId="ORISTableHeader">
    <w:name w:val="ORIS Table Header"/>
    <w:basedOn w:val="ORISBodyText"/>
    <w:rsid w:val="00EB62FF"/>
    <w:pPr>
      <w:spacing w:before="60" w:after="60"/>
      <w:jc w:val="center"/>
    </w:pPr>
    <w:rPr>
      <w:b/>
      <w:color w:val="FFFFFF"/>
      <w:sz w:val="20"/>
      <w:szCs w:val="20"/>
    </w:rPr>
  </w:style>
  <w:style w:type="character" w:customStyle="1" w:styleId="ORISHeading2Char">
    <w:name w:val="ORIS Heading 2 Char"/>
    <w:basedOn w:val="DefaultParagraphFont"/>
    <w:link w:val="ORISHeading2"/>
    <w:rsid w:val="00EB62FF"/>
    <w:rPr>
      <w:rFonts w:ascii="Cambria" w:eastAsia="Calibri" w:hAnsi="Cambria"/>
      <w:b/>
      <w:bCs/>
      <w:color w:val="4F81BD"/>
      <w:sz w:val="26"/>
      <w:szCs w:val="26"/>
      <w:lang w:val="en-US" w:eastAsia="en-US" w:bidi="ar-SA"/>
    </w:rPr>
  </w:style>
  <w:style w:type="paragraph" w:customStyle="1" w:styleId="ORISTableText">
    <w:name w:val="ORIS Table Text"/>
    <w:basedOn w:val="ORISBodyText"/>
    <w:rsid w:val="00EB62FF"/>
    <w:pPr>
      <w:spacing w:after="0"/>
    </w:pPr>
    <w:rPr>
      <w:sz w:val="20"/>
      <w:szCs w:val="20"/>
    </w:rPr>
  </w:style>
  <w:style w:type="paragraph" w:customStyle="1" w:styleId="ORISSectionHeading1">
    <w:name w:val="ORIS Section Heading 1"/>
    <w:basedOn w:val="Heading1"/>
    <w:next w:val="ORISBodyText"/>
    <w:link w:val="ORISSectionHeading1Char"/>
    <w:qFormat/>
    <w:rsid w:val="00EB62FF"/>
    <w:pPr>
      <w:pageBreakBefore/>
      <w:spacing w:line="240" w:lineRule="auto"/>
    </w:pPr>
  </w:style>
  <w:style w:type="paragraph" w:customStyle="1" w:styleId="ORISSectionHeading2">
    <w:name w:val="ORIS Section Heading 2"/>
    <w:basedOn w:val="Heading2"/>
    <w:next w:val="ORISBodyText"/>
    <w:link w:val="ORISSectionHeading2Char"/>
    <w:qFormat/>
    <w:rsid w:val="00EB62FF"/>
    <w:pPr>
      <w:numPr>
        <w:ilvl w:val="1"/>
      </w:numPr>
      <w:tabs>
        <w:tab w:val="num" w:pos="576"/>
      </w:tabs>
      <w:ind w:left="576" w:hanging="576"/>
    </w:pPr>
  </w:style>
  <w:style w:type="character" w:customStyle="1" w:styleId="ORISSectionHeading1Char">
    <w:name w:val="ORIS Section Heading 1 Char"/>
    <w:basedOn w:val="DefaultParagraphFont"/>
    <w:link w:val="ORISSectionHeading1"/>
    <w:rsid w:val="00EB62FF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paragraph" w:customStyle="1" w:styleId="ORISSectionHeading3">
    <w:name w:val="ORIS Section Heading 3"/>
    <w:basedOn w:val="Heading3"/>
    <w:next w:val="ORISBodyText"/>
    <w:link w:val="ORISSectionHeading3Char"/>
    <w:qFormat/>
    <w:rsid w:val="00EB62FF"/>
    <w:pPr>
      <w:keepNext/>
      <w:numPr>
        <w:ilvl w:val="2"/>
      </w:numPr>
      <w:tabs>
        <w:tab w:val="num" w:pos="720"/>
      </w:tabs>
      <w:spacing w:before="240" w:beforeAutospacing="0" w:after="60" w:afterAutospacing="0"/>
      <w:ind w:left="720" w:hanging="720"/>
    </w:pPr>
    <w:rPr>
      <w:rFonts w:ascii="Arial" w:hAnsi="Arial" w:cs="Arial"/>
      <w:sz w:val="22"/>
      <w:szCs w:val="26"/>
    </w:rPr>
  </w:style>
  <w:style w:type="character" w:customStyle="1" w:styleId="ORISSectionHeading2Char">
    <w:name w:val="ORIS Section Heading 2 Char"/>
    <w:basedOn w:val="DefaultParagraphFont"/>
    <w:link w:val="ORISSectionHeading2"/>
    <w:rsid w:val="00EB62FF"/>
    <w:rPr>
      <w:rFonts w:ascii="Cambria" w:eastAsia="Calibri" w:hAnsi="Cambria"/>
      <w:b/>
      <w:bCs/>
      <w:color w:val="4F81BD"/>
      <w:sz w:val="26"/>
      <w:szCs w:val="26"/>
      <w:lang w:val="en-US" w:eastAsia="en-US" w:bidi="ar-SA"/>
    </w:rPr>
  </w:style>
  <w:style w:type="character" w:customStyle="1" w:styleId="ORISSectionHeading3Char">
    <w:name w:val="ORIS Section Heading 3 Char"/>
    <w:basedOn w:val="DefaultParagraphFont"/>
    <w:link w:val="ORISSectionHeading3"/>
    <w:rsid w:val="00EB62FF"/>
    <w:rPr>
      <w:rFonts w:ascii="Arial" w:hAnsi="Arial" w:cs="Arial"/>
      <w:b/>
      <w:bCs/>
      <w:sz w:val="22"/>
      <w:szCs w:val="26"/>
      <w:lang w:val="en-US" w:eastAsia="en-US" w:bidi="ar-SA"/>
    </w:rPr>
  </w:style>
  <w:style w:type="paragraph" w:styleId="Title">
    <w:name w:val="Title"/>
    <w:basedOn w:val="Normal"/>
    <w:qFormat/>
    <w:rsid w:val="00EB62F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semiHidden/>
    <w:rsid w:val="00DC31EA"/>
    <w:rPr>
      <w:sz w:val="16"/>
      <w:szCs w:val="16"/>
    </w:rPr>
  </w:style>
  <w:style w:type="paragraph" w:styleId="CommentText">
    <w:name w:val="annotation text"/>
    <w:basedOn w:val="Normal"/>
    <w:semiHidden/>
    <w:rsid w:val="00DC31EA"/>
    <w:rPr>
      <w:rFonts w:ascii="Calibri" w:hAnsi="Calibri" w:cs="Time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C31E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21D3"/>
    <w:rPr>
      <w:b/>
      <w:bCs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55054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27B6B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627B6B"/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6EF6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chart" Target="charts/chart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0.xml"/><Relationship Id="rId10" Type="http://schemas.openxmlformats.org/officeDocument/2006/relationships/footer" Target="footer2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3.xml"/><Relationship Id="rId22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.oris.washington.edu\shared-or\Administrative%20Coordinator\iSTAR%20Metrics\Metrics%202020%2012%20FY20Q2\iSTAR%20Metrics%20All%20Charts%20FY20Q2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.oris.washington.edu\shared-or\Administrative%20Coordinator\iSTAR%20Metrics\Metrics%202020%2005%20FY20Q3\iSTAR%20Metrics%20All%20Charts%20FY20Q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.oris.washington.edu\shared-or\Administrative%20Coordinator\iSTAR%20Metrics\Metrics%202020%2012%20FY20Q2\iSTAR%20Metrics%20All%20Charts%20FY20Q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.oris.washington.edu\shared-or\Administrative%20Coordinator\iSTAR%20Metrics\Metrics%202020%2012%20FY20Q2\iSTAR%20Metrics%20All%20Charts%20FY20Q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.oris.washington.edu\shared-or\Administrative%20Coordinator\iSTAR%20Metrics\Metrics%202020%2012%20FY20Q2\iSTAR%20Metrics%20All%20Charts%20FY20Q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.oris.washington.edu\shared-or\Administrative%20Coordinator\iSTAR%20Metrics\Metrics%202020%2012%20FY20Q2\iSTAR%20Metrics%20All%20Charts%20FY20Q2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ILE.oris.washington.edu\shared-or\Administrative%20Coordinator\iSTAR%20Metrics\Metrics%202020%2005%20FY20Q3\Bridge%20all%20cycles%20as%20of%206.25.2020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refice\AppData\Local\Microsoft\Windows\INetCache\Content.Outlook\GZQZEXA5\iStar%20Reports%20July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refice\AppData\Local\Microsoft\Windows\INetCache\Content.Outlook\Q0WV8DTN\Bridge%20all%20cycles%20iStar%20March%2011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.oris.washington.edu\shared-or\Administrative%20Coordinator\iSTAR%20Metrics\Metrics%202020%2005%20FY20Q3\iSTAR%20Metrics%20All%20Charts%20FY20Q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.oris.washington.edu\shared-or\Administrative%20Coordinator\iSTAR%20Metrics\Metrics%202020%2012%20FY20Q2\iSTAR%20Metrics%20All%20Charts%20FY20Q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en-US" b="0"/>
              <a:t>RRF AWARDS BY SUBCOMMITTEE, FALL 2020</a:t>
            </a:r>
          </a:p>
        </c:rich>
      </c:tx>
      <c:layout>
        <c:manualLayout>
          <c:xMode val="edge"/>
          <c:yMode val="edge"/>
          <c:x val="0.29379387402777862"/>
          <c:y val="5.1981663851907089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0493709515718631"/>
          <c:y val="0.14199763287762748"/>
          <c:w val="0.4691774999977027"/>
          <c:h val="0.81993891089888016"/>
        </c:manualLayout>
      </c:layout>
      <c:pieChart>
        <c:varyColors val="1"/>
        <c:ser>
          <c:idx val="0"/>
          <c:order val="0"/>
          <c:tx>
            <c:strRef>
              <c:f>RRF!$A$1</c:f>
              <c:strCache>
                <c:ptCount val="1"/>
                <c:pt idx="0">
                  <c:v>RRF Awards by Subcommittee, Fall 2020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1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bg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0084-48E4-9298-B5D9F4FB382D}"/>
              </c:ext>
            </c:extLst>
          </c:dPt>
          <c:dLbls>
            <c:dLbl>
              <c:idx val="0"/>
              <c:layout>
                <c:manualLayout>
                  <c:x val="6.401620140642726E-3"/>
                  <c:y val="5.812569150657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Arts, Humanities</a:t>
                    </a:r>
                    <a:r>
                      <a:rPr lang="en-US" baseline="0"/>
                      <a:t> and Social Sciences; </a:t>
                    </a:r>
                    <a:r>
                      <a:rPr lang="en-US"/>
                      <a:t> </a:t>
                    </a:r>
                  </a:p>
                  <a:p>
                    <a:r>
                      <a:rPr lang="en-US" b="1"/>
                      <a:t>33.5% ($335K)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084-48E4-9298-B5D9F4FB382D}"/>
                </c:ext>
              </c:extLst>
            </c:dLbl>
            <c:dLbl>
              <c:idx val="1"/>
              <c:layout>
                <c:manualLayout>
                  <c:x val="-0.14833547493141444"/>
                  <c:y val="-4.41936230096001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Basic Biological  and Biomedical</a:t>
                    </a:r>
                    <a:r>
                      <a:rPr lang="en-US" baseline="0"/>
                      <a:t> </a:t>
                    </a:r>
                    <a:r>
                      <a:rPr lang="en-US"/>
                      <a:t>Sciences;  </a:t>
                    </a:r>
                    <a:r>
                      <a:rPr lang="en-US" b="1"/>
                      <a:t>46.6% ($467K)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084-48E4-9298-B5D9F4FB382D}"/>
                </c:ext>
              </c:extLst>
            </c:dLbl>
            <c:dLbl>
              <c:idx val="2"/>
              <c:layout>
                <c:manualLayout>
                  <c:x val="-4.1244184466459173E-2"/>
                  <c:y val="0.1510919232031927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Physical Sciences and Engineering ; </a:t>
                    </a:r>
                  </a:p>
                  <a:p>
                    <a:r>
                      <a:rPr lang="en-US" b="1"/>
                      <a:t>19.9% ($199K)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084-48E4-9298-B5D9F4FB382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RRF!$A$2:$B$4</c:f>
              <c:strCache>
                <c:ptCount val="3"/>
                <c:pt idx="0">
                  <c:v>Arts 35.5% ($335K)</c:v>
                </c:pt>
                <c:pt idx="1">
                  <c:v>Biological 46.6% ($467K)</c:v>
                </c:pt>
                <c:pt idx="2">
                  <c:v>Science 19.9% ($199K)</c:v>
                </c:pt>
              </c:strCache>
            </c:strRef>
          </c:cat>
          <c:val>
            <c:numRef>
              <c:f>RRF!$C$2:$C$4</c:f>
              <c:numCache>
                <c:formatCode>0.0%</c:formatCode>
                <c:ptCount val="3"/>
                <c:pt idx="0">
                  <c:v>0.33500000000000002</c:v>
                </c:pt>
                <c:pt idx="1">
                  <c:v>0.44600000000000001</c:v>
                </c:pt>
                <c:pt idx="2">
                  <c:v>0.19900000000000001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84-48E4-9298-B5D9F4FB38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CORE</a:t>
            </a:r>
            <a:r>
              <a:rPr lang="en-US" sz="1100" baseline="0"/>
              <a:t> Trainings - Last 13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1824039706208386E-2"/>
          <c:y val="8.4344941956882261E-2"/>
          <c:w val="0.92819412559806047"/>
          <c:h val="0.762841174703908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CORE!$G$5</c:f>
              <c:strCache>
                <c:ptCount val="1"/>
                <c:pt idx="0">
                  <c:v>Classroom Trainings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CORE!$F$57:$F$69</c:f>
              <c:strCache>
                <c:ptCount val="13"/>
                <c:pt idx="0">
                  <c:v>3/19</c:v>
                </c:pt>
                <c:pt idx="1">
                  <c:v>4/19</c:v>
                </c:pt>
                <c:pt idx="2">
                  <c:v>5/19</c:v>
                </c:pt>
                <c:pt idx="3">
                  <c:v>6/19</c:v>
                </c:pt>
                <c:pt idx="4">
                  <c:v>7/18</c:v>
                </c:pt>
                <c:pt idx="5">
                  <c:v>8/19</c:v>
                </c:pt>
                <c:pt idx="6">
                  <c:v>9/19</c:v>
                </c:pt>
                <c:pt idx="7">
                  <c:v>10/19</c:v>
                </c:pt>
                <c:pt idx="8">
                  <c:v>11/19</c:v>
                </c:pt>
                <c:pt idx="9">
                  <c:v>12/19</c:v>
                </c:pt>
                <c:pt idx="10">
                  <c:v>1/20</c:v>
                </c:pt>
                <c:pt idx="11">
                  <c:v>2/20</c:v>
                </c:pt>
                <c:pt idx="12">
                  <c:v>3/20</c:v>
                </c:pt>
              </c:strCache>
            </c:strRef>
          </c:cat>
          <c:val>
            <c:numRef>
              <c:f>CORE!$G$57:$G$69</c:f>
              <c:numCache>
                <c:formatCode>General</c:formatCode>
                <c:ptCount val="13"/>
                <c:pt idx="0">
                  <c:v>4</c:v>
                </c:pt>
                <c:pt idx="1">
                  <c:v>8</c:v>
                </c:pt>
                <c:pt idx="2">
                  <c:v>7</c:v>
                </c:pt>
                <c:pt idx="3">
                  <c:v>4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  <c:pt idx="7">
                  <c:v>8</c:v>
                </c:pt>
                <c:pt idx="8">
                  <c:v>2</c:v>
                </c:pt>
                <c:pt idx="9">
                  <c:v>2</c:v>
                </c:pt>
                <c:pt idx="10">
                  <c:v>7</c:v>
                </c:pt>
                <c:pt idx="11">
                  <c:v>6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4-4CDD-AF66-C342B8384769}"/>
            </c:ext>
          </c:extLst>
        </c:ser>
        <c:ser>
          <c:idx val="1"/>
          <c:order val="1"/>
          <c:tx>
            <c:strRef>
              <c:f>CORE!$H$5</c:f>
              <c:strCache>
                <c:ptCount val="1"/>
                <c:pt idx="0">
                  <c:v>Classroom Attendees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CORE!$F$57:$F$69</c:f>
              <c:strCache>
                <c:ptCount val="13"/>
                <c:pt idx="0">
                  <c:v>3/19</c:v>
                </c:pt>
                <c:pt idx="1">
                  <c:v>4/19</c:v>
                </c:pt>
                <c:pt idx="2">
                  <c:v>5/19</c:v>
                </c:pt>
                <c:pt idx="3">
                  <c:v>6/19</c:v>
                </c:pt>
                <c:pt idx="4">
                  <c:v>7/18</c:v>
                </c:pt>
                <c:pt idx="5">
                  <c:v>8/19</c:v>
                </c:pt>
                <c:pt idx="6">
                  <c:v>9/19</c:v>
                </c:pt>
                <c:pt idx="7">
                  <c:v>10/19</c:v>
                </c:pt>
                <c:pt idx="8">
                  <c:v>11/19</c:v>
                </c:pt>
                <c:pt idx="9">
                  <c:v>12/19</c:v>
                </c:pt>
                <c:pt idx="10">
                  <c:v>1/20</c:v>
                </c:pt>
                <c:pt idx="11">
                  <c:v>2/20</c:v>
                </c:pt>
                <c:pt idx="12">
                  <c:v>3/20</c:v>
                </c:pt>
              </c:strCache>
            </c:strRef>
          </c:cat>
          <c:val>
            <c:numRef>
              <c:f>CORE!$H$57:$H$69</c:f>
              <c:numCache>
                <c:formatCode>General</c:formatCode>
                <c:ptCount val="13"/>
                <c:pt idx="0">
                  <c:v>36</c:v>
                </c:pt>
                <c:pt idx="1">
                  <c:v>103</c:v>
                </c:pt>
                <c:pt idx="2">
                  <c:v>106</c:v>
                </c:pt>
                <c:pt idx="3">
                  <c:v>68</c:v>
                </c:pt>
                <c:pt idx="4">
                  <c:v>0</c:v>
                </c:pt>
                <c:pt idx="5">
                  <c:v>8</c:v>
                </c:pt>
                <c:pt idx="6">
                  <c:v>131</c:v>
                </c:pt>
                <c:pt idx="7">
                  <c:v>208</c:v>
                </c:pt>
                <c:pt idx="8">
                  <c:v>49</c:v>
                </c:pt>
                <c:pt idx="9">
                  <c:v>57</c:v>
                </c:pt>
                <c:pt idx="10">
                  <c:v>236</c:v>
                </c:pt>
                <c:pt idx="11">
                  <c:v>209</c:v>
                </c:pt>
                <c:pt idx="1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F4-4CDD-AF66-C342B8384769}"/>
            </c:ext>
          </c:extLst>
        </c:ser>
        <c:ser>
          <c:idx val="2"/>
          <c:order val="2"/>
          <c:tx>
            <c:strRef>
              <c:f>CORE!$C$5</c:f>
              <c:strCache>
                <c:ptCount val="1"/>
                <c:pt idx="0">
                  <c:v>Online Attendees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CORE!$F$57:$F$69</c:f>
              <c:strCache>
                <c:ptCount val="13"/>
                <c:pt idx="0">
                  <c:v>3/19</c:v>
                </c:pt>
                <c:pt idx="1">
                  <c:v>4/19</c:v>
                </c:pt>
                <c:pt idx="2">
                  <c:v>5/19</c:v>
                </c:pt>
                <c:pt idx="3">
                  <c:v>6/19</c:v>
                </c:pt>
                <c:pt idx="4">
                  <c:v>7/18</c:v>
                </c:pt>
                <c:pt idx="5">
                  <c:v>8/19</c:v>
                </c:pt>
                <c:pt idx="6">
                  <c:v>9/19</c:v>
                </c:pt>
                <c:pt idx="7">
                  <c:v>10/19</c:v>
                </c:pt>
                <c:pt idx="8">
                  <c:v>11/19</c:v>
                </c:pt>
                <c:pt idx="9">
                  <c:v>12/19</c:v>
                </c:pt>
                <c:pt idx="10">
                  <c:v>1/20</c:v>
                </c:pt>
                <c:pt idx="11">
                  <c:v>2/20</c:v>
                </c:pt>
                <c:pt idx="12">
                  <c:v>3/20</c:v>
                </c:pt>
              </c:strCache>
            </c:strRef>
          </c:cat>
          <c:val>
            <c:numRef>
              <c:f>(CORE!$C$38:$C$47,CORE!$C$49:$C$51)</c:f>
              <c:numCache>
                <c:formatCode>General</c:formatCode>
                <c:ptCount val="13"/>
                <c:pt idx="0">
                  <c:v>2</c:v>
                </c:pt>
                <c:pt idx="1">
                  <c:v>49</c:v>
                </c:pt>
                <c:pt idx="2">
                  <c:v>16</c:v>
                </c:pt>
                <c:pt idx="3">
                  <c:v>6</c:v>
                </c:pt>
                <c:pt idx="4">
                  <c:v>42</c:v>
                </c:pt>
                <c:pt idx="5">
                  <c:v>27</c:v>
                </c:pt>
                <c:pt idx="6">
                  <c:v>27</c:v>
                </c:pt>
                <c:pt idx="7">
                  <c:v>86</c:v>
                </c:pt>
                <c:pt idx="8">
                  <c:v>73</c:v>
                </c:pt>
                <c:pt idx="9">
                  <c:v>66</c:v>
                </c:pt>
                <c:pt idx="10">
                  <c:v>46</c:v>
                </c:pt>
                <c:pt idx="11">
                  <c:v>124</c:v>
                </c:pt>
                <c:pt idx="1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F4-4CDD-AF66-C342B8384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8273952"/>
        <c:axId val="458277232"/>
      </c:barChart>
      <c:catAx>
        <c:axId val="45827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277232"/>
        <c:crosses val="autoZero"/>
        <c:auto val="1"/>
        <c:lblAlgn val="ctr"/>
        <c:lblOffset val="100"/>
        <c:noMultiLvlLbl val="0"/>
      </c:catAx>
      <c:valAx>
        <c:axId val="458277232"/>
        <c:scaling>
          <c:orientation val="minMax"/>
          <c:max val="25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273952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CORE</a:t>
            </a:r>
            <a:r>
              <a:rPr lang="en-US" sz="1100" baseline="0"/>
              <a:t> Trainings - Last 5 Calendar Years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CORE!$G$5</c:f>
              <c:strCache>
                <c:ptCount val="1"/>
                <c:pt idx="0">
                  <c:v>Classroom Trainings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(CORE!$F$6,CORE!$F$16,CORE!$F$29,CORE!$F$41,CORE!$F$54)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(CORE!$I$15,CORE!$I$28,CORE!$I$40,CORE!$I$53,CORE!$I$66)</c:f>
              <c:numCache>
                <c:formatCode>General</c:formatCode>
                <c:ptCount val="5"/>
                <c:pt idx="0">
                  <c:v>56</c:v>
                </c:pt>
                <c:pt idx="1">
                  <c:v>65</c:v>
                </c:pt>
                <c:pt idx="2">
                  <c:v>54</c:v>
                </c:pt>
                <c:pt idx="3">
                  <c:v>49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32-46E1-963D-5FF151C7CFBF}"/>
            </c:ext>
          </c:extLst>
        </c:ser>
        <c:ser>
          <c:idx val="1"/>
          <c:order val="1"/>
          <c:tx>
            <c:strRef>
              <c:f>CORE!$H$5</c:f>
              <c:strCache>
                <c:ptCount val="1"/>
                <c:pt idx="0">
                  <c:v>Classroom Attendees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(CORE!$F$6,CORE!$F$16,CORE!$F$29,CORE!$F$41,CORE!$F$54)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(CORE!$J$15,CORE!$J$28,CORE!$J$40,CORE!$J$53,CORE!$J$66)</c:f>
              <c:numCache>
                <c:formatCode>General</c:formatCode>
                <c:ptCount val="5"/>
                <c:pt idx="0">
                  <c:v>670</c:v>
                </c:pt>
                <c:pt idx="1">
                  <c:v>740</c:v>
                </c:pt>
                <c:pt idx="2">
                  <c:v>557</c:v>
                </c:pt>
                <c:pt idx="3">
                  <c:v>574</c:v>
                </c:pt>
                <c:pt idx="4">
                  <c:v>946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32-46E1-963D-5FF151C7CFBF}"/>
            </c:ext>
          </c:extLst>
        </c:ser>
        <c:ser>
          <c:idx val="2"/>
          <c:order val="2"/>
          <c:tx>
            <c:strRef>
              <c:f>CORE!$C$5</c:f>
              <c:strCache>
                <c:ptCount val="1"/>
                <c:pt idx="0">
                  <c:v>Online Attendees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(CORE!$F$6,CORE!$F$16,CORE!$F$29,CORE!$F$41,CORE!$F$54)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(CORE!$E$6,CORE!$E$12,CORE!$E$22,CORE!$E$34,CORE!$E$40)</c:f>
              <c:numCache>
                <c:formatCode>General</c:formatCode>
                <c:ptCount val="5"/>
                <c:pt idx="1">
                  <c:v>76</c:v>
                </c:pt>
                <c:pt idx="2">
                  <c:v>59</c:v>
                </c:pt>
                <c:pt idx="3">
                  <c:v>59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32-46E1-963D-5FF151C7CF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8273952"/>
        <c:axId val="458277232"/>
      </c:barChart>
      <c:catAx>
        <c:axId val="45827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277232"/>
        <c:crosses val="autoZero"/>
        <c:auto val="1"/>
        <c:lblAlgn val="ctr"/>
        <c:lblOffset val="100"/>
        <c:noMultiLvlLbl val="0"/>
      </c:catAx>
      <c:valAx>
        <c:axId val="45827723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27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en-US" b="0"/>
              <a:t>RRF AWARDS BY RANK, FALL 2020</a:t>
            </a:r>
          </a:p>
        </c:rich>
      </c:tx>
      <c:layout>
        <c:manualLayout>
          <c:xMode val="edge"/>
          <c:yMode val="edge"/>
          <c:x val="0.29379387402777862"/>
          <c:y val="5.1981663851907089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0493709515718631"/>
          <c:y val="0.19222184183498803"/>
          <c:w val="0.38134584916673614"/>
          <c:h val="0.64467929999798623"/>
        </c:manualLayout>
      </c:layout>
      <c:pieChart>
        <c:varyColors val="1"/>
        <c:ser>
          <c:idx val="0"/>
          <c:order val="0"/>
          <c:tx>
            <c:strRef>
              <c:f>RRF!$A$1</c:f>
              <c:strCache>
                <c:ptCount val="1"/>
                <c:pt idx="0">
                  <c:v>RRF Awards by Subcommittee, Fall 2020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bg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E5C4-4511-8DCF-030A77FDA1F2}"/>
              </c:ext>
            </c:extLst>
          </c:dPt>
          <c:dLbls>
            <c:dLbl>
              <c:idx val="0"/>
              <c:layout>
                <c:manualLayout>
                  <c:x val="6.6388258527645364E-2"/>
                  <c:y val="1.456935779097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C4-4511-8DCF-030A77FDA1F2}"/>
                </c:ext>
              </c:extLst>
            </c:dLbl>
            <c:dLbl>
              <c:idx val="1"/>
              <c:layout>
                <c:manualLayout>
                  <c:x val="1.3444209222396523E-2"/>
                  <c:y val="4.27062558878480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C4-4511-8DCF-030A77FDA1F2}"/>
                </c:ext>
              </c:extLst>
            </c:dLbl>
            <c:dLbl>
              <c:idx val="2"/>
              <c:layout>
                <c:manualLayout>
                  <c:x val="3.330642663864309E-2"/>
                  <c:y val="0.104489038759959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C4-4511-8DCF-030A77FDA1F2}"/>
                </c:ext>
              </c:extLst>
            </c:dLbl>
            <c:dLbl>
              <c:idx val="3"/>
              <c:layout>
                <c:manualLayout>
                  <c:x val="-4.9481513070053863E-2"/>
                  <c:y val="-9.10256777814164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5C4-4511-8DCF-030A77FDA1F2}"/>
                </c:ext>
              </c:extLst>
            </c:dLbl>
            <c:dLbl>
              <c:idx val="4"/>
              <c:layout>
                <c:manualLayout>
                  <c:x val="-4.9306670321915803E-2"/>
                  <c:y val="-1.79765871094638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C4-4511-8DCF-030A77FDA1F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(RRF!$A$8,RRF!$A$9,RRF!$A$11,RRF!$A$12,RRF!$A$13,RRF!$A$14)</c:f>
              <c:strCache>
                <c:ptCount val="5"/>
                <c:pt idx="0">
                  <c:v>Research Assistant Professors</c:v>
                </c:pt>
                <c:pt idx="1">
                  <c:v>Professors </c:v>
                </c:pt>
                <c:pt idx="2">
                  <c:v>Associate Professors </c:v>
                </c:pt>
                <c:pt idx="3">
                  <c:v>Assistant Professors </c:v>
                </c:pt>
                <c:pt idx="4">
                  <c:v>Research Scientists</c:v>
                </c:pt>
              </c:strCache>
            </c:strRef>
          </c:cat>
          <c:val>
            <c:numRef>
              <c:f>(RRF!$C$8,RRF!$C$9,RRF!$C$11,RRF!$C$12,RRF!$C$13,RRF!$C$14)</c:f>
              <c:numCache>
                <c:formatCode>0%</c:formatCode>
                <c:ptCount val="5"/>
                <c:pt idx="0">
                  <c:v>3.7037037037037035E-2</c:v>
                </c:pt>
                <c:pt idx="1">
                  <c:v>0.22222222222222221</c:v>
                </c:pt>
                <c:pt idx="2">
                  <c:v>0.25925925925925924</c:v>
                </c:pt>
                <c:pt idx="3">
                  <c:v>0.40740740740740738</c:v>
                </c:pt>
                <c:pt idx="4">
                  <c:v>7.407407407407407E-2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C4-4511-8DCF-030A77FDA1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 b="0"/>
              <a:t>RRF PROPOSALS AND AWARDS 2009-2019</a:t>
            </a:r>
          </a:p>
        </c:rich>
      </c:tx>
      <c:layout>
        <c:manualLayout>
          <c:xMode val="edge"/>
          <c:yMode val="edge"/>
          <c:x val="0.30366576405519613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1"/>
          <c:tx>
            <c:strRef>
              <c:f>RRF!$C$18</c:f>
              <c:strCache>
                <c:ptCount val="1"/>
                <c:pt idx="0">
                  <c:v>Proposals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RRF!$A$23:$B$43</c:f>
              <c:strCache>
                <c:ptCount val="21"/>
                <c:pt idx="0">
                  <c:v>July-Dec 2009</c:v>
                </c:pt>
                <c:pt idx="1">
                  <c:v>Jan-June 2010</c:v>
                </c:pt>
                <c:pt idx="2">
                  <c:v>July-Dec 2010</c:v>
                </c:pt>
                <c:pt idx="3">
                  <c:v>Jan-June 2011</c:v>
                </c:pt>
                <c:pt idx="4">
                  <c:v>July-Dec 2011</c:v>
                </c:pt>
                <c:pt idx="5">
                  <c:v>Jan-June 2012</c:v>
                </c:pt>
                <c:pt idx="6">
                  <c:v>July-Dec 2012</c:v>
                </c:pt>
                <c:pt idx="7">
                  <c:v>Jan-June 2013</c:v>
                </c:pt>
                <c:pt idx="8">
                  <c:v>July-Dec 2013</c:v>
                </c:pt>
                <c:pt idx="9">
                  <c:v>Jan-June 2014</c:v>
                </c:pt>
                <c:pt idx="10">
                  <c:v>July-Dec 2014</c:v>
                </c:pt>
                <c:pt idx="11">
                  <c:v>Jan-June 2015</c:v>
                </c:pt>
                <c:pt idx="12">
                  <c:v>July-Dec 2015</c:v>
                </c:pt>
                <c:pt idx="13">
                  <c:v>Jan-June 2016</c:v>
                </c:pt>
                <c:pt idx="14">
                  <c:v>July-Dec 2016</c:v>
                </c:pt>
                <c:pt idx="15">
                  <c:v>Jan-Jun 2017</c:v>
                </c:pt>
                <c:pt idx="16">
                  <c:v>July-Dec 2017</c:v>
                </c:pt>
                <c:pt idx="17">
                  <c:v>Jan-Jun 2018</c:v>
                </c:pt>
                <c:pt idx="18">
                  <c:v>July-Dec 2018</c:v>
                </c:pt>
                <c:pt idx="19">
                  <c:v>Jan-Jun 2019</c:v>
                </c:pt>
                <c:pt idx="20">
                  <c:v>July- Dec 2019</c:v>
                </c:pt>
              </c:strCache>
            </c:strRef>
          </c:cat>
          <c:val>
            <c:numRef>
              <c:f>RRF!$C$23:$C$43</c:f>
              <c:numCache>
                <c:formatCode>General</c:formatCode>
                <c:ptCount val="21"/>
                <c:pt idx="0">
                  <c:v>144</c:v>
                </c:pt>
                <c:pt idx="1">
                  <c:v>113</c:v>
                </c:pt>
                <c:pt idx="2">
                  <c:v>102</c:v>
                </c:pt>
                <c:pt idx="3">
                  <c:v>119</c:v>
                </c:pt>
                <c:pt idx="4">
                  <c:v>116</c:v>
                </c:pt>
                <c:pt idx="5">
                  <c:v>149</c:v>
                </c:pt>
                <c:pt idx="6">
                  <c:v>133</c:v>
                </c:pt>
                <c:pt idx="7">
                  <c:v>158</c:v>
                </c:pt>
                <c:pt idx="8">
                  <c:v>150</c:v>
                </c:pt>
                <c:pt idx="9">
                  <c:v>156</c:v>
                </c:pt>
                <c:pt idx="10">
                  <c:v>139</c:v>
                </c:pt>
                <c:pt idx="11">
                  <c:v>131</c:v>
                </c:pt>
                <c:pt idx="12">
                  <c:v>113</c:v>
                </c:pt>
                <c:pt idx="13">
                  <c:v>147</c:v>
                </c:pt>
                <c:pt idx="14">
                  <c:v>140</c:v>
                </c:pt>
                <c:pt idx="15">
                  <c:v>154</c:v>
                </c:pt>
                <c:pt idx="16">
                  <c:v>126</c:v>
                </c:pt>
                <c:pt idx="17">
                  <c:v>148</c:v>
                </c:pt>
                <c:pt idx="18">
                  <c:v>104</c:v>
                </c:pt>
                <c:pt idx="19">
                  <c:v>114</c:v>
                </c:pt>
                <c:pt idx="20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65-425A-B6E7-E2BE8BCBE0B3}"/>
            </c:ext>
          </c:extLst>
        </c:ser>
        <c:ser>
          <c:idx val="0"/>
          <c:order val="2"/>
          <c:tx>
            <c:strRef>
              <c:f>RRF!$D$18</c:f>
              <c:strCache>
                <c:ptCount val="1"/>
                <c:pt idx="0">
                  <c:v>Awards</c:v>
                </c:pt>
              </c:strCache>
            </c:strRef>
          </c:tx>
          <c:invertIfNegative val="0"/>
          <c:cat>
            <c:strRef>
              <c:f>RRF!$A$23:$B$43</c:f>
              <c:strCache>
                <c:ptCount val="21"/>
                <c:pt idx="0">
                  <c:v>July-Dec 2009</c:v>
                </c:pt>
                <c:pt idx="1">
                  <c:v>Jan-June 2010</c:v>
                </c:pt>
                <c:pt idx="2">
                  <c:v>July-Dec 2010</c:v>
                </c:pt>
                <c:pt idx="3">
                  <c:v>Jan-June 2011</c:v>
                </c:pt>
                <c:pt idx="4">
                  <c:v>July-Dec 2011</c:v>
                </c:pt>
                <c:pt idx="5">
                  <c:v>Jan-June 2012</c:v>
                </c:pt>
                <c:pt idx="6">
                  <c:v>July-Dec 2012</c:v>
                </c:pt>
                <c:pt idx="7">
                  <c:v>Jan-June 2013</c:v>
                </c:pt>
                <c:pt idx="8">
                  <c:v>July-Dec 2013</c:v>
                </c:pt>
                <c:pt idx="9">
                  <c:v>Jan-June 2014</c:v>
                </c:pt>
                <c:pt idx="10">
                  <c:v>July-Dec 2014</c:v>
                </c:pt>
                <c:pt idx="11">
                  <c:v>Jan-June 2015</c:v>
                </c:pt>
                <c:pt idx="12">
                  <c:v>July-Dec 2015</c:v>
                </c:pt>
                <c:pt idx="13">
                  <c:v>Jan-June 2016</c:v>
                </c:pt>
                <c:pt idx="14">
                  <c:v>July-Dec 2016</c:v>
                </c:pt>
                <c:pt idx="15">
                  <c:v>Jan-Jun 2017</c:v>
                </c:pt>
                <c:pt idx="16">
                  <c:v>July-Dec 2017</c:v>
                </c:pt>
                <c:pt idx="17">
                  <c:v>Jan-Jun 2018</c:v>
                </c:pt>
                <c:pt idx="18">
                  <c:v>July-Dec 2018</c:v>
                </c:pt>
                <c:pt idx="19">
                  <c:v>Jan-Jun 2019</c:v>
                </c:pt>
                <c:pt idx="20">
                  <c:v>July- Dec 2019</c:v>
                </c:pt>
              </c:strCache>
            </c:strRef>
          </c:cat>
          <c:val>
            <c:numRef>
              <c:f>RRF!$D$23:$D$43</c:f>
              <c:numCache>
                <c:formatCode>General</c:formatCode>
                <c:ptCount val="21"/>
                <c:pt idx="0">
                  <c:v>29</c:v>
                </c:pt>
                <c:pt idx="1">
                  <c:v>29</c:v>
                </c:pt>
                <c:pt idx="2">
                  <c:v>31</c:v>
                </c:pt>
                <c:pt idx="3">
                  <c:v>30</c:v>
                </c:pt>
                <c:pt idx="4">
                  <c:v>38</c:v>
                </c:pt>
                <c:pt idx="5">
                  <c:v>35</c:v>
                </c:pt>
                <c:pt idx="6">
                  <c:v>36</c:v>
                </c:pt>
                <c:pt idx="7">
                  <c:v>36</c:v>
                </c:pt>
                <c:pt idx="8">
                  <c:v>36</c:v>
                </c:pt>
                <c:pt idx="9">
                  <c:v>39</c:v>
                </c:pt>
                <c:pt idx="10">
                  <c:v>36</c:v>
                </c:pt>
                <c:pt idx="11">
                  <c:v>31</c:v>
                </c:pt>
                <c:pt idx="12">
                  <c:v>32</c:v>
                </c:pt>
                <c:pt idx="13">
                  <c:v>34</c:v>
                </c:pt>
                <c:pt idx="14">
                  <c:v>34</c:v>
                </c:pt>
                <c:pt idx="15">
                  <c:v>40</c:v>
                </c:pt>
                <c:pt idx="16">
                  <c:v>32</c:v>
                </c:pt>
                <c:pt idx="17">
                  <c:v>34</c:v>
                </c:pt>
                <c:pt idx="18">
                  <c:v>30</c:v>
                </c:pt>
                <c:pt idx="19">
                  <c:v>30</c:v>
                </c:pt>
                <c:pt idx="2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65-425A-B6E7-E2BE8BCBE0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883904"/>
        <c:axId val="103885440"/>
        <c:extLst>
          <c:ext xmlns:c15="http://schemas.microsoft.com/office/drawing/2012/chart" uri="{02D57815-91ED-43cb-92C2-25804820EDAC}">
            <c15:filteredBar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RRF!$B$18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RRF!$A$23:$B$43</c15:sqref>
                        </c15:formulaRef>
                      </c:ext>
                    </c:extLst>
                    <c:strCache>
                      <c:ptCount val="21"/>
                      <c:pt idx="0">
                        <c:v>July-Dec 2009</c:v>
                      </c:pt>
                      <c:pt idx="1">
                        <c:v>Jan-June 2010</c:v>
                      </c:pt>
                      <c:pt idx="2">
                        <c:v>July-Dec 2010</c:v>
                      </c:pt>
                      <c:pt idx="3">
                        <c:v>Jan-June 2011</c:v>
                      </c:pt>
                      <c:pt idx="4">
                        <c:v>July-Dec 2011</c:v>
                      </c:pt>
                      <c:pt idx="5">
                        <c:v>Jan-June 2012</c:v>
                      </c:pt>
                      <c:pt idx="6">
                        <c:v>July-Dec 2012</c:v>
                      </c:pt>
                      <c:pt idx="7">
                        <c:v>Jan-June 2013</c:v>
                      </c:pt>
                      <c:pt idx="8">
                        <c:v>July-Dec 2013</c:v>
                      </c:pt>
                      <c:pt idx="9">
                        <c:v>Jan-June 2014</c:v>
                      </c:pt>
                      <c:pt idx="10">
                        <c:v>July-Dec 2014</c:v>
                      </c:pt>
                      <c:pt idx="11">
                        <c:v>Jan-June 2015</c:v>
                      </c:pt>
                      <c:pt idx="12">
                        <c:v>July-Dec 2015</c:v>
                      </c:pt>
                      <c:pt idx="13">
                        <c:v>Jan-June 2016</c:v>
                      </c:pt>
                      <c:pt idx="14">
                        <c:v>July-Dec 2016</c:v>
                      </c:pt>
                      <c:pt idx="15">
                        <c:v>Jan-Jun 2017</c:v>
                      </c:pt>
                      <c:pt idx="16">
                        <c:v>July-Dec 2017</c:v>
                      </c:pt>
                      <c:pt idx="17">
                        <c:v>Jan-Jun 2018</c:v>
                      </c:pt>
                      <c:pt idx="18">
                        <c:v>July-Dec 2018</c:v>
                      </c:pt>
                      <c:pt idx="19">
                        <c:v>Jan-Jun 2019</c:v>
                      </c:pt>
                      <c:pt idx="20">
                        <c:v>July- Dec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RRF!$B$19:$B$41</c15:sqref>
                        </c15:formulaRef>
                      </c:ext>
                    </c:extLst>
                    <c:numCache>
                      <c:formatCode>General</c:formatCode>
                      <c:ptCount val="2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E365-425A-B6E7-E2BE8BCBE0B3}"/>
                  </c:ext>
                </c:extLst>
              </c15:ser>
            </c15:filteredBarSeries>
          </c:ext>
        </c:extLst>
      </c:barChart>
      <c:catAx>
        <c:axId val="1038839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3885440"/>
        <c:crosses val="autoZero"/>
        <c:auto val="1"/>
        <c:lblAlgn val="ctr"/>
        <c:lblOffset val="100"/>
        <c:noMultiLvlLbl val="0"/>
      </c:catAx>
      <c:valAx>
        <c:axId val="103885440"/>
        <c:scaling>
          <c:orientation val="minMax"/>
          <c:max val="160"/>
        </c:scaling>
        <c:delete val="0"/>
        <c:axPos val="l"/>
        <c:numFmt formatCode="General" sourceLinked="1"/>
        <c:majorTickMark val="none"/>
        <c:minorTickMark val="none"/>
        <c:tickLblPos val="nextTo"/>
        <c:crossAx val="103883904"/>
        <c:crosses val="autoZero"/>
        <c:crossBetween val="between"/>
        <c:majorUnit val="2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 b="0" i="0" baseline="0">
                <a:effectLst/>
              </a:rPr>
              <a:t>RRF BUDGET SETUPS AND FINAL REPORTS - PAST 5 CYCLES</a:t>
            </a:r>
            <a:endParaRPr lang="en-US" sz="1100" b="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RRF!$B$45</c:f>
              <c:strCache>
                <c:ptCount val="1"/>
                <c:pt idx="0">
                  <c:v>Budget setups</c:v>
                </c:pt>
              </c:strCache>
            </c:strRef>
          </c:tx>
          <c:invertIfNegative val="0"/>
          <c:cat>
            <c:strRef>
              <c:f>(RRF!$F$76,RRF!$F$70,RRF!$F$64,RRF!$F$58,RRF!$F$52)</c:f>
              <c:strCache>
                <c:ptCount val="5"/>
                <c:pt idx="0">
                  <c:v>Jul-Dec 2017</c:v>
                </c:pt>
                <c:pt idx="1">
                  <c:v>Jan-Jun 2018</c:v>
                </c:pt>
                <c:pt idx="2">
                  <c:v>Jul-Dec 2018</c:v>
                </c:pt>
                <c:pt idx="3">
                  <c:v>Jan-Jun 2019</c:v>
                </c:pt>
                <c:pt idx="4">
                  <c:v>Jul-Dec 2019</c:v>
                </c:pt>
              </c:strCache>
            </c:strRef>
          </c:cat>
          <c:val>
            <c:numRef>
              <c:f>(RRF!$G$76,RRF!$G$70,RRF!$G$64,RRF!$G$58,RRF!$G$52)</c:f>
              <c:numCache>
                <c:formatCode>General</c:formatCode>
                <c:ptCount val="5"/>
                <c:pt idx="0">
                  <c:v>35</c:v>
                </c:pt>
                <c:pt idx="1">
                  <c:v>52</c:v>
                </c:pt>
                <c:pt idx="2">
                  <c:v>27</c:v>
                </c:pt>
                <c:pt idx="3">
                  <c:v>41</c:v>
                </c:pt>
                <c:pt idx="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EC-4586-8D10-A89C8FB41220}"/>
            </c:ext>
          </c:extLst>
        </c:ser>
        <c:ser>
          <c:idx val="1"/>
          <c:order val="1"/>
          <c:tx>
            <c:strRef>
              <c:f>RRF!$C$45</c:f>
              <c:strCache>
                <c:ptCount val="1"/>
                <c:pt idx="0">
                  <c:v>Final Reports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cat>
            <c:strRef>
              <c:f>(RRF!$F$76,RRF!$F$70,RRF!$F$64,RRF!$F$58,RRF!$F$52)</c:f>
              <c:strCache>
                <c:ptCount val="5"/>
                <c:pt idx="0">
                  <c:v>Jul-Dec 2017</c:v>
                </c:pt>
                <c:pt idx="1">
                  <c:v>Jan-Jun 2018</c:v>
                </c:pt>
                <c:pt idx="2">
                  <c:v>Jul-Dec 2018</c:v>
                </c:pt>
                <c:pt idx="3">
                  <c:v>Jan-Jun 2019</c:v>
                </c:pt>
                <c:pt idx="4">
                  <c:v>Jul-Dec 2019</c:v>
                </c:pt>
              </c:strCache>
            </c:strRef>
          </c:cat>
          <c:val>
            <c:numRef>
              <c:f>(RRF!$H$76,RRF!$H$70,RRF!$H$64,RRF!$H$58,RRF!$H$52)</c:f>
              <c:numCache>
                <c:formatCode>General</c:formatCode>
                <c:ptCount val="5"/>
                <c:pt idx="0">
                  <c:v>45</c:v>
                </c:pt>
                <c:pt idx="1">
                  <c:v>29</c:v>
                </c:pt>
                <c:pt idx="2">
                  <c:v>38</c:v>
                </c:pt>
                <c:pt idx="3">
                  <c:v>33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EC-4586-8D10-A89C8FB41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20768"/>
        <c:axId val="103922304"/>
      </c:barChart>
      <c:catAx>
        <c:axId val="10392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3922304"/>
        <c:crosses val="autoZero"/>
        <c:auto val="1"/>
        <c:lblAlgn val="ctr"/>
        <c:lblOffset val="100"/>
        <c:noMultiLvlLbl val="0"/>
      </c:catAx>
      <c:valAx>
        <c:axId val="103922304"/>
        <c:scaling>
          <c:orientation val="minMax"/>
          <c:max val="55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crossAx val="103920768"/>
        <c:crosses val="autoZero"/>
        <c:crossBetween val="between"/>
        <c:majorUnit val="1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numFmt formatCode="0.0%" sourceLinked="0"/>
          <c:spPr>
            <a:noFill/>
            <a:ln>
              <a:noFill/>
            </a:ln>
            <a:effectLst/>
          </c:spPr>
          <c:txPr>
            <a:bodyPr lIns="365760" tIns="182880" rIns="365760" bIns="182880"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3"/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0.23213274997894393"/>
          <c:y val="0.1027587656104615"/>
          <c:w val="0.45233328167741643"/>
          <c:h val="0.82361655651702292"/>
        </c:manualLayout>
      </c:layout>
      <c:pieChart>
        <c:varyColors val="1"/>
        <c:ser>
          <c:idx val="0"/>
          <c:order val="0"/>
          <c:tx>
            <c:strRef>
              <c:f>'Awards by School  for Web'!$B$3</c:f>
              <c:strCache>
                <c:ptCount val="1"/>
                <c:pt idx="0">
                  <c:v>Sum of Provost Awarded</c:v>
                </c:pt>
              </c:strCache>
            </c:strRef>
          </c:tx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0-D56A-4715-BFE2-24EF98B3FCB9}"/>
              </c:ext>
            </c:extLst>
          </c:dPt>
          <c:dLbls>
            <c:dLbl>
              <c:idx val="0"/>
              <c:layout>
                <c:manualLayout>
                  <c:x val="-4.8612718665986807E-2"/>
                  <c:y val="-7.8578599266848098E-2"/>
                </c:manualLayout>
              </c:layout>
              <c:tx>
                <c:rich>
                  <a:bodyPr rot="0" vertOverflow="overflow" horzOverflow="overflow" wrap="square" lIns="182880" tIns="182880" rIns="182880" bIns="182880" numCol="1" anchor="t" anchorCtr="1">
                    <a:noAutofit/>
                  </a:bodyPr>
                  <a:lstStyle/>
                  <a:p>
                    <a:pPr>
                      <a:defRPr/>
                    </a:pPr>
                    <a:fld id="{E4A8ECE7-E4EA-42B5-8ED6-67DE4B9F1883}" type="CATEGORYNAME">
                      <a:rPr lang="en-US" b="1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[CATEGORY NAME]</a:t>
                    </a:fld>
                    <a:r>
                      <a:rPr lang="en-US" b="1" baseline="0">
                        <a:solidFill>
                          <a:schemeClr val="bg1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3720544590195127"/>
                      <c:h val="0.1429230099170956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56A-4715-BFE2-24EF98B3FCB9}"/>
                </c:ext>
              </c:extLst>
            </c:dLbl>
            <c:dLbl>
              <c:idx val="1"/>
              <c:layout>
                <c:manualLayout>
                  <c:x val="-0.17048803162613818"/>
                  <c:y val="1.1946925651720256E-2"/>
                </c:manualLayout>
              </c:layout>
              <c:tx>
                <c:rich>
                  <a:bodyPr/>
                  <a:lstStyle/>
                  <a:p>
                    <a:fld id="{139F44C8-8E54-4BC1-BE61-E8883BDBB029}" type="CATEGORYNAME">
                      <a:rPr lang="en-US" b="1">
                        <a:solidFill>
                          <a:sysClr val="windowText" lastClr="000000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chemeClr val="bg1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9.0804002675547363E-2"/>
                      <c:h val="0.1269452980797081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D56A-4715-BFE2-24EF98B3FCB9}"/>
                </c:ext>
              </c:extLst>
            </c:dLbl>
            <c:dLbl>
              <c:idx val="2"/>
              <c:layout>
                <c:manualLayout>
                  <c:x val="-7.2911130184786538E-2"/>
                  <c:y val="-0.12589524701917246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56A-4715-BFE2-24EF98B3FCB9}"/>
                </c:ext>
              </c:extLst>
            </c:dLbl>
            <c:dLbl>
              <c:idx val="3"/>
              <c:layout>
                <c:manualLayout>
                  <c:x val="-2.396995904752244E-2"/>
                  <c:y val="-0.21786379473359893"/>
                </c:manualLayout>
              </c:layout>
              <c:tx>
                <c:rich>
                  <a:bodyPr rot="0" vertOverflow="overflow" horzOverflow="overflow" wrap="square" lIns="182880" tIns="182880" rIns="182880" bIns="182880" numCol="1" anchor="t" anchorCtr="1">
                    <a:noAutofit/>
                  </a:bodyPr>
                  <a:lstStyle/>
                  <a:p>
                    <a:pPr>
                      <a:defRPr/>
                    </a:pPr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5969085161747089E-2"/>
                      <c:h val="0.1320207548890167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56A-4715-BFE2-24EF98B3FCB9}"/>
                </c:ext>
              </c:extLst>
            </c:dLbl>
            <c:dLbl>
              <c:idx val="4"/>
              <c:layout>
                <c:manualLayout>
                  <c:x val="3.4169812343590573E-2"/>
                  <c:y val="-0.29420380519328015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D56A-4715-BFE2-24EF98B3FCB9}"/>
                </c:ext>
              </c:extLst>
            </c:dLbl>
            <c:dLbl>
              <c:idx val="5"/>
              <c:layout>
                <c:manualLayout>
                  <c:x val="8.4345455643625805E-2"/>
                  <c:y val="-0.31251175848594165"/>
                </c:manualLayout>
              </c:layout>
              <c:tx>
                <c:rich>
                  <a:bodyPr rot="0" vertOverflow="overflow" horzOverflow="overflow" wrap="square" lIns="182880" tIns="182880" rIns="182880" bIns="182880" numCol="1" anchor="t" anchorCtr="1">
                    <a:noAutofit/>
                  </a:bodyPr>
                  <a:lstStyle/>
                  <a:p>
                    <a:pPr>
                      <a:defRPr/>
                    </a:pPr>
                    <a:fld id="{3ACD29A4-3A90-4820-B3AB-A19EFEAB913F}" type="CATEGORYNAME">
                      <a:rPr lang="en-US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5900142213698738E-2"/>
                      <c:h val="0.127303036576197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56A-4715-BFE2-24EF98B3FCB9}"/>
                </c:ext>
              </c:extLst>
            </c:dLbl>
            <c:dLbl>
              <c:idx val="6"/>
              <c:layout>
                <c:manualLayout>
                  <c:x val="0.12226674267142899"/>
                  <c:y val="-0.3063935466085867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D56A-4715-BFE2-24EF98B3FCB9}"/>
                </c:ext>
              </c:extLst>
            </c:dLbl>
            <c:dLbl>
              <c:idx val="7"/>
              <c:layout>
                <c:manualLayout>
                  <c:x val="0.13746665826777735"/>
                  <c:y val="-0.27389316744965392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56A-4715-BFE2-24EF98B3FCB9}"/>
                </c:ext>
              </c:extLst>
            </c:dLbl>
            <c:dLbl>
              <c:idx val="8"/>
              <c:layout>
                <c:manualLayout>
                  <c:x val="0.14314731435581843"/>
                  <c:y val="-0.21893259845898869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D56A-4715-BFE2-24EF98B3FCB9}"/>
                </c:ext>
              </c:extLst>
            </c:dLbl>
            <c:dLbl>
              <c:idx val="9"/>
              <c:layout>
                <c:manualLayout>
                  <c:x val="0.15128620087567923"/>
                  <c:y val="-0.15338202169670515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56A-4715-BFE2-24EF98B3FCB9}"/>
                </c:ext>
              </c:extLst>
            </c:dLbl>
            <c:dLbl>
              <c:idx val="10"/>
              <c:layout>
                <c:manualLayout>
                  <c:x val="0.14814387573653376"/>
                  <c:y val="-7.3028745869903114E-2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D56A-4715-BFE2-24EF98B3FCB9}"/>
                </c:ext>
              </c:extLst>
            </c:dLbl>
            <c:dLbl>
              <c:idx val="11"/>
              <c:layout>
                <c:manualLayout>
                  <c:x val="0.11506616415041304"/>
                  <c:y val="3.6271604840711512E-3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56A-4715-BFE2-24EF98B3FCB9}"/>
                </c:ext>
              </c:extLst>
            </c:dLbl>
            <c:dLbl>
              <c:idx val="12"/>
              <c:layout>
                <c:manualLayout>
                  <c:x val="9.7909791264273904E-2"/>
                  <c:y val="7.6505458520924552E-2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D56A-4715-BFE2-24EF98B3FCB9}"/>
                </c:ext>
              </c:extLst>
            </c:dLbl>
            <c:dLbl>
              <c:idx val="13"/>
              <c:layout>
                <c:manualLayout>
                  <c:x val="6.4856274009092926E-2"/>
                  <c:y val="0.14454723864400001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56A-4715-BFE2-24EF98B3FCB9}"/>
                </c:ext>
              </c:extLst>
            </c:dLbl>
            <c:dLbl>
              <c:idx val="14"/>
              <c:layout>
                <c:manualLayout>
                  <c:x val="-8.0807769214425573E-3"/>
                  <c:y val="0.17927272605698721"/>
                </c:manualLayout>
              </c:layout>
              <c:tx>
                <c:rich>
                  <a:bodyPr/>
                  <a:lstStyle/>
                  <a:p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066685711061447"/>
                      <c:h val="0.1274831110909838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D56A-4715-BFE2-24EF98B3FCB9}"/>
                </c:ext>
              </c:extLst>
            </c:dLbl>
            <c:dLbl>
              <c:idx val="15"/>
              <c:layout>
                <c:manualLayout>
                  <c:x val="-8.6495942826722266E-2"/>
                  <c:y val="0.22971773251104727"/>
                </c:manualLayout>
              </c:layout>
              <c:tx>
                <c:rich>
                  <a:bodyPr rot="0" vertOverflow="overflow" horzOverflow="overflow" wrap="square" lIns="182880" tIns="182880" rIns="182880" bIns="182880" numCol="1" anchor="t" anchorCtr="1">
                    <a:noAutofit/>
                  </a:bodyPr>
                  <a:lstStyle/>
                  <a:p>
                    <a:pPr>
                      <a:defRPr/>
                    </a:pPr>
                    <a:fld id="{E4A8ECE7-E4EA-42B5-8ED6-67DE4B9F1883}" type="CATEGORYNAME">
                      <a:rPr lang="en-US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[CATEGORY NAME]</a:t>
                    </a:fld>
                    <a:r>
                      <a:rPr lang="en-US" b="1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439A086C-2122-4186-8361-8528E8785C8E}" type="VALUE">
                      <a:rPr lang="en-US" b="0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[VALUE]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B3EAA07-C7F7-4FB4-B9AE-3C725BEBB486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1329920031687661"/>
                      <c:h val="0.1423263854801732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56A-4715-BFE2-24EF98B3FCB9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vertOverflow="overflow" horzOverflow="overflow" wrap="square" lIns="182880" tIns="182880" rIns="182880" bIns="182880" numCol="1" anchor="t" anchorCtr="1">
                <a:spAutoFit/>
              </a:bodyPr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'Awards by School  for Web'!$A$4:$A$19</c:f>
              <c:strCache>
                <c:ptCount val="16"/>
                <c:pt idx="0">
                  <c:v>School of Medicine</c:v>
                </c:pt>
                <c:pt idx="1">
                  <c:v>Arts and Sciences</c:v>
                </c:pt>
                <c:pt idx="2">
                  <c:v>Engineering</c:v>
                </c:pt>
                <c:pt idx="3">
                  <c:v>Public Health</c:v>
                </c:pt>
                <c:pt idx="4">
                  <c:v>Environment</c:v>
                </c:pt>
                <c:pt idx="5">
                  <c:v>Dentistry</c:v>
                </c:pt>
                <c:pt idx="6">
                  <c:v>Pharmacy</c:v>
                </c:pt>
                <c:pt idx="7">
                  <c:v>Law</c:v>
                </c:pt>
                <c:pt idx="8">
                  <c:v>Social Work</c:v>
                </c:pt>
                <c:pt idx="9">
                  <c:v>Nursing</c:v>
                </c:pt>
                <c:pt idx="10">
                  <c:v>Information </c:v>
                </c:pt>
                <c:pt idx="11">
                  <c:v>Built Environments</c:v>
                </c:pt>
                <c:pt idx="12">
                  <c:v>Evans School</c:v>
                </c:pt>
                <c:pt idx="13">
                  <c:v>UW Bothell</c:v>
                </c:pt>
                <c:pt idx="14">
                  <c:v>Tacoma</c:v>
                </c:pt>
                <c:pt idx="15">
                  <c:v>Health Sciences Administration</c:v>
                </c:pt>
              </c:strCache>
            </c:strRef>
          </c:cat>
          <c:val>
            <c:numRef>
              <c:f>'Awards by School  for Web'!$B$4:$B$19</c:f>
              <c:numCache>
                <c:formatCode>_("$"* #,##0_);_("$"* \(#,##0\);_("$"* "-"??_);_(@_)</c:formatCode>
                <c:ptCount val="16"/>
                <c:pt idx="0">
                  <c:v>8444700.2300000004</c:v>
                </c:pt>
                <c:pt idx="1">
                  <c:v>3214525.5</c:v>
                </c:pt>
                <c:pt idx="2">
                  <c:v>593106.5</c:v>
                </c:pt>
                <c:pt idx="3">
                  <c:v>398785</c:v>
                </c:pt>
                <c:pt idx="4">
                  <c:v>317940.5</c:v>
                </c:pt>
                <c:pt idx="5">
                  <c:v>299630</c:v>
                </c:pt>
                <c:pt idx="6">
                  <c:v>272035</c:v>
                </c:pt>
                <c:pt idx="7">
                  <c:v>231652</c:v>
                </c:pt>
                <c:pt idx="8">
                  <c:v>99900</c:v>
                </c:pt>
                <c:pt idx="9">
                  <c:v>74300</c:v>
                </c:pt>
                <c:pt idx="10">
                  <c:v>61054</c:v>
                </c:pt>
                <c:pt idx="11">
                  <c:v>25950</c:v>
                </c:pt>
                <c:pt idx="12">
                  <c:v>20000</c:v>
                </c:pt>
                <c:pt idx="13">
                  <c:v>18468</c:v>
                </c:pt>
                <c:pt idx="14">
                  <c:v>15425</c:v>
                </c:pt>
                <c:pt idx="15">
                  <c:v>11500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56A-4715-BFE2-24EF98B3F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04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  <c:extLst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Sucess</a:t>
            </a:r>
            <a:r>
              <a:rPr lang="en-US" baseline="0"/>
              <a:t> of Bridge Funding Program: Return on Investment Over Time</a:t>
            </a:r>
          </a:p>
          <a:p>
            <a:pPr>
              <a:defRPr/>
            </a:pPr>
            <a:r>
              <a:rPr lang="en-US" baseline="0"/>
              <a:t>December 2006 - May 2018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'[iStar Reports July 2019.xlsx]ROI over time chart'!$B$3</c:f>
              <c:strCache>
                <c:ptCount val="1"/>
                <c:pt idx="0">
                  <c:v>ROI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'[iStar Reports July 2019.xlsx]ROI over time chart'!$A$4:$A$27</c:f>
              <c:strCache>
                <c:ptCount val="24"/>
                <c:pt idx="0">
                  <c:v>12/06</c:v>
                </c:pt>
                <c:pt idx="1">
                  <c:v>5/07</c:v>
                </c:pt>
                <c:pt idx="2">
                  <c:v>12/07</c:v>
                </c:pt>
                <c:pt idx="3">
                  <c:v>5/08</c:v>
                </c:pt>
                <c:pt idx="4">
                  <c:v>12/08</c:v>
                </c:pt>
                <c:pt idx="5">
                  <c:v>5/09</c:v>
                </c:pt>
                <c:pt idx="6">
                  <c:v>12/09</c:v>
                </c:pt>
                <c:pt idx="7">
                  <c:v>5/10</c:v>
                </c:pt>
                <c:pt idx="8">
                  <c:v>12/10</c:v>
                </c:pt>
                <c:pt idx="9">
                  <c:v>5/11</c:v>
                </c:pt>
                <c:pt idx="10">
                  <c:v>12/11</c:v>
                </c:pt>
                <c:pt idx="11">
                  <c:v>5/12</c:v>
                </c:pt>
                <c:pt idx="12">
                  <c:v>12/12</c:v>
                </c:pt>
                <c:pt idx="13">
                  <c:v>5/13</c:v>
                </c:pt>
                <c:pt idx="14">
                  <c:v>12/13</c:v>
                </c:pt>
                <c:pt idx="15">
                  <c:v>5/14</c:v>
                </c:pt>
                <c:pt idx="16">
                  <c:v>11/14</c:v>
                </c:pt>
                <c:pt idx="17">
                  <c:v>5/15</c:v>
                </c:pt>
                <c:pt idx="18">
                  <c:v>11/15</c:v>
                </c:pt>
                <c:pt idx="19">
                  <c:v>5/16</c:v>
                </c:pt>
                <c:pt idx="20">
                  <c:v>11/16</c:v>
                </c:pt>
                <c:pt idx="21">
                  <c:v>5/17</c:v>
                </c:pt>
                <c:pt idx="22">
                  <c:v>11/17</c:v>
                </c:pt>
                <c:pt idx="23">
                  <c:v>5/18</c:v>
                </c:pt>
              </c:strCache>
            </c:strRef>
          </c:cat>
          <c:val>
            <c:numRef>
              <c:f>'[iStar Reports July 2019.xlsx]ROI over time chart'!$B$4:$B$27</c:f>
              <c:numCache>
                <c:formatCode>0.0</c:formatCode>
                <c:ptCount val="24"/>
                <c:pt idx="0">
                  <c:v>10.025165833806213</c:v>
                </c:pt>
                <c:pt idx="1">
                  <c:v>12.287673806636064</c:v>
                </c:pt>
                <c:pt idx="2">
                  <c:v>6.9714252953413354</c:v>
                </c:pt>
                <c:pt idx="3">
                  <c:v>8.3805709407090827</c:v>
                </c:pt>
                <c:pt idx="4">
                  <c:v>11.766233969821805</c:v>
                </c:pt>
                <c:pt idx="5">
                  <c:v>3.43664601848397</c:v>
                </c:pt>
                <c:pt idx="6">
                  <c:v>11.517269554469264</c:v>
                </c:pt>
                <c:pt idx="7">
                  <c:v>7.4257261409235564</c:v>
                </c:pt>
                <c:pt idx="8">
                  <c:v>8.4712553037414757</c:v>
                </c:pt>
                <c:pt idx="9">
                  <c:v>4.0857410506354963</c:v>
                </c:pt>
                <c:pt idx="10">
                  <c:v>6.3304830104228689</c:v>
                </c:pt>
                <c:pt idx="11">
                  <c:v>6.4987731904947044</c:v>
                </c:pt>
                <c:pt idx="12">
                  <c:v>5.7869428951161526</c:v>
                </c:pt>
                <c:pt idx="13">
                  <c:v>7.9615374952870281</c:v>
                </c:pt>
                <c:pt idx="14">
                  <c:v>9.122426014603084</c:v>
                </c:pt>
                <c:pt idx="15">
                  <c:v>2.6540833237275727</c:v>
                </c:pt>
                <c:pt idx="16">
                  <c:v>14.874750297199148</c:v>
                </c:pt>
                <c:pt idx="17">
                  <c:v>6.228275064431088</c:v>
                </c:pt>
                <c:pt idx="18">
                  <c:v>28.559107178774148</c:v>
                </c:pt>
                <c:pt idx="19">
                  <c:v>37.200324431455968</c:v>
                </c:pt>
                <c:pt idx="20">
                  <c:v>4.8929940900448985</c:v>
                </c:pt>
                <c:pt idx="21">
                  <c:v>10.624769674047613</c:v>
                </c:pt>
                <c:pt idx="22">
                  <c:v>14.566932935511927</c:v>
                </c:pt>
                <c:pt idx="23" formatCode="0.00">
                  <c:v>10.420395978942803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56-48AA-9DE6-C9C50BD1D28D}"/>
            </c:ext>
          </c:extLst>
        </c:ser>
        <c:ser>
          <c:idx val="1"/>
          <c:order val="1"/>
          <c:tx>
            <c:strRef>
              <c:f>'[iStar Reports July 2019.xlsx]ROI over time chart'!$C$3</c:f>
              <c:strCache>
                <c:ptCount val="1"/>
                <c:pt idx="0">
                  <c:v>Average</c:v>
                </c:pt>
              </c:strCache>
            </c:strRef>
          </c:tx>
          <c:spPr>
            <a:ln w="28575" cap="rnd" cmpd="sng" algn="ctr">
              <a:solidFill>
                <a:srgbClr val="00206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'[iStar Reports July 2019.xlsx]ROI over time chart'!$A$4:$A$27</c:f>
              <c:strCache>
                <c:ptCount val="24"/>
                <c:pt idx="0">
                  <c:v>12/06</c:v>
                </c:pt>
                <c:pt idx="1">
                  <c:v>5/07</c:v>
                </c:pt>
                <c:pt idx="2">
                  <c:v>12/07</c:v>
                </c:pt>
                <c:pt idx="3">
                  <c:v>5/08</c:v>
                </c:pt>
                <c:pt idx="4">
                  <c:v>12/08</c:v>
                </c:pt>
                <c:pt idx="5">
                  <c:v>5/09</c:v>
                </c:pt>
                <c:pt idx="6">
                  <c:v>12/09</c:v>
                </c:pt>
                <c:pt idx="7">
                  <c:v>5/10</c:v>
                </c:pt>
                <c:pt idx="8">
                  <c:v>12/10</c:v>
                </c:pt>
                <c:pt idx="9">
                  <c:v>5/11</c:v>
                </c:pt>
                <c:pt idx="10">
                  <c:v>12/11</c:v>
                </c:pt>
                <c:pt idx="11">
                  <c:v>5/12</c:v>
                </c:pt>
                <c:pt idx="12">
                  <c:v>12/12</c:v>
                </c:pt>
                <c:pt idx="13">
                  <c:v>5/13</c:v>
                </c:pt>
                <c:pt idx="14">
                  <c:v>12/13</c:v>
                </c:pt>
                <c:pt idx="15">
                  <c:v>5/14</c:v>
                </c:pt>
                <c:pt idx="16">
                  <c:v>11/14</c:v>
                </c:pt>
                <c:pt idx="17">
                  <c:v>5/15</c:v>
                </c:pt>
                <c:pt idx="18">
                  <c:v>11/15</c:v>
                </c:pt>
                <c:pt idx="19">
                  <c:v>5/16</c:v>
                </c:pt>
                <c:pt idx="20">
                  <c:v>11/16</c:v>
                </c:pt>
                <c:pt idx="21">
                  <c:v>5/17</c:v>
                </c:pt>
                <c:pt idx="22">
                  <c:v>11/17</c:v>
                </c:pt>
                <c:pt idx="23">
                  <c:v>5/18</c:v>
                </c:pt>
              </c:strCache>
            </c:strRef>
          </c:cat>
          <c:val>
            <c:numRef>
              <c:f>'[iStar Reports July 2019.xlsx]ROI over time chart'!$C$4:$C$27</c:f>
              <c:numCache>
                <c:formatCode>0.00</c:formatCode>
                <c:ptCount val="24"/>
                <c:pt idx="0">
                  <c:v>10.420395978942803</c:v>
                </c:pt>
                <c:pt idx="1">
                  <c:v>10.420395978942803</c:v>
                </c:pt>
                <c:pt idx="2">
                  <c:v>10.420395978942803</c:v>
                </c:pt>
                <c:pt idx="3">
                  <c:v>10.420395978942803</c:v>
                </c:pt>
                <c:pt idx="4">
                  <c:v>10.420395978942803</c:v>
                </c:pt>
                <c:pt idx="5">
                  <c:v>10.420395978942803</c:v>
                </c:pt>
                <c:pt idx="6">
                  <c:v>10.420395978942803</c:v>
                </c:pt>
                <c:pt idx="7">
                  <c:v>10.420395978942803</c:v>
                </c:pt>
                <c:pt idx="8">
                  <c:v>10.420395978942803</c:v>
                </c:pt>
                <c:pt idx="9">
                  <c:v>10.420395978942803</c:v>
                </c:pt>
                <c:pt idx="10">
                  <c:v>10.420395978942803</c:v>
                </c:pt>
                <c:pt idx="11">
                  <c:v>10.420395978942803</c:v>
                </c:pt>
                <c:pt idx="12">
                  <c:v>10.420395978942803</c:v>
                </c:pt>
                <c:pt idx="13">
                  <c:v>10.420395978942803</c:v>
                </c:pt>
                <c:pt idx="14">
                  <c:v>10.420395978942803</c:v>
                </c:pt>
                <c:pt idx="15">
                  <c:v>10.420395978942803</c:v>
                </c:pt>
                <c:pt idx="16">
                  <c:v>10.420395978942803</c:v>
                </c:pt>
                <c:pt idx="17">
                  <c:v>10.420395978942803</c:v>
                </c:pt>
                <c:pt idx="18">
                  <c:v>10.420395978942803</c:v>
                </c:pt>
                <c:pt idx="19">
                  <c:v>10.420395978942803</c:v>
                </c:pt>
                <c:pt idx="20">
                  <c:v>10.420395978942803</c:v>
                </c:pt>
                <c:pt idx="21">
                  <c:v>10.420395978942803</c:v>
                </c:pt>
                <c:pt idx="22">
                  <c:v>10.420395978942803</c:v>
                </c:pt>
                <c:pt idx="23">
                  <c:v>10.420395978942803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56-48AA-9DE6-C9C50BD1D2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680192"/>
        <c:axId val="118681984"/>
      </c:lineChart>
      <c:catAx>
        <c:axId val="118680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681984"/>
        <c:crosses val="autoZero"/>
        <c:auto val="1"/>
        <c:lblAlgn val="ctr"/>
        <c:lblOffset val="100"/>
        <c:noMultiLvlLbl val="0"/>
      </c:catAx>
      <c:valAx>
        <c:axId val="1186819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Reurn on Investment (old return)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6801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Sucess</a:t>
            </a:r>
            <a:r>
              <a:rPr lang="en-US" baseline="0"/>
              <a:t> of Bridge Funding Program: Return on Investment Over Time</a:t>
            </a:r>
          </a:p>
          <a:p>
            <a:pPr>
              <a:defRPr/>
            </a:pPr>
            <a:r>
              <a:rPr lang="en-US" baseline="0"/>
              <a:t>December 2006-May 2016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9057803080206657E-2"/>
          <c:y val="0.12287074560721153"/>
          <c:w val="0.90504853993380863"/>
          <c:h val="0.7726635263214392"/>
        </c:manualLayout>
      </c:layout>
      <c:lineChart>
        <c:grouping val="standard"/>
        <c:varyColors val="0"/>
        <c:ser>
          <c:idx val="0"/>
          <c:order val="0"/>
          <c:tx>
            <c:strRef>
              <c:f>'[Bridge all cycles iStar March 11 2019.xlsx]ROI over time chart'!$B$3</c:f>
              <c:strCache>
                <c:ptCount val="1"/>
                <c:pt idx="0">
                  <c:v>ROI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'[Bridge all cycles iStar March 11 2019.xlsx]ROI over time chart'!$A$4:$A$26</c:f>
              <c:strCache>
                <c:ptCount val="23"/>
                <c:pt idx="0">
                  <c:v>12/06</c:v>
                </c:pt>
                <c:pt idx="1">
                  <c:v>5/07</c:v>
                </c:pt>
                <c:pt idx="2">
                  <c:v>12/07</c:v>
                </c:pt>
                <c:pt idx="3">
                  <c:v>5/08</c:v>
                </c:pt>
                <c:pt idx="4">
                  <c:v>12/08</c:v>
                </c:pt>
                <c:pt idx="5">
                  <c:v>5/09</c:v>
                </c:pt>
                <c:pt idx="6">
                  <c:v>12/09</c:v>
                </c:pt>
                <c:pt idx="7">
                  <c:v>5/10</c:v>
                </c:pt>
                <c:pt idx="8">
                  <c:v>12/10</c:v>
                </c:pt>
                <c:pt idx="9">
                  <c:v>5/11</c:v>
                </c:pt>
                <c:pt idx="10">
                  <c:v>12/11</c:v>
                </c:pt>
                <c:pt idx="11">
                  <c:v>5/12</c:v>
                </c:pt>
                <c:pt idx="12">
                  <c:v>12/12</c:v>
                </c:pt>
                <c:pt idx="13">
                  <c:v>5/13</c:v>
                </c:pt>
                <c:pt idx="14">
                  <c:v>12/13</c:v>
                </c:pt>
                <c:pt idx="15">
                  <c:v>5/14</c:v>
                </c:pt>
                <c:pt idx="16">
                  <c:v>11/14</c:v>
                </c:pt>
                <c:pt idx="17">
                  <c:v>5/15</c:v>
                </c:pt>
                <c:pt idx="18">
                  <c:v>11/15</c:v>
                </c:pt>
                <c:pt idx="19">
                  <c:v>5/16</c:v>
                </c:pt>
                <c:pt idx="20">
                  <c:v>11/16</c:v>
                </c:pt>
                <c:pt idx="21">
                  <c:v>5/17</c:v>
                </c:pt>
                <c:pt idx="22">
                  <c:v>11/17</c:v>
                </c:pt>
              </c:strCache>
            </c:strRef>
          </c:cat>
          <c:val>
            <c:numRef>
              <c:f>'[Bridge all cycles iStar March 11 2019.xlsx]ROI over time chart'!$B$4:$B$26</c:f>
              <c:numCache>
                <c:formatCode>0.0</c:formatCode>
                <c:ptCount val="23"/>
                <c:pt idx="0">
                  <c:v>10.025165833806213</c:v>
                </c:pt>
                <c:pt idx="1">
                  <c:v>12.287673806636064</c:v>
                </c:pt>
                <c:pt idx="2">
                  <c:v>6.9714252953413354</c:v>
                </c:pt>
                <c:pt idx="3">
                  <c:v>8.3805709407090827</c:v>
                </c:pt>
                <c:pt idx="4">
                  <c:v>11.766233969821805</c:v>
                </c:pt>
                <c:pt idx="5">
                  <c:v>3.43664601848397</c:v>
                </c:pt>
                <c:pt idx="6">
                  <c:v>11.517269554469264</c:v>
                </c:pt>
                <c:pt idx="7">
                  <c:v>7.4257261409235564</c:v>
                </c:pt>
                <c:pt idx="8">
                  <c:v>8.4712553037414757</c:v>
                </c:pt>
                <c:pt idx="9">
                  <c:v>4.0857410506354963</c:v>
                </c:pt>
                <c:pt idx="10">
                  <c:v>6.3304830104228689</c:v>
                </c:pt>
                <c:pt idx="11">
                  <c:v>6.4987731904947044</c:v>
                </c:pt>
                <c:pt idx="12">
                  <c:v>5.7869428951161526</c:v>
                </c:pt>
                <c:pt idx="13">
                  <c:v>7.9615374952870281</c:v>
                </c:pt>
                <c:pt idx="14">
                  <c:v>9.122426014603084</c:v>
                </c:pt>
                <c:pt idx="15">
                  <c:v>2.6540833237275727</c:v>
                </c:pt>
                <c:pt idx="16">
                  <c:v>14.874750297199148</c:v>
                </c:pt>
                <c:pt idx="17">
                  <c:v>6.228275064431088</c:v>
                </c:pt>
                <c:pt idx="18">
                  <c:v>28.559107178774148</c:v>
                </c:pt>
                <c:pt idx="19">
                  <c:v>37.200324431455968</c:v>
                </c:pt>
                <c:pt idx="20">
                  <c:v>4.8929940900448985</c:v>
                </c:pt>
                <c:pt idx="21">
                  <c:v>10.624769674047613</c:v>
                </c:pt>
                <c:pt idx="22">
                  <c:v>14.566932935511927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235-4916-A11C-176FC4997151}"/>
            </c:ext>
          </c:extLst>
        </c:ser>
        <c:ser>
          <c:idx val="2"/>
          <c:order val="1"/>
          <c:tx>
            <c:strRef>
              <c:f>'[Bridge all cycles iStar March 11 2019.xlsx]ROI over time chart'!$D$3</c:f>
              <c:strCache>
                <c:ptCount val="1"/>
                <c:pt idx="0">
                  <c:v>Moving Average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'[Bridge all cycles iStar March 11 2019.xlsx]ROI over time chart'!$A$4:$A$26</c:f>
              <c:strCache>
                <c:ptCount val="23"/>
                <c:pt idx="0">
                  <c:v>12/06</c:v>
                </c:pt>
                <c:pt idx="1">
                  <c:v>5/07</c:v>
                </c:pt>
                <c:pt idx="2">
                  <c:v>12/07</c:v>
                </c:pt>
                <c:pt idx="3">
                  <c:v>5/08</c:v>
                </c:pt>
                <c:pt idx="4">
                  <c:v>12/08</c:v>
                </c:pt>
                <c:pt idx="5">
                  <c:v>5/09</c:v>
                </c:pt>
                <c:pt idx="6">
                  <c:v>12/09</c:v>
                </c:pt>
                <c:pt idx="7">
                  <c:v>5/10</c:v>
                </c:pt>
                <c:pt idx="8">
                  <c:v>12/10</c:v>
                </c:pt>
                <c:pt idx="9">
                  <c:v>5/11</c:v>
                </c:pt>
                <c:pt idx="10">
                  <c:v>12/11</c:v>
                </c:pt>
                <c:pt idx="11">
                  <c:v>5/12</c:v>
                </c:pt>
                <c:pt idx="12">
                  <c:v>12/12</c:v>
                </c:pt>
                <c:pt idx="13">
                  <c:v>5/13</c:v>
                </c:pt>
                <c:pt idx="14">
                  <c:v>12/13</c:v>
                </c:pt>
                <c:pt idx="15">
                  <c:v>5/14</c:v>
                </c:pt>
                <c:pt idx="16">
                  <c:v>11/14</c:v>
                </c:pt>
                <c:pt idx="17">
                  <c:v>5/15</c:v>
                </c:pt>
                <c:pt idx="18">
                  <c:v>11/15</c:v>
                </c:pt>
                <c:pt idx="19">
                  <c:v>5/16</c:v>
                </c:pt>
                <c:pt idx="20">
                  <c:v>11/16</c:v>
                </c:pt>
                <c:pt idx="21">
                  <c:v>5/17</c:v>
                </c:pt>
                <c:pt idx="22">
                  <c:v>11/17</c:v>
                </c:pt>
              </c:strCache>
            </c:strRef>
          </c:cat>
          <c:val>
            <c:numRef>
              <c:f>'[Bridge all cycles iStar March 11 2019.xlsx]ROI over time chart'!$D$4:$D$26</c:f>
              <c:numCache>
                <c:formatCode>0.0</c:formatCode>
                <c:ptCount val="23"/>
                <c:pt idx="0">
                  <c:v>10.025165833806213</c:v>
                </c:pt>
                <c:pt idx="1">
                  <c:v>11.156419820221139</c:v>
                </c:pt>
                <c:pt idx="2">
                  <c:v>9.761421645261203</c:v>
                </c:pt>
                <c:pt idx="3">
                  <c:v>9.4162089691231738</c:v>
                </c:pt>
                <c:pt idx="4">
                  <c:v>9.8862139692629007</c:v>
                </c:pt>
                <c:pt idx="5">
                  <c:v>8.8112859774664116</c:v>
                </c:pt>
                <c:pt idx="6">
                  <c:v>9.1978550598953905</c:v>
                </c:pt>
                <c:pt idx="7">
                  <c:v>8.9763389450239117</c:v>
                </c:pt>
                <c:pt idx="8">
                  <c:v>8.9202185404369736</c:v>
                </c:pt>
                <c:pt idx="9">
                  <c:v>8.4367707914568264</c:v>
                </c:pt>
                <c:pt idx="10">
                  <c:v>8.2452900840901027</c:v>
                </c:pt>
                <c:pt idx="11">
                  <c:v>8.0997470096238189</c:v>
                </c:pt>
                <c:pt idx="12">
                  <c:v>7.9218390008155373</c:v>
                </c:pt>
                <c:pt idx="13">
                  <c:v>7.9246746075635013</c:v>
                </c:pt>
                <c:pt idx="14">
                  <c:v>8.0045247013661402</c:v>
                </c:pt>
                <c:pt idx="15">
                  <c:v>7.6701221152637293</c:v>
                </c:pt>
                <c:pt idx="16">
                  <c:v>8.0939237730246365</c:v>
                </c:pt>
                <c:pt idx="17">
                  <c:v>7.990276622547217</c:v>
                </c:pt>
                <c:pt idx="18">
                  <c:v>9.072846651822319</c:v>
                </c:pt>
                <c:pt idx="19">
                  <c:v>10.479220540804002</c:v>
                </c:pt>
                <c:pt idx="20">
                  <c:v>10.213209757434521</c:v>
                </c:pt>
                <c:pt idx="21">
                  <c:v>10.23191702637148</c:v>
                </c:pt>
                <c:pt idx="22">
                  <c:v>10.420395978942803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235-4916-A11C-176FC4997151}"/>
            </c:ext>
          </c:extLst>
        </c:ser>
        <c:ser>
          <c:idx val="1"/>
          <c:order val="2"/>
          <c:tx>
            <c:strRef>
              <c:f>'[Bridge all cycles iStar March 11 2019.xlsx]ROI over time chart'!$C$3</c:f>
              <c:strCache>
                <c:ptCount val="1"/>
                <c:pt idx="0">
                  <c:v>Average</c:v>
                </c:pt>
              </c:strCache>
            </c:strRef>
          </c:tx>
          <c:spPr>
            <a:ln w="28575" cap="rnd" cmpd="sng" algn="ctr">
              <a:solidFill>
                <a:srgbClr val="00206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'[Bridge all cycles iStar March 11 2019.xlsx]ROI over time chart'!$A$4:$A$26</c:f>
              <c:strCache>
                <c:ptCount val="23"/>
                <c:pt idx="0">
                  <c:v>12/06</c:v>
                </c:pt>
                <c:pt idx="1">
                  <c:v>5/07</c:v>
                </c:pt>
                <c:pt idx="2">
                  <c:v>12/07</c:v>
                </c:pt>
                <c:pt idx="3">
                  <c:v>5/08</c:v>
                </c:pt>
                <c:pt idx="4">
                  <c:v>12/08</c:v>
                </c:pt>
                <c:pt idx="5">
                  <c:v>5/09</c:v>
                </c:pt>
                <c:pt idx="6">
                  <c:v>12/09</c:v>
                </c:pt>
                <c:pt idx="7">
                  <c:v>5/10</c:v>
                </c:pt>
                <c:pt idx="8">
                  <c:v>12/10</c:v>
                </c:pt>
                <c:pt idx="9">
                  <c:v>5/11</c:v>
                </c:pt>
                <c:pt idx="10">
                  <c:v>12/11</c:v>
                </c:pt>
                <c:pt idx="11">
                  <c:v>5/12</c:v>
                </c:pt>
                <c:pt idx="12">
                  <c:v>12/12</c:v>
                </c:pt>
                <c:pt idx="13">
                  <c:v>5/13</c:v>
                </c:pt>
                <c:pt idx="14">
                  <c:v>12/13</c:v>
                </c:pt>
                <c:pt idx="15">
                  <c:v>5/14</c:v>
                </c:pt>
                <c:pt idx="16">
                  <c:v>11/14</c:v>
                </c:pt>
                <c:pt idx="17">
                  <c:v>5/15</c:v>
                </c:pt>
                <c:pt idx="18">
                  <c:v>11/15</c:v>
                </c:pt>
                <c:pt idx="19">
                  <c:v>5/16</c:v>
                </c:pt>
                <c:pt idx="20">
                  <c:v>11/16</c:v>
                </c:pt>
                <c:pt idx="21">
                  <c:v>5/17</c:v>
                </c:pt>
                <c:pt idx="22">
                  <c:v>11/17</c:v>
                </c:pt>
              </c:strCache>
            </c:strRef>
          </c:cat>
          <c:val>
            <c:numRef>
              <c:f>'[Bridge all cycles iStar March 11 2019.xlsx]ROI over time chart'!$C$4:$C$26</c:f>
              <c:numCache>
                <c:formatCode>0.00</c:formatCode>
                <c:ptCount val="23"/>
                <c:pt idx="0">
                  <c:v>10.420395978942803</c:v>
                </c:pt>
                <c:pt idx="1">
                  <c:v>10.420395978942803</c:v>
                </c:pt>
                <c:pt idx="2">
                  <c:v>10.420395978942803</c:v>
                </c:pt>
                <c:pt idx="3">
                  <c:v>10.420395978942803</c:v>
                </c:pt>
                <c:pt idx="4">
                  <c:v>10.420395978942803</c:v>
                </c:pt>
                <c:pt idx="5">
                  <c:v>10.420395978942803</c:v>
                </c:pt>
                <c:pt idx="6">
                  <c:v>10.420395978942803</c:v>
                </c:pt>
                <c:pt idx="7">
                  <c:v>10.420395978942803</c:v>
                </c:pt>
                <c:pt idx="8">
                  <c:v>10.420395978942803</c:v>
                </c:pt>
                <c:pt idx="9">
                  <c:v>10.420395978942803</c:v>
                </c:pt>
                <c:pt idx="10">
                  <c:v>10.420395978942803</c:v>
                </c:pt>
                <c:pt idx="11">
                  <c:v>10.420395978942803</c:v>
                </c:pt>
                <c:pt idx="12">
                  <c:v>10.420395978942803</c:v>
                </c:pt>
                <c:pt idx="13">
                  <c:v>10.420395978942803</c:v>
                </c:pt>
                <c:pt idx="14">
                  <c:v>10.420395978942803</c:v>
                </c:pt>
                <c:pt idx="15">
                  <c:v>10.420395978942803</c:v>
                </c:pt>
                <c:pt idx="16">
                  <c:v>10.420395978942803</c:v>
                </c:pt>
                <c:pt idx="17">
                  <c:v>10.420395978942803</c:v>
                </c:pt>
                <c:pt idx="18">
                  <c:v>10.420395978942803</c:v>
                </c:pt>
                <c:pt idx="19">
                  <c:v>10.420395978942803</c:v>
                </c:pt>
                <c:pt idx="20">
                  <c:v>10.420395978942803</c:v>
                </c:pt>
                <c:pt idx="21">
                  <c:v>10.420395978942803</c:v>
                </c:pt>
                <c:pt idx="22">
                  <c:v>10.420395978942803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235-4916-A11C-176FC49971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8680192"/>
        <c:axId val="118681984"/>
      </c:lineChart>
      <c:catAx>
        <c:axId val="118680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681984"/>
        <c:crosses val="autoZero"/>
        <c:auto val="1"/>
        <c:lblAlgn val="ctr"/>
        <c:lblOffset val="100"/>
        <c:noMultiLvlLbl val="0"/>
      </c:catAx>
      <c:valAx>
        <c:axId val="1186819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Reurn on Investment (old return)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6801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 b="0"/>
              <a:t>IRB</a:t>
            </a:r>
            <a:r>
              <a:rPr lang="en-US" sz="1100" b="0" baseline="0"/>
              <a:t> </a:t>
            </a:r>
            <a:r>
              <a:rPr lang="en-US" sz="1100" b="0"/>
              <a:t>SUBMISSIONS INCOMING VOLUME BY TYPE AND MONTH</a:t>
            </a:r>
          </a:p>
          <a:p>
            <a:pPr>
              <a:defRPr sz="1100"/>
            </a:pPr>
            <a:r>
              <a:rPr lang="en-US" sz="1100" b="0"/>
              <a:t>Last 13 Months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HSD!$A$13</c:f>
              <c:strCache>
                <c:ptCount val="1"/>
                <c:pt idx="0">
                  <c:v>Closure Requests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cat>
            <c:strRef>
              <c:f>(HSD!$D$27:$M$27,HSD!$B$35:$D$35)</c:f>
              <c:strCache>
                <c:ptCount val="13"/>
                <c:pt idx="0">
                  <c:v>3/19</c:v>
                </c:pt>
                <c:pt idx="1">
                  <c:v>4/19</c:v>
                </c:pt>
                <c:pt idx="2">
                  <c:v>5/19</c:v>
                </c:pt>
                <c:pt idx="3">
                  <c:v>6/19</c:v>
                </c:pt>
                <c:pt idx="4">
                  <c:v>7/19</c:v>
                </c:pt>
                <c:pt idx="5">
                  <c:v>8/19</c:v>
                </c:pt>
                <c:pt idx="6">
                  <c:v>9/19</c:v>
                </c:pt>
                <c:pt idx="7">
                  <c:v>10/19</c:v>
                </c:pt>
                <c:pt idx="8">
                  <c:v>11/19</c:v>
                </c:pt>
                <c:pt idx="9">
                  <c:v>12/19</c:v>
                </c:pt>
                <c:pt idx="10">
                  <c:v>1/20</c:v>
                </c:pt>
                <c:pt idx="11">
                  <c:v>2/20</c:v>
                </c:pt>
                <c:pt idx="12">
                  <c:v>3/20</c:v>
                </c:pt>
              </c:strCache>
            </c:strRef>
          </c:cat>
          <c:val>
            <c:numRef>
              <c:f>(HSD!$D$28:$M$28,HSD!$B$36:$D$36)</c:f>
              <c:numCache>
                <c:formatCode>General</c:formatCode>
                <c:ptCount val="13"/>
                <c:pt idx="0">
                  <c:v>40</c:v>
                </c:pt>
                <c:pt idx="1">
                  <c:v>39</c:v>
                </c:pt>
                <c:pt idx="2">
                  <c:v>32</c:v>
                </c:pt>
                <c:pt idx="3">
                  <c:v>45</c:v>
                </c:pt>
                <c:pt idx="4">
                  <c:v>52</c:v>
                </c:pt>
                <c:pt idx="5">
                  <c:v>52</c:v>
                </c:pt>
                <c:pt idx="6">
                  <c:v>41</c:v>
                </c:pt>
                <c:pt idx="7">
                  <c:v>29</c:v>
                </c:pt>
                <c:pt idx="8">
                  <c:v>17</c:v>
                </c:pt>
                <c:pt idx="9">
                  <c:v>24</c:v>
                </c:pt>
                <c:pt idx="10">
                  <c:v>20</c:v>
                </c:pt>
                <c:pt idx="11">
                  <c:v>28</c:v>
                </c:pt>
                <c:pt idx="1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A7-4FFF-817D-AD4B1B7343A2}"/>
            </c:ext>
          </c:extLst>
        </c:ser>
        <c:ser>
          <c:idx val="1"/>
          <c:order val="1"/>
          <c:tx>
            <c:strRef>
              <c:f>HSD!$A$14</c:f>
              <c:strCache>
                <c:ptCount val="1"/>
                <c:pt idx="0">
                  <c:v>Status Reports (CRRs) 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cat>
            <c:strRef>
              <c:f>(HSD!$D$27:$M$27,HSD!$B$35:$D$35)</c:f>
              <c:strCache>
                <c:ptCount val="13"/>
                <c:pt idx="0">
                  <c:v>3/19</c:v>
                </c:pt>
                <c:pt idx="1">
                  <c:v>4/19</c:v>
                </c:pt>
                <c:pt idx="2">
                  <c:v>5/19</c:v>
                </c:pt>
                <c:pt idx="3">
                  <c:v>6/19</c:v>
                </c:pt>
                <c:pt idx="4">
                  <c:v>7/19</c:v>
                </c:pt>
                <c:pt idx="5">
                  <c:v>8/19</c:v>
                </c:pt>
                <c:pt idx="6">
                  <c:v>9/19</c:v>
                </c:pt>
                <c:pt idx="7">
                  <c:v>10/19</c:v>
                </c:pt>
                <c:pt idx="8">
                  <c:v>11/19</c:v>
                </c:pt>
                <c:pt idx="9">
                  <c:v>12/19</c:v>
                </c:pt>
                <c:pt idx="10">
                  <c:v>1/20</c:v>
                </c:pt>
                <c:pt idx="11">
                  <c:v>2/20</c:v>
                </c:pt>
                <c:pt idx="12">
                  <c:v>3/20</c:v>
                </c:pt>
              </c:strCache>
            </c:strRef>
          </c:cat>
          <c:val>
            <c:numRef>
              <c:f>(HSD!$D$29:$M$29,HSD!$B$37:$D$37)</c:f>
              <c:numCache>
                <c:formatCode>General</c:formatCode>
                <c:ptCount val="13"/>
                <c:pt idx="0">
                  <c:v>122</c:v>
                </c:pt>
                <c:pt idx="1">
                  <c:v>135</c:v>
                </c:pt>
                <c:pt idx="2">
                  <c:v>122</c:v>
                </c:pt>
                <c:pt idx="3">
                  <c:v>124</c:v>
                </c:pt>
                <c:pt idx="4">
                  <c:v>148</c:v>
                </c:pt>
                <c:pt idx="5">
                  <c:v>128</c:v>
                </c:pt>
                <c:pt idx="6">
                  <c:v>123</c:v>
                </c:pt>
                <c:pt idx="7">
                  <c:v>126</c:v>
                </c:pt>
                <c:pt idx="8">
                  <c:v>124</c:v>
                </c:pt>
                <c:pt idx="9">
                  <c:v>110</c:v>
                </c:pt>
                <c:pt idx="10">
                  <c:v>105</c:v>
                </c:pt>
                <c:pt idx="11">
                  <c:v>131</c:v>
                </c:pt>
                <c:pt idx="12">
                  <c:v>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A7-4FFF-817D-AD4B1B7343A2}"/>
            </c:ext>
          </c:extLst>
        </c:ser>
        <c:ser>
          <c:idx val="2"/>
          <c:order val="2"/>
          <c:tx>
            <c:strRef>
              <c:f>HSD!$A$15</c:f>
              <c:strCache>
                <c:ptCount val="1"/>
                <c:pt idx="0">
                  <c:v>Initial Applications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cat>
            <c:strRef>
              <c:f>(HSD!$D$27:$M$27,HSD!$B$35:$D$35)</c:f>
              <c:strCache>
                <c:ptCount val="13"/>
                <c:pt idx="0">
                  <c:v>3/19</c:v>
                </c:pt>
                <c:pt idx="1">
                  <c:v>4/19</c:v>
                </c:pt>
                <c:pt idx="2">
                  <c:v>5/19</c:v>
                </c:pt>
                <c:pt idx="3">
                  <c:v>6/19</c:v>
                </c:pt>
                <c:pt idx="4">
                  <c:v>7/19</c:v>
                </c:pt>
                <c:pt idx="5">
                  <c:v>8/19</c:v>
                </c:pt>
                <c:pt idx="6">
                  <c:v>9/19</c:v>
                </c:pt>
                <c:pt idx="7">
                  <c:v>10/19</c:v>
                </c:pt>
                <c:pt idx="8">
                  <c:v>11/19</c:v>
                </c:pt>
                <c:pt idx="9">
                  <c:v>12/19</c:v>
                </c:pt>
                <c:pt idx="10">
                  <c:v>1/20</c:v>
                </c:pt>
                <c:pt idx="11">
                  <c:v>2/20</c:v>
                </c:pt>
                <c:pt idx="12">
                  <c:v>3/20</c:v>
                </c:pt>
              </c:strCache>
            </c:strRef>
          </c:cat>
          <c:val>
            <c:numRef>
              <c:f>(HSD!$D$30:$M$30,HSD!$B$38:$D$38)</c:f>
              <c:numCache>
                <c:formatCode>General</c:formatCode>
                <c:ptCount val="13"/>
                <c:pt idx="0">
                  <c:v>221</c:v>
                </c:pt>
                <c:pt idx="1">
                  <c:v>266</c:v>
                </c:pt>
                <c:pt idx="2">
                  <c:v>239</c:v>
                </c:pt>
                <c:pt idx="3">
                  <c:v>179</c:v>
                </c:pt>
                <c:pt idx="4">
                  <c:v>183</c:v>
                </c:pt>
                <c:pt idx="5">
                  <c:v>211</c:v>
                </c:pt>
                <c:pt idx="6">
                  <c:v>168</c:v>
                </c:pt>
                <c:pt idx="7">
                  <c:v>212</c:v>
                </c:pt>
                <c:pt idx="8">
                  <c:v>200</c:v>
                </c:pt>
                <c:pt idx="9">
                  <c:v>185</c:v>
                </c:pt>
                <c:pt idx="10">
                  <c:v>226</c:v>
                </c:pt>
                <c:pt idx="11">
                  <c:v>233</c:v>
                </c:pt>
                <c:pt idx="12">
                  <c:v>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A7-4FFF-817D-AD4B1B7343A2}"/>
            </c:ext>
          </c:extLst>
        </c:ser>
        <c:ser>
          <c:idx val="4"/>
          <c:order val="3"/>
          <c:tx>
            <c:strRef>
              <c:f>HSD!$A$16</c:f>
              <c:strCache>
                <c:ptCount val="1"/>
                <c:pt idx="0">
                  <c:v>Initial Applications - Conversions</c:v>
                </c:pt>
              </c:strCache>
            </c:strRef>
          </c:tx>
          <c:invertIfNegative val="0"/>
          <c:cat>
            <c:strRef>
              <c:f>(HSD!$D$27:$M$27,HSD!$B$35:$D$35)</c:f>
              <c:strCache>
                <c:ptCount val="13"/>
                <c:pt idx="0">
                  <c:v>3/19</c:v>
                </c:pt>
                <c:pt idx="1">
                  <c:v>4/19</c:v>
                </c:pt>
                <c:pt idx="2">
                  <c:v>5/19</c:v>
                </c:pt>
                <c:pt idx="3">
                  <c:v>6/19</c:v>
                </c:pt>
                <c:pt idx="4">
                  <c:v>7/19</c:v>
                </c:pt>
                <c:pt idx="5">
                  <c:v>8/19</c:v>
                </c:pt>
                <c:pt idx="6">
                  <c:v>9/19</c:v>
                </c:pt>
                <c:pt idx="7">
                  <c:v>10/19</c:v>
                </c:pt>
                <c:pt idx="8">
                  <c:v>11/19</c:v>
                </c:pt>
                <c:pt idx="9">
                  <c:v>12/19</c:v>
                </c:pt>
                <c:pt idx="10">
                  <c:v>1/20</c:v>
                </c:pt>
                <c:pt idx="11">
                  <c:v>2/20</c:v>
                </c:pt>
                <c:pt idx="12">
                  <c:v>3/20</c:v>
                </c:pt>
              </c:strCache>
            </c:strRef>
          </c:cat>
          <c:val>
            <c:numRef>
              <c:f>(HSD!$D$31:$M$31,HSD!$B$39:$D$39)</c:f>
              <c:numCache>
                <c:formatCode>General</c:formatCode>
                <c:ptCount val="13"/>
                <c:pt idx="0">
                  <c:v>5</c:v>
                </c:pt>
                <c:pt idx="1">
                  <c:v>4</c:v>
                </c:pt>
                <c:pt idx="2">
                  <c:v>11</c:v>
                </c:pt>
                <c:pt idx="3">
                  <c:v>3</c:v>
                </c:pt>
                <c:pt idx="4">
                  <c:v>14</c:v>
                </c:pt>
                <c:pt idx="5">
                  <c:v>9</c:v>
                </c:pt>
                <c:pt idx="6">
                  <c:v>11</c:v>
                </c:pt>
                <c:pt idx="7">
                  <c:v>7</c:v>
                </c:pt>
                <c:pt idx="8">
                  <c:v>10</c:v>
                </c:pt>
                <c:pt idx="9">
                  <c:v>5</c:v>
                </c:pt>
                <c:pt idx="10">
                  <c:v>6</c:v>
                </c:pt>
                <c:pt idx="11">
                  <c:v>7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A7-4FFF-817D-AD4B1B7343A2}"/>
            </c:ext>
          </c:extLst>
        </c:ser>
        <c:ser>
          <c:idx val="3"/>
          <c:order val="4"/>
          <c:tx>
            <c:strRef>
              <c:f>HSD!$A$17</c:f>
              <c:strCache>
                <c:ptCount val="1"/>
                <c:pt idx="0">
                  <c:v>Modification Requests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cat>
            <c:strRef>
              <c:f>(HSD!$D$27:$M$27,HSD!$B$35:$D$35)</c:f>
              <c:strCache>
                <c:ptCount val="13"/>
                <c:pt idx="0">
                  <c:v>3/19</c:v>
                </c:pt>
                <c:pt idx="1">
                  <c:v>4/19</c:v>
                </c:pt>
                <c:pt idx="2">
                  <c:v>5/19</c:v>
                </c:pt>
                <c:pt idx="3">
                  <c:v>6/19</c:v>
                </c:pt>
                <c:pt idx="4">
                  <c:v>7/19</c:v>
                </c:pt>
                <c:pt idx="5">
                  <c:v>8/19</c:v>
                </c:pt>
                <c:pt idx="6">
                  <c:v>9/19</c:v>
                </c:pt>
                <c:pt idx="7">
                  <c:v>10/19</c:v>
                </c:pt>
                <c:pt idx="8">
                  <c:v>11/19</c:v>
                </c:pt>
                <c:pt idx="9">
                  <c:v>12/19</c:v>
                </c:pt>
                <c:pt idx="10">
                  <c:v>1/20</c:v>
                </c:pt>
                <c:pt idx="11">
                  <c:v>2/20</c:v>
                </c:pt>
                <c:pt idx="12">
                  <c:v>3/20</c:v>
                </c:pt>
              </c:strCache>
            </c:strRef>
          </c:cat>
          <c:val>
            <c:numRef>
              <c:f>(HSD!$D$32:$M$32,HSD!$B$40:$D$40)</c:f>
              <c:numCache>
                <c:formatCode>General</c:formatCode>
                <c:ptCount val="13"/>
                <c:pt idx="0">
                  <c:v>178</c:v>
                </c:pt>
                <c:pt idx="1">
                  <c:v>210</c:v>
                </c:pt>
                <c:pt idx="2">
                  <c:v>194</c:v>
                </c:pt>
                <c:pt idx="3">
                  <c:v>160</c:v>
                </c:pt>
                <c:pt idx="4">
                  <c:v>187</c:v>
                </c:pt>
                <c:pt idx="5">
                  <c:v>177</c:v>
                </c:pt>
                <c:pt idx="6">
                  <c:v>198</c:v>
                </c:pt>
                <c:pt idx="7">
                  <c:v>212</c:v>
                </c:pt>
                <c:pt idx="8">
                  <c:v>166</c:v>
                </c:pt>
                <c:pt idx="9">
                  <c:v>132</c:v>
                </c:pt>
                <c:pt idx="10">
                  <c:v>181</c:v>
                </c:pt>
                <c:pt idx="11">
                  <c:v>207</c:v>
                </c:pt>
                <c:pt idx="12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A7-4FFF-817D-AD4B1B734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405440"/>
        <c:axId val="105415424"/>
      </c:barChart>
      <c:catAx>
        <c:axId val="10540544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crossAx val="105415424"/>
        <c:crosses val="autoZero"/>
        <c:auto val="1"/>
        <c:lblAlgn val="ctr"/>
        <c:lblOffset val="100"/>
        <c:noMultiLvlLbl val="1"/>
      </c:catAx>
      <c:valAx>
        <c:axId val="105415424"/>
        <c:scaling>
          <c:orientation val="minMax"/>
          <c:max val="30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crossAx val="10540544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</c:spPr>
    </c:legend>
    <c:plotVisOnly val="1"/>
    <c:dispBlanksAs val="gap"/>
    <c:showDLblsOverMax val="0"/>
  </c:chart>
  <c:spPr>
    <a:solidFill>
      <a:srgbClr val="FFFFFF"/>
    </a:solidFill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/>
            </a:pPr>
            <a:r>
              <a:rPr lang="en-US" sz="1100" b="0" i="0" baseline="0">
                <a:effectLst/>
                <a:latin typeface="+mn-lt"/>
              </a:rPr>
              <a:t>IRB SUBMISSIONS INCOMING VOLUME BY TYPE AND YEAR</a:t>
            </a:r>
          </a:p>
          <a:p>
            <a:pPr>
              <a:defRPr sz="1100" b="0"/>
            </a:pPr>
            <a:r>
              <a:rPr lang="en-US" sz="1100" b="0" i="0" baseline="0">
                <a:effectLst/>
                <a:latin typeface="+mn-lt"/>
              </a:rPr>
              <a:t>Last 5 Calendar Years (in Progress) </a:t>
            </a:r>
            <a:endParaRPr lang="en-US" sz="1100" b="0">
              <a:effectLst/>
              <a:latin typeface="+mn-lt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HSD!$A$13</c:f>
              <c:strCache>
                <c:ptCount val="1"/>
                <c:pt idx="0">
                  <c:v>Closure Requests</c:v>
                </c:pt>
              </c:strCache>
            </c:strRef>
          </c:tx>
          <c:invertIfNegative val="0"/>
          <c:cat>
            <c:numRef>
              <c:f>(HSD!$N$12,HSD!$N$19,HSD!$N$27)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(HSD!$N$13,HSD!$N$20,HSD!$N$28)</c:f>
              <c:numCache>
                <c:formatCode>General</c:formatCode>
                <c:ptCount val="3"/>
                <c:pt idx="0">
                  <c:v>556</c:v>
                </c:pt>
                <c:pt idx="1">
                  <c:v>792</c:v>
                </c:pt>
                <c:pt idx="2">
                  <c:v>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1D-45DE-BDDF-9189078763FE}"/>
            </c:ext>
          </c:extLst>
        </c:ser>
        <c:ser>
          <c:idx val="1"/>
          <c:order val="1"/>
          <c:tx>
            <c:strRef>
              <c:f>HSD!$A$4</c:f>
              <c:strCache>
                <c:ptCount val="1"/>
                <c:pt idx="0">
                  <c:v>Status Reports (CRRs) </c:v>
                </c:pt>
              </c:strCache>
            </c:strRef>
          </c:tx>
          <c:invertIfNegative val="0"/>
          <c:cat>
            <c:numRef>
              <c:f>(HSD!$N$12,HSD!$N$19,HSD!$N$27)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(HSD!$N$14,HSD!$N$21,HSD!$N$29)</c:f>
              <c:numCache>
                <c:formatCode>General</c:formatCode>
                <c:ptCount val="3"/>
                <c:pt idx="0">
                  <c:v>958</c:v>
                </c:pt>
                <c:pt idx="1">
                  <c:v>1662</c:v>
                </c:pt>
                <c:pt idx="2">
                  <c:v>1536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1D-45DE-BDDF-9189078763FE}"/>
            </c:ext>
          </c:extLst>
        </c:ser>
        <c:ser>
          <c:idx val="2"/>
          <c:order val="2"/>
          <c:tx>
            <c:strRef>
              <c:f>HSD!$A$15</c:f>
              <c:strCache>
                <c:ptCount val="1"/>
                <c:pt idx="0">
                  <c:v>Initial Applications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numRef>
              <c:f>(HSD!$N$12,HSD!$N$19,HSD!$N$27)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(HSD!$N$15,HSD!$N$22,HSD!$N$30)</c:f>
              <c:numCache>
                <c:formatCode>General</c:formatCode>
                <c:ptCount val="3"/>
                <c:pt idx="0">
                  <c:v>2182</c:v>
                </c:pt>
                <c:pt idx="1">
                  <c:v>2295</c:v>
                </c:pt>
                <c:pt idx="2">
                  <c:v>2521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1D-45DE-BDDF-9189078763FE}"/>
            </c:ext>
          </c:extLst>
        </c:ser>
        <c:ser>
          <c:idx val="4"/>
          <c:order val="3"/>
          <c:tx>
            <c:strRef>
              <c:f>HSD!$A$16</c:f>
              <c:strCache>
                <c:ptCount val="1"/>
                <c:pt idx="0">
                  <c:v>Initial Applications - Conversions</c:v>
                </c:pt>
              </c:strCache>
            </c:strRef>
          </c:tx>
          <c:invertIfNegative val="0"/>
          <c:cat>
            <c:numRef>
              <c:f>(HSD!$N$12,HSD!$N$19,HSD!$N$27)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(HSD!$N$16,HSD!$N$23,HSD!$N$31)</c:f>
              <c:numCache>
                <c:formatCode>General</c:formatCode>
                <c:ptCount val="3"/>
                <c:pt idx="0">
                  <c:v>625</c:v>
                </c:pt>
                <c:pt idx="1">
                  <c:v>70</c:v>
                </c:pt>
                <c:pt idx="2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1D-45DE-BDDF-9189078763FE}"/>
            </c:ext>
          </c:extLst>
        </c:ser>
        <c:ser>
          <c:idx val="3"/>
          <c:order val="4"/>
          <c:tx>
            <c:strRef>
              <c:f>HSD!$A$17</c:f>
              <c:strCache>
                <c:ptCount val="1"/>
                <c:pt idx="0">
                  <c:v>Modification Requests</c:v>
                </c:pt>
              </c:strCache>
            </c:strRef>
          </c:tx>
          <c:invertIfNegative val="0"/>
          <c:cat>
            <c:numRef>
              <c:f>(HSD!$N$12,HSD!$N$19,HSD!$N$27)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(HSD!$N$17,HSD!$N$24,HSD!$N$32)</c:f>
              <c:numCache>
                <c:formatCode>General</c:formatCode>
                <c:ptCount val="3"/>
                <c:pt idx="0">
                  <c:v>2442</c:v>
                </c:pt>
                <c:pt idx="1">
                  <c:v>2414</c:v>
                </c:pt>
                <c:pt idx="2">
                  <c:v>2215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1D-45DE-BDDF-918907876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915648"/>
        <c:axId val="117917184"/>
      </c:barChart>
      <c:catAx>
        <c:axId val="11791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7917184"/>
        <c:crosses val="autoZero"/>
        <c:auto val="1"/>
        <c:lblAlgn val="ctr"/>
        <c:lblOffset val="100"/>
        <c:noMultiLvlLbl val="0"/>
      </c:catAx>
      <c:valAx>
        <c:axId val="117917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17915648"/>
        <c:crosses val="autoZero"/>
        <c:crossBetween val="between"/>
      </c:valAx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5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5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0.95713</cdr:y>
    </cdr:from>
    <cdr:to>
      <cdr:x>0.14479</cdr:x>
      <cdr:y>0.99904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6308727"/>
          <a:ext cx="13239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endParaRPr lang="en-US" sz="900" i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1EE0-FFD5-4FB0-8E39-D4C77BC6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morefice</dc:creator>
  <cp:lastModifiedBy>Matt Orefice</cp:lastModifiedBy>
  <cp:revision>105</cp:revision>
  <cp:lastPrinted>2021-12-01T17:27:00Z</cp:lastPrinted>
  <dcterms:created xsi:type="dcterms:W3CDTF">2013-12-04T16:21:00Z</dcterms:created>
  <dcterms:modified xsi:type="dcterms:W3CDTF">2021-12-01T18:03:00Z</dcterms:modified>
</cp:coreProperties>
</file>