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A854" w14:textId="77777777" w:rsidR="00A164AC" w:rsidRPr="00756F7A" w:rsidRDefault="00A164AC" w:rsidP="0088770E">
      <w:pPr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14:paraId="01B192CF" w14:textId="77777777" w:rsidR="00A164AC" w:rsidRPr="00756F7A" w:rsidRDefault="000D5968" w:rsidP="0088770E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75DF5" wp14:editId="311C52A7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3606800" cy="800100"/>
                <wp:effectExtent l="0" t="381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530F" w14:textId="77777777" w:rsidR="00EE5074" w:rsidRPr="00545D00" w:rsidRDefault="00EE5074" w:rsidP="00115F47">
                            <w:pPr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</w:pPr>
                            <w:r w:rsidRPr="00545D00"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  <w:t>Office of Research</w:t>
                            </w:r>
                          </w:p>
                          <w:p w14:paraId="69C342A1" w14:textId="77777777" w:rsidR="00B50565" w:rsidRPr="00230609" w:rsidRDefault="007515AF" w:rsidP="00B50565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>iSTAR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 xml:space="preserve"> Metrics: </w:t>
                            </w:r>
                            <w:r w:rsidR="00B50565">
                              <w:rPr>
                                <w:rFonts w:ascii="Calibri" w:hAnsi="Calibri"/>
                                <w:spacing w:val="32"/>
                              </w:rPr>
                              <w:t>FY20 Q3</w:t>
                            </w:r>
                          </w:p>
                          <w:p w14:paraId="02DFFB86" w14:textId="77777777" w:rsidR="00B50565" w:rsidRPr="00230609" w:rsidRDefault="00B50565" w:rsidP="00B50565">
                            <w:pP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>July 24, 2020</w:t>
                            </w:r>
                          </w:p>
                          <w:p w14:paraId="6C5E8E0F" w14:textId="65C0FFC5" w:rsidR="00EE5074" w:rsidRPr="00306E17" w:rsidRDefault="00EE5074" w:rsidP="00B50565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75D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6.3pt;width:28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" stroked="f">
                <v:textbox>
                  <w:txbxContent>
                    <w:p w14:paraId="285E530F" w14:textId="77777777" w:rsidR="00EE5074" w:rsidRPr="00545D00" w:rsidRDefault="00EE5074" w:rsidP="00115F47">
                      <w:pPr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</w:pPr>
                      <w:r w:rsidRPr="00545D00"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  <w:t>Office of Research</w:t>
                      </w:r>
                    </w:p>
                    <w:p w14:paraId="69C342A1" w14:textId="77777777" w:rsidR="00B50565" w:rsidRPr="00230609" w:rsidRDefault="007515AF" w:rsidP="00B50565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>iSTAR</w:t>
                      </w:r>
                      <w:proofErr w:type="spellEnd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 xml:space="preserve"> Metrics: </w:t>
                      </w:r>
                      <w:r w:rsidR="00B50565">
                        <w:rPr>
                          <w:rFonts w:ascii="Calibri" w:hAnsi="Calibri"/>
                          <w:spacing w:val="32"/>
                        </w:rPr>
                        <w:t>FY20 Q3</w:t>
                      </w:r>
                    </w:p>
                    <w:p w14:paraId="02DFFB86" w14:textId="77777777" w:rsidR="00B50565" w:rsidRPr="00230609" w:rsidRDefault="00B50565" w:rsidP="00B50565">
                      <w:pPr>
                        <w:rPr>
                          <w:rFonts w:ascii="Calibri" w:hAnsi="Calibri"/>
                          <w:spacing w:val="32"/>
                        </w:rPr>
                      </w:pPr>
                      <w:r>
                        <w:rPr>
                          <w:rFonts w:ascii="Calibri" w:hAnsi="Calibri"/>
                          <w:spacing w:val="32"/>
                        </w:rPr>
                        <w:t>July 24, 2020</w:t>
                      </w:r>
                    </w:p>
                    <w:p w14:paraId="6C5E8E0F" w14:textId="65C0FFC5" w:rsidR="00EE5074" w:rsidRPr="00306E17" w:rsidRDefault="00EE5074" w:rsidP="00B50565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9BF15" w14:textId="77777777" w:rsidR="0088770E" w:rsidRPr="00756F7A" w:rsidRDefault="0036280A" w:rsidP="0088770E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w:drawing>
          <wp:inline distT="0" distB="0" distL="0" distR="0" wp14:anchorId="269B918F" wp14:editId="392BD9F7">
            <wp:extent cx="708806" cy="493431"/>
            <wp:effectExtent l="19050" t="0" r="0" b="0"/>
            <wp:docPr id="1" name="Picture 1" descr="UW_W-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W-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48" t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5" cy="4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43EBB" w14:textId="77777777" w:rsidR="002B1C85" w:rsidRPr="00756F7A" w:rsidRDefault="002B1C85" w:rsidP="002B1C85">
      <w:pPr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07E75BF6" w14:textId="77777777" w:rsidR="00545D00" w:rsidRPr="00756F7A" w:rsidRDefault="00545D00" w:rsidP="002B1C85">
      <w:pPr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51BF9F8B" w14:textId="77777777" w:rsidR="003323E3" w:rsidRPr="00756F7A" w:rsidRDefault="003323E3" w:rsidP="003323E3">
      <w:pPr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3F5873A9" w14:textId="77777777" w:rsidR="000B69F2" w:rsidRDefault="00C525BB" w:rsidP="0022463F">
      <w:pPr>
        <w:rPr>
          <w:rFonts w:asciiTheme="minorHAnsi" w:hAnsiTheme="minorHAnsi" w:cstheme="minorHAnsi"/>
          <w:b/>
          <w:sz w:val="20"/>
          <w:szCs w:val="20"/>
        </w:rPr>
        <w:sectPr w:rsidR="000B69F2" w:rsidSect="00C60D61">
          <w:footerReference w:type="even" r:id="rId9"/>
          <w:footerReference w:type="default" r:id="rId10"/>
          <w:footerReference w:type="first" r:id="rId11"/>
          <w:pgSz w:w="12240" w:h="15840"/>
          <w:pgMar w:top="540" w:right="540" w:bottom="864" w:left="864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b/>
          <w:sz w:val="20"/>
          <w:szCs w:val="20"/>
        </w:rPr>
        <w:t xml:space="preserve">Customer </w:t>
      </w:r>
      <w:r w:rsidR="00023D3A">
        <w:rPr>
          <w:rFonts w:asciiTheme="minorHAnsi" w:hAnsiTheme="minorHAnsi" w:cstheme="minorHAnsi"/>
          <w:b/>
          <w:sz w:val="20"/>
          <w:szCs w:val="20"/>
        </w:rPr>
        <w:t>Service</w:t>
      </w:r>
    </w:p>
    <w:p w14:paraId="3F59DDE8" w14:textId="77777777" w:rsidR="007515AF" w:rsidRPr="002E16A1" w:rsidRDefault="007515AF" w:rsidP="007515A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16A1">
        <w:rPr>
          <w:rFonts w:asciiTheme="minorHAnsi" w:hAnsiTheme="minorHAnsi" w:cstheme="minorHAnsi"/>
          <w:color w:val="000000" w:themeColor="text1"/>
          <w:szCs w:val="20"/>
          <w:u w:val="single"/>
        </w:rPr>
        <w:lastRenderedPageBreak/>
        <w:t>Office of Research Central:</w:t>
      </w:r>
      <w:r w:rsidRPr="002E16A1">
        <w:rPr>
          <w:rFonts w:asciiTheme="minorHAnsi" w:hAnsiTheme="minorHAnsi" w:cstheme="minorHAnsi"/>
          <w:b/>
          <w:color w:val="000000" w:themeColor="text1"/>
          <w:szCs w:val="20"/>
          <w:u w:val="single"/>
        </w:rPr>
        <w:t xml:space="preserve"> Royalty Research Fund (RRF)</w:t>
      </w:r>
    </w:p>
    <w:p w14:paraId="75A2DA01" w14:textId="77777777" w:rsidR="007515AF" w:rsidRDefault="007515AF" w:rsidP="007515AF">
      <w:pPr>
        <w:rPr>
          <w:rFonts w:asciiTheme="minorHAnsi" w:hAnsiTheme="minorHAnsi" w:cstheme="minorHAnsi"/>
          <w:b/>
          <w:sz w:val="20"/>
          <w:szCs w:val="20"/>
        </w:rPr>
      </w:pPr>
    </w:p>
    <w:p w14:paraId="03925892" w14:textId="77777777" w:rsidR="007515AF" w:rsidRPr="00756F7A" w:rsidRDefault="007515AF" w:rsidP="007515AF">
      <w:pPr>
        <w:rPr>
          <w:rFonts w:asciiTheme="minorHAnsi" w:hAnsiTheme="minorHAnsi" w:cstheme="minorHAnsi"/>
          <w:b/>
          <w:sz w:val="20"/>
          <w:szCs w:val="20"/>
        </w:rPr>
      </w:pPr>
    </w:p>
    <w:p w14:paraId="205C846D" w14:textId="4A3E67E8" w:rsidR="007515AF" w:rsidRDefault="00A54026" w:rsidP="007515A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57251E40" wp14:editId="46065777">
            <wp:extent cx="6448425" cy="3533775"/>
            <wp:effectExtent l="0" t="0" r="9525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510398" w14:textId="77777777" w:rsidR="007515AF" w:rsidRPr="00756F7A" w:rsidRDefault="007515AF" w:rsidP="007515AF">
      <w:pPr>
        <w:rPr>
          <w:rFonts w:asciiTheme="minorHAnsi" w:hAnsiTheme="minorHAnsi" w:cstheme="minorHAnsi"/>
          <w:b/>
          <w:sz w:val="20"/>
          <w:szCs w:val="20"/>
        </w:rPr>
      </w:pPr>
    </w:p>
    <w:p w14:paraId="7703A852" w14:textId="77777777" w:rsidR="007515AF" w:rsidRDefault="007515AF" w:rsidP="007515AF">
      <w:pPr>
        <w:rPr>
          <w:rFonts w:asciiTheme="minorHAnsi" w:hAnsiTheme="minorHAnsi" w:cstheme="minorHAnsi"/>
          <w:b/>
          <w:sz w:val="20"/>
          <w:szCs w:val="20"/>
        </w:rPr>
      </w:pPr>
    </w:p>
    <w:p w14:paraId="2F11469D" w14:textId="64744B4F" w:rsidR="007515AF" w:rsidRPr="00756F7A" w:rsidRDefault="00A54026" w:rsidP="007515A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5C7A12C1" wp14:editId="522E5605">
            <wp:extent cx="6296025" cy="3724275"/>
            <wp:effectExtent l="0" t="0" r="9525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CEC150" w14:textId="77777777" w:rsidR="007515AF" w:rsidRDefault="007515AF" w:rsidP="007515AF">
      <w:pPr>
        <w:rPr>
          <w:rFonts w:asciiTheme="minorHAnsi" w:hAnsiTheme="minorHAnsi" w:cstheme="minorHAnsi"/>
          <w:b/>
          <w:sz w:val="20"/>
          <w:szCs w:val="20"/>
        </w:rPr>
      </w:pPr>
    </w:p>
    <w:p w14:paraId="4ADAF074" w14:textId="77777777" w:rsidR="007515AF" w:rsidRDefault="007515AF" w:rsidP="007515AF">
      <w:pPr>
        <w:rPr>
          <w:rFonts w:asciiTheme="minorHAnsi" w:hAnsiTheme="minorHAnsi" w:cstheme="minorHAnsi"/>
          <w:b/>
          <w:sz w:val="20"/>
          <w:szCs w:val="20"/>
        </w:rPr>
      </w:pPr>
    </w:p>
    <w:p w14:paraId="4C477C8A" w14:textId="77777777" w:rsidR="00306E17" w:rsidRDefault="00306E17" w:rsidP="00306E17">
      <w:pPr>
        <w:rPr>
          <w:rFonts w:asciiTheme="minorHAnsi" w:hAnsiTheme="minorHAnsi" w:cstheme="minorHAnsi"/>
          <w:b/>
          <w:sz w:val="20"/>
          <w:szCs w:val="20"/>
        </w:rPr>
      </w:pPr>
    </w:p>
    <w:p w14:paraId="6D819146" w14:textId="656E6317" w:rsidR="00306E17" w:rsidRDefault="00A54026" w:rsidP="00306E17">
      <w:pPr>
        <w:ind w:left="-360" w:firstLine="360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6DC4E5C" wp14:editId="5CB6F391">
            <wp:extent cx="6753225" cy="3835400"/>
            <wp:effectExtent l="0" t="0" r="9525" b="1270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AF0DC9" w14:textId="77777777" w:rsidR="00306E17" w:rsidRPr="00756F7A" w:rsidRDefault="00306E17" w:rsidP="00306E17">
      <w:pPr>
        <w:rPr>
          <w:rFonts w:asciiTheme="minorHAnsi" w:hAnsiTheme="minorHAnsi" w:cstheme="minorHAnsi"/>
          <w:b/>
          <w:sz w:val="20"/>
          <w:szCs w:val="20"/>
        </w:rPr>
      </w:pPr>
    </w:p>
    <w:p w14:paraId="3CB0AC77" w14:textId="77777777" w:rsidR="00306E17" w:rsidRPr="00756F7A" w:rsidRDefault="00306E17" w:rsidP="00306E17">
      <w:pPr>
        <w:rPr>
          <w:rFonts w:asciiTheme="minorHAnsi" w:hAnsiTheme="minorHAnsi" w:cstheme="minorHAnsi"/>
          <w:b/>
          <w:sz w:val="20"/>
          <w:szCs w:val="20"/>
        </w:rPr>
      </w:pPr>
    </w:p>
    <w:p w14:paraId="60D51FE7" w14:textId="35B7EED3" w:rsidR="00306E17" w:rsidRDefault="00A54026" w:rsidP="00306E1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6C51EEDD" wp14:editId="1E4588CD">
            <wp:extent cx="6791325" cy="3914775"/>
            <wp:effectExtent l="0" t="0" r="9525" b="952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35D67A" w14:textId="77777777" w:rsidR="00306E17" w:rsidRDefault="00306E17" w:rsidP="00306E1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B72064D" w14:textId="77777777" w:rsidR="00306E17" w:rsidRDefault="00306E17" w:rsidP="00306E1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6874BE" w14:textId="77777777" w:rsidR="007515AF" w:rsidRDefault="007515AF" w:rsidP="007515A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2535C6A" w14:textId="77777777" w:rsidR="007515AF" w:rsidRDefault="007515AF" w:rsidP="00FC4046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430D1B9C" w14:textId="77777777" w:rsidR="00C60D61" w:rsidRDefault="00C60D61" w:rsidP="00C60D61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  <w:sectPr w:rsidR="00C60D61" w:rsidSect="00C60D61">
          <w:footerReference w:type="even" r:id="rId16"/>
          <w:footerReference w:type="default" r:id="rId17"/>
          <w:pgSz w:w="12240" w:h="15840" w:code="1"/>
          <w:pgMar w:top="547" w:right="720" w:bottom="864" w:left="540" w:header="720" w:footer="720" w:gutter="0"/>
          <w:cols w:space="720"/>
          <w:titlePg/>
          <w:docGrid w:linePitch="360"/>
        </w:sectPr>
      </w:pPr>
    </w:p>
    <w:p w14:paraId="68E905FD" w14:textId="77777777" w:rsidR="00FC4046" w:rsidRPr="00FC4DF8" w:rsidRDefault="00C60D61" w:rsidP="00FC4046">
      <w:pPr>
        <w:pBdr>
          <w:bottom w:val="single" w:sz="4" w:space="1" w:color="auto"/>
        </w:pBd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lastRenderedPageBreak/>
        <w:t>Offi</w:t>
      </w:r>
      <w:r w:rsidR="00FC4046" w:rsidRPr="00E366EB">
        <w:rPr>
          <w:rFonts w:asciiTheme="minorHAnsi" w:hAnsiTheme="minorHAnsi" w:cstheme="minorHAnsi"/>
          <w:color w:val="000000" w:themeColor="text1"/>
          <w:szCs w:val="20"/>
        </w:rPr>
        <w:t>ce of Research Central:</w:t>
      </w:r>
      <w:r w:rsidR="00FC4046" w:rsidRPr="004A1C7E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="00FC4046" w:rsidRPr="00E366EB">
        <w:rPr>
          <w:rFonts w:asciiTheme="minorHAnsi" w:hAnsiTheme="minorHAnsi" w:cstheme="minorHAnsi"/>
          <w:b/>
          <w:color w:val="000000" w:themeColor="text1"/>
          <w:szCs w:val="20"/>
        </w:rPr>
        <w:t>Bridge Funding</w:t>
      </w:r>
    </w:p>
    <w:p w14:paraId="4E979E57" w14:textId="77777777" w:rsidR="00FC4046" w:rsidRPr="00756F7A" w:rsidRDefault="00FC4046" w:rsidP="00FC4046">
      <w:pPr>
        <w:rPr>
          <w:rFonts w:asciiTheme="minorHAnsi" w:hAnsiTheme="minorHAnsi" w:cstheme="minorHAnsi"/>
          <w:b/>
          <w:sz w:val="20"/>
          <w:szCs w:val="20"/>
        </w:rPr>
      </w:pPr>
    </w:p>
    <w:p w14:paraId="29A24ADF" w14:textId="104CFAA9" w:rsidR="00FC4046" w:rsidRDefault="00B50565" w:rsidP="00FC4046">
      <w:pPr>
        <w:ind w:firstLine="360"/>
        <w:rPr>
          <w:noProof/>
        </w:rPr>
      </w:pPr>
      <w:r>
        <w:rPr>
          <w:noProof/>
        </w:rPr>
        <w:drawing>
          <wp:inline distT="0" distB="0" distL="0" distR="0" wp14:anchorId="7438E874" wp14:editId="463A99C9">
            <wp:extent cx="8961120" cy="60579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87CAEE0" w14:textId="77777777" w:rsidR="008E67A8" w:rsidRPr="00A10154" w:rsidRDefault="008E67A8" w:rsidP="00FC4046">
      <w:pPr>
        <w:ind w:firstLine="360"/>
        <w:rPr>
          <w:noProof/>
        </w:rPr>
      </w:pPr>
    </w:p>
    <w:tbl>
      <w:tblPr>
        <w:tblW w:w="13500" w:type="dxa"/>
        <w:tblLook w:val="04A0" w:firstRow="1" w:lastRow="0" w:firstColumn="1" w:lastColumn="0" w:noHBand="0" w:noVBand="1"/>
      </w:tblPr>
      <w:tblGrid>
        <w:gridCol w:w="1421"/>
        <w:gridCol w:w="1505"/>
        <w:gridCol w:w="1505"/>
        <w:gridCol w:w="1505"/>
        <w:gridCol w:w="1693"/>
        <w:gridCol w:w="1693"/>
        <w:gridCol w:w="1693"/>
        <w:gridCol w:w="1609"/>
        <w:gridCol w:w="1484"/>
      </w:tblGrid>
      <w:tr w:rsidR="008E67A8" w14:paraId="17102693" w14:textId="77777777" w:rsidTr="00962808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9275B"/>
            <w:noWrap/>
            <w:vAlign w:val="bottom"/>
            <w:hideMark/>
          </w:tcPr>
          <w:p w14:paraId="40CD17A0" w14:textId="77777777" w:rsidR="008E67A8" w:rsidRPr="00FC46EF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16"/>
              </w:rPr>
            </w:pPr>
            <w:bookmarkStart w:id="0" w:name="RANGE!B2:J30"/>
            <w:r w:rsidRPr="00FC46EF">
              <w:rPr>
                <w:rFonts w:ascii="Calibri" w:hAnsi="Calibri" w:cs="Calibri"/>
                <w:b/>
                <w:bCs/>
                <w:color w:val="FFFFFF"/>
                <w:sz w:val="20"/>
                <w:szCs w:val="16"/>
              </w:rPr>
              <w:lastRenderedPageBreak/>
              <w:t>Success of Bridge Funding Program</w:t>
            </w:r>
            <w:bookmarkEnd w:id="0"/>
          </w:p>
        </w:tc>
      </w:tr>
      <w:tr w:rsidR="008E67A8" w14:paraId="02B0740F" w14:textId="77777777" w:rsidTr="00962808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9275B"/>
            <w:noWrap/>
            <w:hideMark/>
          </w:tcPr>
          <w:p w14:paraId="61A499E3" w14:textId="77777777" w:rsidR="008E67A8" w:rsidRPr="00FC46EF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16"/>
              </w:rPr>
            </w:pPr>
            <w:r w:rsidRPr="00FC46EF">
              <w:rPr>
                <w:rFonts w:ascii="Calibri" w:hAnsi="Calibri" w:cs="Calibri"/>
                <w:b/>
                <w:bCs/>
                <w:color w:val="FFFFFF"/>
                <w:sz w:val="20"/>
                <w:szCs w:val="16"/>
              </w:rPr>
              <w:t>December 2006 - May 2018</w:t>
            </w:r>
          </w:p>
        </w:tc>
      </w:tr>
      <w:tr w:rsidR="008E67A8" w14:paraId="3F3450A7" w14:textId="77777777" w:rsidTr="00962808">
        <w:trPr>
          <w:trHeight w:val="910"/>
        </w:trPr>
        <w:tc>
          <w:tcPr>
            <w:tcW w:w="1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466107B7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>Submission Date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1371CE07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>Distribution Provost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0FF9A528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>Distribution Matching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7741B55D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>Total Provost and Matching</w:t>
            </w:r>
          </w:p>
        </w:tc>
        <w:tc>
          <w:tcPr>
            <w:tcW w:w="1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2ED795B7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br/>
              <w:t>Bridge</w:t>
            </w: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br/>
              <w:t>Awards</w:t>
            </w:r>
          </w:p>
        </w:tc>
        <w:tc>
          <w:tcPr>
            <w:tcW w:w="1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center"/>
            <w:hideMark/>
          </w:tcPr>
          <w:p w14:paraId="1F975ABC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>Awardees</w:t>
            </w: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br/>
              <w:t>Receiving External Funding</w:t>
            </w: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br/>
              <w:t xml:space="preserve">within 1.5 </w:t>
            </w:r>
            <w:proofErr w:type="spellStart"/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>yrs</w:t>
            </w:r>
            <w:proofErr w:type="spellEnd"/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 xml:space="preserve"> of award</w:t>
            </w:r>
          </w:p>
        </w:tc>
        <w:tc>
          <w:tcPr>
            <w:tcW w:w="1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0C809C31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 xml:space="preserve">% Receiving Funding </w:t>
            </w:r>
            <w:r>
              <w:rPr>
                <w:rFonts w:ascii="Calibri" w:hAnsi="Calibri" w:cs="Calibri"/>
                <w:b/>
                <w:bCs/>
                <w:i/>
                <w:iCs/>
                <w:color w:val="F2F2F2"/>
                <w:sz w:val="16"/>
                <w:szCs w:val="16"/>
              </w:rPr>
              <w:t>(total is an average)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3CF4B8A0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>External Grants Obtained (direct and indirect costs)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9275B"/>
            <w:vAlign w:val="bottom"/>
            <w:hideMark/>
          </w:tcPr>
          <w:p w14:paraId="135BAE24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2F2F2"/>
                <w:sz w:val="16"/>
                <w:szCs w:val="16"/>
              </w:rPr>
              <w:t xml:space="preserve">Return on Investment - fold return </w:t>
            </w:r>
            <w:r>
              <w:rPr>
                <w:rFonts w:ascii="Calibri" w:hAnsi="Calibri" w:cs="Calibri"/>
                <w:b/>
                <w:bCs/>
                <w:i/>
                <w:iCs/>
                <w:color w:val="F2F2F2"/>
                <w:sz w:val="16"/>
                <w:szCs w:val="16"/>
              </w:rPr>
              <w:t>(total is an average)</w:t>
            </w:r>
          </w:p>
        </w:tc>
      </w:tr>
      <w:tr w:rsidR="008E67A8" w14:paraId="5F960966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06EBA3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8AA54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$489,177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F47A0D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$549,041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FB20F5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$1,038,217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2C47D9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CD1870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2F5AE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BBF1E11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$10,408,299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F15D52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10.0</w:t>
            </w:r>
          </w:p>
        </w:tc>
      </w:tr>
      <w:tr w:rsidR="008E67A8" w14:paraId="4B6525DB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F37C94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FEEA2C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$394,809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6A5A7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$482,486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1EA30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$877,295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61757F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E5724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5D481D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92%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A4370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$10,779,910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DF2397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12.3</w:t>
            </w:r>
          </w:p>
        </w:tc>
      </w:tr>
      <w:tr w:rsidR="008E67A8" w14:paraId="7F32235D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6A1FC6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51A0E8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$501,802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96C40B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$584,861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EBA9B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$1,086,662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DADBDF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31E6A9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6AA368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0BA797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$7,575,584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2951C0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7.0</w:t>
            </w:r>
          </w:p>
        </w:tc>
      </w:tr>
      <w:tr w:rsidR="008E67A8" w14:paraId="28A5A76A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183A736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B2A957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$523,468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176FEE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$573,117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2DEB14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$1,096,586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A05481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D6A478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704DA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5F28FA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$9,190,014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7B3D2AA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8.4</w:t>
            </w:r>
          </w:p>
        </w:tc>
      </w:tr>
      <w:tr w:rsidR="008E67A8" w14:paraId="2C8E3648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14574F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666EA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$576,521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B0E227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$659,742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E0BCF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$1,236,263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BD7465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27106B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ADCEE3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E6913E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$14,546,157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5EA289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11.8</w:t>
            </w:r>
          </w:p>
        </w:tc>
      </w:tr>
      <w:tr w:rsidR="008E67A8" w14:paraId="0FC8D59B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C52E83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9646E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$399,662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2C1584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$459,637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4248DC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$859,299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F20CF1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E75E7A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2061DB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57125C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$2,953,107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681A62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3.4</w:t>
            </w:r>
          </w:p>
        </w:tc>
      </w:tr>
      <w:tr w:rsidR="008E67A8" w14:paraId="5A8C1B28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B75109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AC82C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$394,870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23366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$459,637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EB339D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$854,507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27BCDD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855847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988E8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9FEE96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$9,841,584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90D6C6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11.5</w:t>
            </w:r>
          </w:p>
        </w:tc>
      </w:tr>
      <w:tr w:rsidR="008E67A8" w14:paraId="1D7CDEB7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FAB455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E502C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$290,205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A9A88C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$324,394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B3EBA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$614,599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6576D5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8CB68C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440BBA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82A395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$4,563,844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CA49C5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7.4</w:t>
            </w:r>
          </w:p>
        </w:tc>
      </w:tr>
      <w:tr w:rsidR="008E67A8" w14:paraId="616EF3C3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78C548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353AD6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$520,670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1F223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$548,500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70AF8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$1,069,170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0BEC6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78CAD1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096B85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B6EC4F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$9,057,210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8787BB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8.5</w:t>
            </w:r>
          </w:p>
        </w:tc>
      </w:tr>
      <w:tr w:rsidR="008E67A8" w14:paraId="31C1ADDD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8A7014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FAB336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$441,893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BA19E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$429,066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37F789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$870,959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415CD8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93A23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C2BFFE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4C4CF7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$3,558,512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316377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4.1</w:t>
            </w:r>
          </w:p>
        </w:tc>
      </w:tr>
      <w:tr w:rsidR="008E67A8" w14:paraId="304F8D56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37C4D5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871F81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$645,752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D08915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$649,189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27AFC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$1,294,941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8FA4F5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B83D45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1359FB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6FCAD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$8,197,602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C4D5ED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6.3</w:t>
            </w:r>
          </w:p>
        </w:tc>
      </w:tr>
      <w:tr w:rsidR="008E67A8" w14:paraId="3A5DEE22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EDE478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62D3B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$645,357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60102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$645,797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57B23B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$1,291,154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5D5F0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1317A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7E935E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E85E1B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$8,390,917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6F0D4C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6.5</w:t>
            </w:r>
          </w:p>
        </w:tc>
      </w:tr>
      <w:tr w:rsidR="008E67A8" w14:paraId="0820F167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8559CE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D30A4D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$653,074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3F1D56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$728,755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5565A1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$1,381,828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288EDB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FD385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66E760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C7273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$7,996,561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374A0E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5.8</w:t>
            </w:r>
          </w:p>
        </w:tc>
      </w:tr>
      <w:tr w:rsidR="008E67A8" w14:paraId="1E22DBC7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D9A8B3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29C248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$324,830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0F035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$376,134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FF3F5A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$700,964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2E1C03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F5816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71E58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7EF36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$5,580,753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4BEF2A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8.0</w:t>
            </w:r>
          </w:p>
        </w:tc>
      </w:tr>
      <w:tr w:rsidR="008E67A8" w14:paraId="36815BC5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5619A4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Dec-13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2272D6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$730,017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9C2F7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$622,388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D4E8A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$1,352,405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ED3585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2AD84E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B8E98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E3949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$12,337,212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C7652F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9.1</w:t>
            </w:r>
          </w:p>
        </w:tc>
      </w:tr>
      <w:tr w:rsidR="008E67A8" w14:paraId="60DD6D22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AA680B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661F7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$451,776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D1541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$555,692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94FEE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$1,007,468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03D55C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1D0469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3F0FC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4C304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$2,673,905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E44950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2.7</w:t>
            </w:r>
          </w:p>
        </w:tc>
      </w:tr>
      <w:tr w:rsidR="008E67A8" w14:paraId="161DB975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B0A0D9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Nov-14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176318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$486,773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418DC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$586,783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E7C64E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$1,073,556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AF8A15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51291C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A2FD14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BD39CF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$15,968,881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3897A1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14.9</w:t>
            </w:r>
          </w:p>
        </w:tc>
      </w:tr>
      <w:tr w:rsidR="008E67A8" w14:paraId="1DFB7FC8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60794D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1A3EDE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$516,630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EAAA04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$517,700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891F9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$1,034,330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8CB56C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18CF78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DC0344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7604EB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$6,442,091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A79493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6.2</w:t>
            </w:r>
          </w:p>
        </w:tc>
      </w:tr>
      <w:tr w:rsidR="008E67A8" w14:paraId="4F0896B7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61CDDB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Nov-15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233F39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$437,408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3D406E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$438,421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DD83D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$875,829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16CA30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573E38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FADFAE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64016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$25,012,884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97D665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28.6</w:t>
            </w:r>
          </w:p>
        </w:tc>
      </w:tr>
      <w:tr w:rsidR="008E67A8" w14:paraId="33B66756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8AC2E6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163B1EB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$392,974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AD5F56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$399,181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2F2D5A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$792,155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EB97A3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24F5B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F29151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BDC0BE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$29,468,423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981DA7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37.2</w:t>
            </w:r>
          </w:p>
        </w:tc>
      </w:tr>
      <w:tr w:rsidR="008E67A8" w14:paraId="5AFFA1B8" w14:textId="77777777" w:rsidTr="009628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A715A5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Nov-16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F65F1D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$308,675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ABC54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$327,337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BB5A2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$636,012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7D861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8D317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AF5C4C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74C70D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$3,112,001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04DF84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4.9</w:t>
            </w:r>
          </w:p>
        </w:tc>
      </w:tr>
      <w:tr w:rsidR="008E67A8" w14:paraId="757FBBBC" w14:textId="77777777" w:rsidTr="00962808">
        <w:trPr>
          <w:trHeight w:val="163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EBF6B9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64D9BE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$329,629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023341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$364,858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75074D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$694,487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A5E1C6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D349BC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C0A537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8EE275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$6,633,939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92742E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9.6</w:t>
            </w:r>
          </w:p>
        </w:tc>
      </w:tr>
      <w:tr w:rsidR="008E67A8" w14:paraId="6EF7D45B" w14:textId="77777777" w:rsidTr="00962808">
        <w:trPr>
          <w:trHeight w:val="217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520FE3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Nov-17 </w:t>
            </w:r>
            <w:r>
              <w:rPr>
                <w:rFonts w:ascii="Calibri" w:hAnsi="Calibri" w:cs="Calibri"/>
                <w:b/>
                <w:bCs/>
                <w:color w:val="C79900"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384338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$290,565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778752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$279,017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8F35AB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$569,582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0ADC01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A6E802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1F5FCD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4AB3BD3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$8,297,066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22ED55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14.6</w:t>
            </w:r>
          </w:p>
        </w:tc>
      </w:tr>
      <w:tr w:rsidR="008E67A8" w14:paraId="56043F4F" w14:textId="77777777" w:rsidTr="00962808">
        <w:trPr>
          <w:trHeight w:val="77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9A9847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May-18</w:t>
            </w:r>
            <w:r>
              <w:rPr>
                <w:rFonts w:ascii="Calibri" w:hAnsi="Calibri" w:cs="Calibri"/>
                <w:b/>
                <w:bCs/>
                <w:color w:val="C79900"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D0A0F4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$284,935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BB7D38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$304,607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BF9940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$589,542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66DFCC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A4941D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D2F1E0" w14:textId="77777777" w:rsidR="008E67A8" w:rsidRDefault="008E67A8" w:rsidP="00962808">
            <w:pPr>
              <w:jc w:val="center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86%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961A4F" w14:textId="77777777" w:rsidR="008E67A8" w:rsidRDefault="008E67A8" w:rsidP="00962808">
            <w:pPr>
              <w:jc w:val="right"/>
              <w:rPr>
                <w:rFonts w:ascii="Calibri" w:hAnsi="Calibri" w:cs="Calibri"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color w:val="4C4C4C"/>
                <w:sz w:val="16"/>
                <w:szCs w:val="16"/>
              </w:rPr>
              <w:t>$6,530,915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7C0CCE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C4C4C"/>
                <w:sz w:val="16"/>
                <w:szCs w:val="16"/>
              </w:rPr>
              <w:t>11.1</w:t>
            </w:r>
          </w:p>
        </w:tc>
      </w:tr>
      <w:tr w:rsidR="008E67A8" w14:paraId="2CE82B23" w14:textId="77777777" w:rsidTr="00962808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9900"/>
            <w:vAlign w:val="bottom"/>
            <w:hideMark/>
          </w:tcPr>
          <w:p w14:paraId="7BFD98EE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1BF" w:fill="C79900"/>
            <w:noWrap/>
            <w:vAlign w:val="bottom"/>
            <w:hideMark/>
          </w:tcPr>
          <w:p w14:paraId="4AE0DD7E" w14:textId="77777777" w:rsidR="008E67A8" w:rsidRDefault="008E67A8" w:rsidP="0096280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$11,031,473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1BF" w:fill="C79900"/>
            <w:noWrap/>
            <w:vAlign w:val="bottom"/>
            <w:hideMark/>
          </w:tcPr>
          <w:p w14:paraId="2F9E0E81" w14:textId="77777777" w:rsidR="008E67A8" w:rsidRDefault="008E67A8" w:rsidP="0096280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$11,866,336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1BF" w:fill="C79900"/>
            <w:noWrap/>
            <w:vAlign w:val="bottom"/>
            <w:hideMark/>
          </w:tcPr>
          <w:p w14:paraId="5D9F3BA2" w14:textId="77777777" w:rsidR="008E67A8" w:rsidRDefault="008E67A8" w:rsidP="0096280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$22,897,809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1BF" w:fill="C79900"/>
            <w:noWrap/>
            <w:vAlign w:val="center"/>
            <w:hideMark/>
          </w:tcPr>
          <w:p w14:paraId="40BFAEB6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9900"/>
            <w:noWrap/>
            <w:vAlign w:val="center"/>
            <w:hideMark/>
          </w:tcPr>
          <w:p w14:paraId="149E556F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1BF" w:fill="C79900"/>
            <w:noWrap/>
            <w:vAlign w:val="bottom"/>
            <w:hideMark/>
          </w:tcPr>
          <w:p w14:paraId="19404A95" w14:textId="77777777" w:rsidR="008E67A8" w:rsidRDefault="008E67A8" w:rsidP="009628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1BF" w:fill="C79900"/>
            <w:noWrap/>
            <w:vAlign w:val="bottom"/>
            <w:hideMark/>
          </w:tcPr>
          <w:p w14:paraId="527A0600" w14:textId="77777777" w:rsidR="008E67A8" w:rsidRDefault="008E67A8" w:rsidP="0096280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$229,117,371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9900"/>
            <w:noWrap/>
            <w:vAlign w:val="bottom"/>
            <w:hideMark/>
          </w:tcPr>
          <w:p w14:paraId="2E451FF8" w14:textId="77777777" w:rsidR="008E67A8" w:rsidRDefault="008E67A8" w:rsidP="009628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10.4</w:t>
            </w:r>
          </w:p>
        </w:tc>
      </w:tr>
      <w:tr w:rsidR="008E67A8" w14:paraId="5BD83C17" w14:textId="77777777" w:rsidTr="00962808">
        <w:trPr>
          <w:trHeight w:val="793"/>
        </w:trPr>
        <w:tc>
          <w:tcPr>
            <w:tcW w:w="1350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BA079" w14:textId="77777777" w:rsidR="008E67A8" w:rsidRDefault="008E67A8" w:rsidP="0096280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NOTES 1. Provost Distribution amounts displayed may be less than the original Provost distribution, unspent funds are returned to the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Provost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budget when awardees receive external funding. 2. The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Nov,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2015 and the May, 2016 cycles have a higher ROI than average. This is due to multiple factors: over those two years the percentage of awardees receiving external funding increased to 75% and they included high dollar grants - the two largest grants were $15,915,986 (Nov 2015) and $17,875,215 (May 2016) and is reflected in the ROI.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color w:val="C799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Does not include awards currently in extension</w:t>
            </w:r>
          </w:p>
        </w:tc>
      </w:tr>
      <w:tr w:rsidR="008E67A8" w14:paraId="60C842EB" w14:textId="77777777" w:rsidTr="00962808">
        <w:trPr>
          <w:trHeight w:val="793"/>
        </w:trPr>
        <w:tc>
          <w:tcPr>
            <w:tcW w:w="1350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861B0C" w14:textId="77777777" w:rsidR="008E67A8" w:rsidRDefault="008E67A8" w:rsidP="0096280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BC2DF9" wp14:editId="373CAC48">
                  <wp:extent cx="8812924" cy="6195849"/>
                  <wp:effectExtent l="0" t="0" r="7620" b="1460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2A851CC5" w14:textId="77777777" w:rsidR="00C60D61" w:rsidRPr="00C60D61" w:rsidRDefault="00C60D61" w:rsidP="00C60D61">
      <w:pPr>
        <w:rPr>
          <w:rFonts w:asciiTheme="minorHAnsi" w:hAnsiTheme="minorHAnsi" w:cstheme="minorHAnsi"/>
          <w:b/>
          <w:sz w:val="20"/>
          <w:szCs w:val="20"/>
        </w:rPr>
        <w:sectPr w:rsidR="00C60D61" w:rsidRPr="00C60D61" w:rsidSect="00C60D61">
          <w:pgSz w:w="15840" w:h="12240" w:orient="landscape" w:code="1"/>
          <w:pgMar w:top="547" w:right="547" w:bottom="720" w:left="864" w:header="720" w:footer="720" w:gutter="0"/>
          <w:cols w:space="720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23414247" wp14:editId="1998747D">
            <wp:extent cx="8856345" cy="6334760"/>
            <wp:effectExtent l="0" t="0" r="1905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FAD7261" w14:textId="77777777" w:rsidR="00C60D61" w:rsidRPr="00070713" w:rsidRDefault="00C60D61" w:rsidP="00C60D61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  <w:r w:rsidRPr="00070713">
        <w:rPr>
          <w:rFonts w:asciiTheme="minorHAnsi" w:hAnsiTheme="minorHAnsi" w:cstheme="minorHAnsi"/>
          <w:color w:val="000000" w:themeColor="text1"/>
          <w:szCs w:val="20"/>
        </w:rPr>
        <w:lastRenderedPageBreak/>
        <w:t>Human Subjects Division (HSD)</w:t>
      </w:r>
    </w:p>
    <w:p w14:paraId="4C09D1A6" w14:textId="77777777" w:rsidR="00C60D61" w:rsidRPr="00756F7A" w:rsidRDefault="00C60D61" w:rsidP="00C60D61">
      <w:pPr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CA20D" w14:textId="3290FFF4" w:rsidR="00C60D61" w:rsidRDefault="00B50565" w:rsidP="00C60D61">
      <w:pPr>
        <w:tabs>
          <w:tab w:val="left" w:pos="990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FB8010A" wp14:editId="6B20BCAA">
            <wp:extent cx="6967855" cy="4510329"/>
            <wp:effectExtent l="0" t="0" r="4445" b="508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2A190E8" w14:textId="77777777" w:rsidR="00306E17" w:rsidRDefault="00306E17" w:rsidP="00C60D61">
      <w:pPr>
        <w:tabs>
          <w:tab w:val="left" w:pos="990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6AB199C" w14:textId="7C433B57" w:rsidR="00C60D61" w:rsidRDefault="00A54026" w:rsidP="00C60D61">
      <w:pPr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48627B" wp14:editId="05F6D57D">
            <wp:extent cx="6657975" cy="3228975"/>
            <wp:effectExtent l="0" t="0" r="9525" b="952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D0251AF" w14:textId="77777777" w:rsidR="00C60D61" w:rsidRPr="001D0D01" w:rsidRDefault="00C60D61" w:rsidP="00C60D61">
      <w:pPr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1D0D01">
        <w:rPr>
          <w:rFonts w:asciiTheme="minorHAnsi" w:hAnsiTheme="minorHAnsi" w:cstheme="minorHAnsi"/>
          <w:bCs/>
          <w:sz w:val="20"/>
          <w:szCs w:val="20"/>
        </w:rPr>
        <w:t>The above sections are aggregated to show both Minimal Risk</w:t>
      </w:r>
      <w:r>
        <w:rPr>
          <w:rFonts w:asciiTheme="minorHAnsi" w:hAnsiTheme="minorHAnsi" w:cstheme="minorHAnsi"/>
          <w:bCs/>
          <w:sz w:val="20"/>
          <w:szCs w:val="20"/>
        </w:rPr>
        <w:t xml:space="preserve"> and Standard together. </w:t>
      </w:r>
      <w:r w:rsidRPr="001D0D01">
        <w:rPr>
          <w:rFonts w:asciiTheme="minorHAnsi" w:hAnsiTheme="minorHAnsi" w:cstheme="minorHAnsi"/>
          <w:bCs/>
          <w:sz w:val="20"/>
          <w:szCs w:val="20"/>
        </w:rPr>
        <w:t>This includes both Zipline and DORA systems</w:t>
      </w:r>
    </w:p>
    <w:p w14:paraId="4D048283" w14:textId="77777777" w:rsidR="00C60D61" w:rsidRDefault="00C60D61" w:rsidP="00C60D61">
      <w:pPr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1D0D01">
        <w:rPr>
          <w:rFonts w:asciiTheme="minorHAnsi" w:hAnsiTheme="minorHAnsi" w:cstheme="minorHAnsi"/>
          <w:bCs/>
          <w:sz w:val="20"/>
          <w:szCs w:val="20"/>
        </w:rPr>
        <w:t>data.</w:t>
      </w:r>
      <w:r>
        <w:rPr>
          <w:rFonts w:asciiTheme="minorHAnsi" w:hAnsiTheme="minorHAnsi" w:cstheme="minorHAnsi"/>
          <w:bCs/>
          <w:sz w:val="20"/>
          <w:szCs w:val="20"/>
        </w:rPr>
        <w:t xml:space="preserve"> Over time, enough data will be collected to show a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five year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trend.</w:t>
      </w:r>
    </w:p>
    <w:p w14:paraId="410FB08F" w14:textId="29067EE7" w:rsidR="005A3568" w:rsidRDefault="005A3568" w:rsidP="005A3568">
      <w:pPr>
        <w:rPr>
          <w:rFonts w:asciiTheme="minorHAnsi" w:hAnsiTheme="minorHAnsi" w:cstheme="minorHAnsi"/>
          <w:b/>
          <w:sz w:val="20"/>
          <w:szCs w:val="20"/>
        </w:rPr>
      </w:pPr>
    </w:p>
    <w:p w14:paraId="793F1D89" w14:textId="11604934" w:rsidR="008E67A8" w:rsidRDefault="008E67A8" w:rsidP="005A3568">
      <w:pPr>
        <w:rPr>
          <w:rFonts w:asciiTheme="minorHAnsi" w:hAnsiTheme="minorHAnsi" w:cstheme="minorHAnsi"/>
          <w:b/>
          <w:sz w:val="20"/>
          <w:szCs w:val="20"/>
        </w:rPr>
      </w:pPr>
    </w:p>
    <w:p w14:paraId="35E5076A" w14:textId="77777777" w:rsidR="008E67A8" w:rsidRPr="003753B7" w:rsidRDefault="008E67A8" w:rsidP="005A356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800" w:type="dxa"/>
        <w:tblInd w:w="108" w:type="dxa"/>
        <w:tblLook w:val="04A0" w:firstRow="1" w:lastRow="0" w:firstColumn="1" w:lastColumn="0" w:noHBand="0" w:noVBand="1"/>
      </w:tblPr>
      <w:tblGrid>
        <w:gridCol w:w="700"/>
        <w:gridCol w:w="2296"/>
        <w:gridCol w:w="885"/>
        <w:gridCol w:w="959"/>
        <w:gridCol w:w="960"/>
      </w:tblGrid>
      <w:tr w:rsidR="00B50565" w14:paraId="1DD78A5E" w14:textId="77777777" w:rsidTr="00B50565">
        <w:trPr>
          <w:trHeight w:val="22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3E0D4331" w14:textId="77777777" w:rsidR="00B50565" w:rsidRDefault="00B505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External Trainings</w:t>
            </w:r>
          </w:p>
        </w:tc>
      </w:tr>
      <w:tr w:rsidR="00B50565" w14:paraId="5F3C4DB4" w14:textId="77777777" w:rsidTr="00B50565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3EA46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F6D1F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Session Title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A3B77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Action (Training/ Outreach)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83227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Sessions Within the Last 3 Months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8C78D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Attendees Within the Last 3 Months</w:t>
            </w:r>
          </w:p>
        </w:tc>
      </w:tr>
      <w:tr w:rsidR="00B50565" w14:paraId="22376F91" w14:textId="77777777" w:rsidTr="00B505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84C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049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SAGE: Creating and Submitting eGC1s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E99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167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A46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B50565" w14:paraId="186C6CF6" w14:textId="77777777" w:rsidTr="00B5056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2E0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3DE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SAGE: Budget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2FB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E06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A07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B50565" w14:paraId="387B4149" w14:textId="77777777" w:rsidTr="00B505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89C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97D7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SAGE: Creating NIH Proposals in GR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B4D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BA8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7F9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B50565" w14:paraId="7BE96594" w14:textId="77777777" w:rsidTr="00B505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196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00D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Research Admin Data: Vis. and Reports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69A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0A7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5749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B50565" w14:paraId="58A6A5EF" w14:textId="77777777" w:rsidTr="00B505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BB5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BDB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Research Admin Data: Cube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6DF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2CE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42D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B50565" w14:paraId="7525E4F2" w14:textId="77777777" w:rsidTr="00B5056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586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508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IRB 101 for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Taccoma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Researchers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C51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55F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E19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B50565" w14:paraId="0E1EA4ED" w14:textId="77777777" w:rsidTr="00B5056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F76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BBF8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IRB 101 for Bothell Researchers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B95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41F2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3A1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50565" w14:paraId="446D1103" w14:textId="77777777" w:rsidTr="00B505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EFB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1694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IRB 101 for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ObGyn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Residents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BFA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1FC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B47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B50565" w14:paraId="4E57C10F" w14:textId="77777777" w:rsidTr="00B5056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16C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433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IRB 101 for CSDE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fcaulty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&amp; staff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BCF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186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CE8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B50565" w14:paraId="1E51C0A2" w14:textId="77777777" w:rsidTr="00B5056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FCF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9621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ITHS Career Development webinar: A Single IRB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716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4CD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EF9" w14:textId="77777777" w:rsidR="00B50565" w:rsidRDefault="00B505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</w:tr>
    </w:tbl>
    <w:p w14:paraId="40CE5955" w14:textId="77777777" w:rsidR="005A3568" w:rsidRPr="003753B7" w:rsidRDefault="005A3568" w:rsidP="005A3568">
      <w:pPr>
        <w:rPr>
          <w:rFonts w:asciiTheme="minorHAnsi" w:hAnsiTheme="minorHAnsi" w:cstheme="minorHAnsi"/>
          <w:b/>
          <w:sz w:val="20"/>
          <w:szCs w:val="20"/>
        </w:rPr>
      </w:pPr>
    </w:p>
    <w:p w14:paraId="4745E340" w14:textId="77777777" w:rsidR="005A3568" w:rsidRPr="003753B7" w:rsidRDefault="005A3568" w:rsidP="005A356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440" w:type="dxa"/>
        <w:tblInd w:w="108" w:type="dxa"/>
        <w:tblLook w:val="04A0" w:firstRow="1" w:lastRow="0" w:firstColumn="1" w:lastColumn="0" w:noHBand="0" w:noVBand="1"/>
      </w:tblPr>
      <w:tblGrid>
        <w:gridCol w:w="751"/>
        <w:gridCol w:w="958"/>
        <w:gridCol w:w="1167"/>
        <w:gridCol w:w="2564"/>
      </w:tblGrid>
      <w:tr w:rsidR="00B50565" w14:paraId="7AFA44B4" w14:textId="77777777" w:rsidTr="00B50565">
        <w:trPr>
          <w:trHeight w:val="225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600355AA" w14:textId="77777777" w:rsidR="00B50565" w:rsidRDefault="00B505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Guidance, Training and Outreach - Development &amp; Updating</w:t>
            </w:r>
          </w:p>
        </w:tc>
      </w:tr>
      <w:tr w:rsidR="00B50565" w14:paraId="4E14CD80" w14:textId="77777777" w:rsidTr="00B50565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AA772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6BC91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D0622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Action (Development / Update)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0F8C7" w14:textId="77777777" w:rsidR="00B50565" w:rsidRDefault="00B50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B50565" w14:paraId="27C9E33F" w14:textId="77777777" w:rsidTr="00B50565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953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61D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Meeting with ABC Group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12E1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349B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01/10/2020 - Discussion of Unit and OSP Roles (3 individuals, ~1 hour)</w:t>
            </w:r>
          </w:p>
        </w:tc>
      </w:tr>
      <w:tr w:rsidR="00B50565" w14:paraId="6DF3AD49" w14:textId="77777777" w:rsidTr="00B50565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F90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937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Meeting with OAW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BC6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77C5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02/14/20 - Discussion of Unit and OSP Roles (5 individuals, ~1 hour)</w:t>
            </w:r>
          </w:p>
        </w:tc>
      </w:tr>
      <w:tr w:rsidR="00B50565" w14:paraId="3338C41E" w14:textId="77777777" w:rsidTr="00B50565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8DD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D20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Meeting with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279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0A60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02/20/20 - Discussion with Unit on transfer of new Chair's grants (5 individuals, ~30 minutes)</w:t>
            </w:r>
          </w:p>
        </w:tc>
      </w:tr>
      <w:tr w:rsidR="00B50565" w14:paraId="7E23C0A2" w14:textId="77777777" w:rsidTr="00B50565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211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AE5F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Meeting with FHCRC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531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1B1A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02/24/20 - Meet &amp; Greet with FHCRC OSP equivalent (9 individuals, ~1 hour)</w:t>
            </w:r>
          </w:p>
        </w:tc>
      </w:tr>
      <w:tr w:rsidR="00B50565" w14:paraId="15BF134A" w14:textId="77777777" w:rsidTr="00B50565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15C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FAA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Meeting with A&amp;S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D0B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E95C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02/28/20 - Discussion RE: managing 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sponosr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(4 individuals, ~30 minutes)</w:t>
            </w:r>
          </w:p>
        </w:tc>
      </w:tr>
      <w:tr w:rsidR="00B50565" w14:paraId="26A2482E" w14:textId="77777777" w:rsidTr="00B5056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F72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FC8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Meeting with Campus &amp; NIH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D8D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7884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03/06/20 - Discussion of Project moving to contract (~8 individuals, ~1 hour)</w:t>
            </w:r>
          </w:p>
        </w:tc>
      </w:tr>
      <w:tr w:rsidR="00B50565" w14:paraId="6A498F57" w14:textId="77777777" w:rsidTr="00B5056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9AA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724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Meeting with Multiple Units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563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017B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03/09/20 - Discussion of common identifier for clinical studies (~10 individuals, ~1 hour)</w:t>
            </w:r>
          </w:p>
        </w:tc>
      </w:tr>
      <w:tr w:rsidR="00B50565" w14:paraId="29EF3DC1" w14:textId="77777777" w:rsidTr="00B50565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FDA2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173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Meeting with ABC Group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B33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55DF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01/10/2020 - Discussion of Unit and OSP Roles (4 individuals, ~1 hour)</w:t>
            </w:r>
          </w:p>
        </w:tc>
      </w:tr>
      <w:tr w:rsidR="00B50565" w14:paraId="1B2776FB" w14:textId="77777777" w:rsidTr="00B5056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49C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A29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External IRB Tutorial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398B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4A62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20-minute online tutorial about a topic confusing to many researchers</w:t>
            </w:r>
          </w:p>
        </w:tc>
      </w:tr>
      <w:tr w:rsidR="00B50565" w14:paraId="3FB75F86" w14:textId="77777777" w:rsidTr="00B5056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BE1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E8A0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CITI Human Subjects Refressher course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5EC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5C0E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 response to regulatory and campus needs</w:t>
            </w:r>
          </w:p>
        </w:tc>
      </w:tr>
      <w:tr w:rsidR="00B50565" w14:paraId="6763638E" w14:textId="77777777" w:rsidTr="00B50565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ABB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D15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CITI Good Clinical Practice Refresher Course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FED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C403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 response to regulatory and campus needs</w:t>
            </w:r>
          </w:p>
        </w:tc>
      </w:tr>
      <w:tr w:rsidR="00B50565" w14:paraId="489FEFDA" w14:textId="77777777" w:rsidTr="00B50565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ED4" w14:textId="77777777" w:rsidR="00B50565" w:rsidRDefault="00B50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5899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COVID-related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0D6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Development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6A4D" w14:textId="77777777" w:rsidR="00B50565" w:rsidRDefault="00B5056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Many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guidances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and outreach related to COVID-19</w:t>
            </w:r>
          </w:p>
        </w:tc>
      </w:tr>
    </w:tbl>
    <w:p w14:paraId="3E1D54E0" w14:textId="77777777" w:rsidR="008E67A8" w:rsidRDefault="008E67A8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5A8658F4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40160E41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5A74F504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1909E42D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6A5ED02E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147A7DC7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0D5FDDCC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0E05B37F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7241395B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4ADF187C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04CA0FE9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2C31B374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626A30DF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579E35EE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5486172D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5FEB3FC3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38978BC2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39A040F5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2624FA32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36A07926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5279B269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1BE5A9FF" w14:textId="77777777" w:rsidR="00B50565" w:rsidRDefault="00B50565" w:rsidP="00FD7A93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Cs w:val="20"/>
        </w:rPr>
      </w:pPr>
    </w:p>
    <w:p w14:paraId="509A46F4" w14:textId="21BE483A" w:rsidR="00FD7A93" w:rsidRPr="00197CCD" w:rsidRDefault="00FD7A93" w:rsidP="00FD7A93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000000" w:themeColor="text1"/>
          <w:szCs w:val="20"/>
        </w:rPr>
      </w:pPr>
      <w:r w:rsidRPr="00197CCD">
        <w:rPr>
          <w:rFonts w:asciiTheme="minorHAnsi" w:hAnsiTheme="minorHAnsi" w:cstheme="minorHAnsi"/>
          <w:color w:val="000000" w:themeColor="text1"/>
          <w:szCs w:val="20"/>
        </w:rPr>
        <w:lastRenderedPageBreak/>
        <w:t>Office of Research Central:</w:t>
      </w:r>
      <w:r w:rsidRPr="004259B7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Cs w:val="20"/>
        </w:rPr>
        <w:t>CORE</w:t>
      </w:r>
    </w:p>
    <w:p w14:paraId="49A0D94E" w14:textId="77777777" w:rsidR="00FD7A93" w:rsidRDefault="00FD7A93" w:rsidP="00FD7A93">
      <w:pPr>
        <w:rPr>
          <w:rFonts w:asciiTheme="minorHAnsi" w:hAnsiTheme="minorHAnsi" w:cstheme="minorHAnsi"/>
          <w:sz w:val="22"/>
        </w:rPr>
      </w:pPr>
    </w:p>
    <w:p w14:paraId="3ABD56EF" w14:textId="67345FD1" w:rsidR="00FD7A93" w:rsidRDefault="00B50565" w:rsidP="00FD7A93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5F4CCED5" wp14:editId="1963DA64">
            <wp:extent cx="6967855" cy="3816182"/>
            <wp:effectExtent l="0" t="0" r="4445" b="133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CBCE140" w14:textId="77777777" w:rsidR="00FD7A93" w:rsidRPr="00EA36D2" w:rsidRDefault="00FD7A93" w:rsidP="00FD7A93">
      <w:pPr>
        <w:rPr>
          <w:rFonts w:asciiTheme="minorHAnsi" w:hAnsiTheme="minorHAnsi" w:cstheme="minorHAnsi"/>
          <w:sz w:val="20"/>
        </w:rPr>
      </w:pPr>
    </w:p>
    <w:p w14:paraId="451A003C" w14:textId="0F5B574A" w:rsidR="00FD7A93" w:rsidRDefault="00A54026" w:rsidP="00FD7A93">
      <w:pPr>
        <w:rPr>
          <w:rFonts w:asciiTheme="minorHAnsi" w:hAnsiTheme="minorHAnsi" w:cstheme="minorHAnsi"/>
          <w:sz w:val="22"/>
        </w:rPr>
      </w:pPr>
      <w:r>
        <w:rPr>
          <w:noProof/>
        </w:rPr>
        <w:t>\</w:t>
      </w:r>
      <w:r>
        <w:rPr>
          <w:noProof/>
        </w:rPr>
        <w:drawing>
          <wp:inline distT="0" distB="0" distL="0" distR="0" wp14:anchorId="3E30594C" wp14:editId="0FED3F42">
            <wp:extent cx="6967855" cy="3844925"/>
            <wp:effectExtent l="0" t="0" r="4445" b="317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13D92D9" w14:textId="77777777" w:rsidR="00FD7A93" w:rsidRPr="00E04677" w:rsidRDefault="00FD7A93" w:rsidP="00525B23">
      <w:pPr>
        <w:rPr>
          <w:rFonts w:asciiTheme="minorHAnsi" w:hAnsiTheme="minorHAnsi" w:cstheme="minorHAnsi"/>
          <w:i/>
          <w:szCs w:val="20"/>
        </w:rPr>
      </w:pPr>
    </w:p>
    <w:sectPr w:rsidR="00FD7A93" w:rsidRPr="00E04677" w:rsidSect="00C60D61">
      <w:pgSz w:w="12240" w:h="15840" w:code="1"/>
      <w:pgMar w:top="547" w:right="720" w:bottom="864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EE01" w14:textId="77777777" w:rsidR="00CA737F" w:rsidRDefault="00CA737F">
      <w:r>
        <w:separator/>
      </w:r>
    </w:p>
  </w:endnote>
  <w:endnote w:type="continuationSeparator" w:id="0">
    <w:p w14:paraId="785D67E1" w14:textId="77777777" w:rsidR="00CA737F" w:rsidRDefault="00CA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BC50" w14:textId="77777777" w:rsidR="00EE5074" w:rsidRDefault="00EE5074" w:rsidP="00CD2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62200" w14:textId="77777777" w:rsidR="00EE5074" w:rsidRDefault="00EE5074" w:rsidP="00115F47">
    <w:pPr>
      <w:pStyle w:val="Footer"/>
      <w:ind w:right="360"/>
    </w:pPr>
  </w:p>
  <w:p w14:paraId="41934B24" w14:textId="77777777" w:rsidR="00EE5074" w:rsidRDefault="00EE5074"/>
  <w:p w14:paraId="4AB688B5" w14:textId="77777777" w:rsidR="00EE5074" w:rsidRDefault="00EE50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79A4" w14:textId="77777777" w:rsidR="00EE5074" w:rsidRPr="00550542" w:rsidRDefault="00EE5074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550542">
      <w:rPr>
        <w:rFonts w:ascii="Calibri" w:hAnsi="Calibri" w:cs="Calibri"/>
        <w:sz w:val="18"/>
        <w:szCs w:val="18"/>
      </w:rPr>
      <w:fldChar w:fldCharType="begin"/>
    </w:r>
    <w:r w:rsidRPr="00550542">
      <w:rPr>
        <w:rFonts w:ascii="Calibri" w:hAnsi="Calibri" w:cs="Calibri"/>
        <w:sz w:val="18"/>
        <w:szCs w:val="18"/>
      </w:rPr>
      <w:instrText xml:space="preserve"> PAGE   \* MERGEFORMAT </w:instrText>
    </w:r>
    <w:r w:rsidRPr="00550542">
      <w:rPr>
        <w:rFonts w:ascii="Calibri" w:hAnsi="Calibri" w:cs="Calibri"/>
        <w:sz w:val="18"/>
        <w:szCs w:val="18"/>
      </w:rPr>
      <w:fldChar w:fldCharType="separate"/>
    </w:r>
    <w:r w:rsidR="0022463F">
      <w:rPr>
        <w:rFonts w:ascii="Calibri" w:hAnsi="Calibri" w:cs="Calibri"/>
        <w:noProof/>
        <w:sz w:val="18"/>
        <w:szCs w:val="18"/>
      </w:rPr>
      <w:t>7</w:t>
    </w:r>
    <w:r w:rsidRPr="00550542">
      <w:rPr>
        <w:rFonts w:ascii="Calibri" w:hAnsi="Calibri" w:cs="Calibri"/>
        <w:sz w:val="18"/>
        <w:szCs w:val="18"/>
      </w:rPr>
      <w:fldChar w:fldCharType="end"/>
    </w:r>
    <w:r w:rsidRPr="00550542">
      <w:rPr>
        <w:rFonts w:ascii="Calibri" w:hAnsi="Calibri" w:cs="Calibri"/>
        <w:sz w:val="18"/>
        <w:szCs w:val="18"/>
      </w:rPr>
      <w:t xml:space="preserve"> | </w:t>
    </w:r>
    <w:r w:rsidRPr="00550542">
      <w:rPr>
        <w:rFonts w:ascii="Calibri" w:hAnsi="Calibri" w:cs="Calibri"/>
        <w:color w:val="7F7F7F"/>
        <w:spacing w:val="60"/>
        <w:sz w:val="18"/>
        <w:szCs w:val="18"/>
      </w:rPr>
      <w:t>Page</w:t>
    </w:r>
  </w:p>
  <w:p w14:paraId="05BB6664" w14:textId="77777777" w:rsidR="00EE5074" w:rsidRPr="00115F47" w:rsidRDefault="00EE5074" w:rsidP="00115F47">
    <w:pPr>
      <w:pStyle w:val="Footer"/>
      <w:ind w:right="360"/>
      <w:rPr>
        <w:rFonts w:ascii="Calibri" w:hAnsi="Calibri"/>
        <w:sz w:val="16"/>
        <w:szCs w:val="16"/>
      </w:rPr>
    </w:pPr>
  </w:p>
  <w:p w14:paraId="0153CDB1" w14:textId="77777777" w:rsidR="00EE5074" w:rsidRDefault="00EE5074"/>
  <w:p w14:paraId="0706BE18" w14:textId="77777777" w:rsidR="00EE5074" w:rsidRDefault="00EE50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43878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</w:rPr>
    </w:sdtEndPr>
    <w:sdtContent>
      <w:p w14:paraId="1D15571D" w14:textId="77777777" w:rsidR="00EE5074" w:rsidRPr="00FC0CCB" w:rsidRDefault="00EE5074">
        <w:pPr>
          <w:pStyle w:val="Footer"/>
          <w:jc w:val="right"/>
          <w:rPr>
            <w:rFonts w:asciiTheme="minorHAnsi" w:hAnsiTheme="minorHAnsi"/>
            <w:sz w:val="18"/>
          </w:rPr>
        </w:pPr>
        <w:r w:rsidRPr="00FC0CCB">
          <w:rPr>
            <w:rFonts w:asciiTheme="minorHAnsi" w:hAnsiTheme="minorHAnsi"/>
            <w:sz w:val="18"/>
          </w:rPr>
          <w:fldChar w:fldCharType="begin"/>
        </w:r>
        <w:r w:rsidRPr="00FC0CCB">
          <w:rPr>
            <w:rFonts w:asciiTheme="minorHAnsi" w:hAnsiTheme="minorHAnsi"/>
            <w:sz w:val="18"/>
          </w:rPr>
          <w:instrText xml:space="preserve"> PAGE   \* MERGEFORMAT </w:instrText>
        </w:r>
        <w:r w:rsidRPr="00FC0CCB">
          <w:rPr>
            <w:rFonts w:asciiTheme="minorHAnsi" w:hAnsiTheme="minorHAnsi"/>
            <w:sz w:val="18"/>
          </w:rPr>
          <w:fldChar w:fldCharType="separate"/>
        </w:r>
        <w:r w:rsidR="00FD7A93">
          <w:rPr>
            <w:rFonts w:asciiTheme="minorHAnsi" w:hAnsiTheme="minorHAnsi"/>
            <w:noProof/>
            <w:sz w:val="18"/>
          </w:rPr>
          <w:t>7</w:t>
        </w:r>
        <w:r w:rsidRPr="00FC0CCB">
          <w:rPr>
            <w:rFonts w:asciiTheme="minorHAnsi" w:hAnsiTheme="minorHAnsi"/>
            <w:noProof/>
            <w:sz w:val="18"/>
          </w:rPr>
          <w:fldChar w:fldCharType="end"/>
        </w:r>
        <w:r w:rsidRPr="00FC0CCB">
          <w:rPr>
            <w:rFonts w:asciiTheme="minorHAnsi" w:hAnsiTheme="minorHAnsi"/>
            <w:noProof/>
            <w:sz w:val="18"/>
          </w:rPr>
          <w:t xml:space="preserve"> | P</w:t>
        </w:r>
        <w:r>
          <w:rPr>
            <w:rFonts w:asciiTheme="minorHAnsi" w:hAnsiTheme="minorHAnsi"/>
            <w:noProof/>
            <w:sz w:val="18"/>
          </w:rPr>
          <w:t xml:space="preserve"> </w:t>
        </w:r>
        <w:r w:rsidRPr="00FC0CCB">
          <w:rPr>
            <w:rFonts w:asciiTheme="minorHAnsi" w:hAnsiTheme="minorHAnsi"/>
            <w:noProof/>
            <w:sz w:val="18"/>
          </w:rPr>
          <w:t>a</w:t>
        </w:r>
        <w:r>
          <w:rPr>
            <w:rFonts w:asciiTheme="minorHAnsi" w:hAnsiTheme="minorHAnsi"/>
            <w:noProof/>
            <w:sz w:val="18"/>
          </w:rPr>
          <w:t xml:space="preserve"> </w:t>
        </w:r>
        <w:r w:rsidRPr="00FC0CCB">
          <w:rPr>
            <w:rFonts w:asciiTheme="minorHAnsi" w:hAnsiTheme="minorHAnsi"/>
            <w:noProof/>
            <w:sz w:val="18"/>
          </w:rPr>
          <w:t>g</w:t>
        </w:r>
        <w:r>
          <w:rPr>
            <w:rFonts w:asciiTheme="minorHAnsi" w:hAnsiTheme="minorHAnsi"/>
            <w:noProof/>
            <w:sz w:val="18"/>
          </w:rPr>
          <w:t xml:space="preserve"> </w:t>
        </w:r>
        <w:r w:rsidRPr="00FC0CCB">
          <w:rPr>
            <w:rFonts w:asciiTheme="minorHAnsi" w:hAnsiTheme="minorHAnsi"/>
            <w:noProof/>
            <w:sz w:val="18"/>
          </w:rPr>
          <w:t>e</w:t>
        </w:r>
      </w:p>
    </w:sdtContent>
  </w:sdt>
  <w:p w14:paraId="56BBBC41" w14:textId="77777777" w:rsidR="00EE5074" w:rsidRDefault="00EE50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2932" w14:textId="77777777" w:rsidR="00EE5074" w:rsidRDefault="00EE5074" w:rsidP="00CD2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C3835" w14:textId="77777777" w:rsidR="00EE5074" w:rsidRDefault="00EE5074" w:rsidP="00115F47">
    <w:pPr>
      <w:pStyle w:val="Footer"/>
      <w:ind w:right="360"/>
    </w:pPr>
  </w:p>
  <w:p w14:paraId="39952950" w14:textId="77777777" w:rsidR="00EE5074" w:rsidRDefault="00EE5074"/>
  <w:p w14:paraId="2A5EB6A8" w14:textId="77777777" w:rsidR="00EE5074" w:rsidRDefault="00EE507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ABE7" w14:textId="77777777" w:rsidR="00EE5074" w:rsidRPr="00550542" w:rsidRDefault="00EE5074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550542">
      <w:rPr>
        <w:rFonts w:ascii="Calibri" w:hAnsi="Calibri" w:cs="Calibri"/>
        <w:sz w:val="18"/>
        <w:szCs w:val="18"/>
      </w:rPr>
      <w:fldChar w:fldCharType="begin"/>
    </w:r>
    <w:r w:rsidRPr="00550542">
      <w:rPr>
        <w:rFonts w:ascii="Calibri" w:hAnsi="Calibri" w:cs="Calibri"/>
        <w:sz w:val="18"/>
        <w:szCs w:val="18"/>
      </w:rPr>
      <w:instrText xml:space="preserve"> PAGE   \* MERGEFORMAT </w:instrText>
    </w:r>
    <w:r w:rsidRPr="00550542">
      <w:rPr>
        <w:rFonts w:ascii="Calibri" w:hAnsi="Calibri" w:cs="Calibri"/>
        <w:sz w:val="18"/>
        <w:szCs w:val="18"/>
      </w:rPr>
      <w:fldChar w:fldCharType="separate"/>
    </w:r>
    <w:r w:rsidR="00FD7A93">
      <w:rPr>
        <w:rFonts w:ascii="Calibri" w:hAnsi="Calibri" w:cs="Calibri"/>
        <w:noProof/>
        <w:sz w:val="18"/>
        <w:szCs w:val="18"/>
      </w:rPr>
      <w:t>8</w:t>
    </w:r>
    <w:r w:rsidRPr="00550542">
      <w:rPr>
        <w:rFonts w:ascii="Calibri" w:hAnsi="Calibri" w:cs="Calibri"/>
        <w:sz w:val="18"/>
        <w:szCs w:val="18"/>
      </w:rPr>
      <w:fldChar w:fldCharType="end"/>
    </w:r>
    <w:r w:rsidRPr="00550542">
      <w:rPr>
        <w:rFonts w:ascii="Calibri" w:hAnsi="Calibri" w:cs="Calibri"/>
        <w:sz w:val="18"/>
        <w:szCs w:val="18"/>
      </w:rPr>
      <w:t xml:space="preserve"> | </w:t>
    </w:r>
    <w:r w:rsidRPr="00550542">
      <w:rPr>
        <w:rFonts w:ascii="Calibri" w:hAnsi="Calibri" w:cs="Calibri"/>
        <w:color w:val="7F7F7F"/>
        <w:spacing w:val="60"/>
        <w:sz w:val="18"/>
        <w:szCs w:val="18"/>
      </w:rPr>
      <w:t>Page</w:t>
    </w:r>
  </w:p>
  <w:p w14:paraId="795A70EA" w14:textId="77777777" w:rsidR="00EE5074" w:rsidRPr="00115F47" w:rsidRDefault="00EE5074" w:rsidP="00115F47">
    <w:pPr>
      <w:pStyle w:val="Footer"/>
      <w:ind w:right="360"/>
      <w:rPr>
        <w:rFonts w:ascii="Calibri" w:hAnsi="Calibri"/>
        <w:sz w:val="16"/>
        <w:szCs w:val="16"/>
      </w:rPr>
    </w:pPr>
  </w:p>
  <w:p w14:paraId="1DAAC376" w14:textId="77777777" w:rsidR="00EE5074" w:rsidRDefault="00EE5074"/>
  <w:p w14:paraId="3B19427C" w14:textId="77777777" w:rsidR="00EE5074" w:rsidRDefault="00EE5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930D" w14:textId="77777777" w:rsidR="00CA737F" w:rsidRDefault="00CA737F">
      <w:r>
        <w:separator/>
      </w:r>
    </w:p>
  </w:footnote>
  <w:footnote w:type="continuationSeparator" w:id="0">
    <w:p w14:paraId="6C841FAD" w14:textId="77777777" w:rsidR="00CA737F" w:rsidRDefault="00CA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06"/>
    <w:multiLevelType w:val="hybridMultilevel"/>
    <w:tmpl w:val="9DB6E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37B"/>
    <w:multiLevelType w:val="hybridMultilevel"/>
    <w:tmpl w:val="292E4E6E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03F4637A"/>
    <w:multiLevelType w:val="hybridMultilevel"/>
    <w:tmpl w:val="333CFD26"/>
    <w:lvl w:ilvl="0" w:tplc="040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0944384E"/>
    <w:multiLevelType w:val="hybridMultilevel"/>
    <w:tmpl w:val="951A71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0FD"/>
    <w:multiLevelType w:val="hybridMultilevel"/>
    <w:tmpl w:val="3BC0B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2BF"/>
    <w:multiLevelType w:val="hybridMultilevel"/>
    <w:tmpl w:val="779E6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3656"/>
    <w:multiLevelType w:val="hybridMultilevel"/>
    <w:tmpl w:val="8CF64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4E4F"/>
    <w:multiLevelType w:val="hybridMultilevel"/>
    <w:tmpl w:val="EFAA1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767330"/>
    <w:multiLevelType w:val="hybridMultilevel"/>
    <w:tmpl w:val="86A25386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 w15:restartNumberingAfterBreak="0">
    <w:nsid w:val="198F298A"/>
    <w:multiLevelType w:val="hybridMultilevel"/>
    <w:tmpl w:val="7B167A7A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 w15:restartNumberingAfterBreak="0">
    <w:nsid w:val="1A974D03"/>
    <w:multiLevelType w:val="hybridMultilevel"/>
    <w:tmpl w:val="70FA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C3578"/>
    <w:multiLevelType w:val="hybridMultilevel"/>
    <w:tmpl w:val="2C4C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509BD"/>
    <w:multiLevelType w:val="hybridMultilevel"/>
    <w:tmpl w:val="8C4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5027"/>
    <w:multiLevelType w:val="hybridMultilevel"/>
    <w:tmpl w:val="64826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91135"/>
    <w:multiLevelType w:val="hybridMultilevel"/>
    <w:tmpl w:val="AF141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477CD"/>
    <w:multiLevelType w:val="hybridMultilevel"/>
    <w:tmpl w:val="816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113FD"/>
    <w:multiLevelType w:val="hybridMultilevel"/>
    <w:tmpl w:val="232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513EF"/>
    <w:multiLevelType w:val="hybridMultilevel"/>
    <w:tmpl w:val="F5EA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00DA0"/>
    <w:multiLevelType w:val="hybridMultilevel"/>
    <w:tmpl w:val="E6FA9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B6885"/>
    <w:multiLevelType w:val="hybridMultilevel"/>
    <w:tmpl w:val="0066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173CD"/>
    <w:multiLevelType w:val="hybridMultilevel"/>
    <w:tmpl w:val="8A5C5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76B"/>
    <w:multiLevelType w:val="multilevel"/>
    <w:tmpl w:val="740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4481D"/>
    <w:multiLevelType w:val="hybridMultilevel"/>
    <w:tmpl w:val="6C00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72C18"/>
    <w:multiLevelType w:val="hybridMultilevel"/>
    <w:tmpl w:val="A0101820"/>
    <w:lvl w:ilvl="0" w:tplc="57362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168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0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A2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2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0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8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10C26"/>
    <w:multiLevelType w:val="hybridMultilevel"/>
    <w:tmpl w:val="9F88B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E0365"/>
    <w:multiLevelType w:val="hybridMultilevel"/>
    <w:tmpl w:val="C85C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6525B"/>
    <w:multiLevelType w:val="hybridMultilevel"/>
    <w:tmpl w:val="5DA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C0CD0"/>
    <w:multiLevelType w:val="hybridMultilevel"/>
    <w:tmpl w:val="4FFCC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B0024"/>
    <w:multiLevelType w:val="hybridMultilevel"/>
    <w:tmpl w:val="279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6594C"/>
    <w:multiLevelType w:val="hybridMultilevel"/>
    <w:tmpl w:val="041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7E46"/>
    <w:multiLevelType w:val="hybridMultilevel"/>
    <w:tmpl w:val="08C00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F091C"/>
    <w:multiLevelType w:val="hybridMultilevel"/>
    <w:tmpl w:val="631EE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6EAB"/>
    <w:multiLevelType w:val="hybridMultilevel"/>
    <w:tmpl w:val="CD2CAE0E"/>
    <w:lvl w:ilvl="0" w:tplc="0409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3" w15:restartNumberingAfterBreak="0">
    <w:nsid w:val="66523048"/>
    <w:multiLevelType w:val="hybridMultilevel"/>
    <w:tmpl w:val="075A8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02F23"/>
    <w:multiLevelType w:val="hybridMultilevel"/>
    <w:tmpl w:val="7402FB58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E71C8"/>
    <w:multiLevelType w:val="hybridMultilevel"/>
    <w:tmpl w:val="C2607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A718F"/>
    <w:multiLevelType w:val="hybridMultilevel"/>
    <w:tmpl w:val="ABD0DE5E"/>
    <w:lvl w:ilvl="0" w:tplc="0130F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54B53"/>
    <w:multiLevelType w:val="hybridMultilevel"/>
    <w:tmpl w:val="0736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713E6"/>
    <w:multiLevelType w:val="hybridMultilevel"/>
    <w:tmpl w:val="3356B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46C56"/>
    <w:multiLevelType w:val="hybridMultilevel"/>
    <w:tmpl w:val="B4885B20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875"/>
    <w:multiLevelType w:val="hybridMultilevel"/>
    <w:tmpl w:val="49F0D01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938DA"/>
    <w:multiLevelType w:val="hybridMultilevel"/>
    <w:tmpl w:val="8B12C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8162D"/>
    <w:multiLevelType w:val="hybridMultilevel"/>
    <w:tmpl w:val="FBE2BFD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2"/>
  </w:num>
  <w:num w:numId="4">
    <w:abstractNumId w:val="33"/>
  </w:num>
  <w:num w:numId="5">
    <w:abstractNumId w:val="23"/>
  </w:num>
  <w:num w:numId="6">
    <w:abstractNumId w:val="40"/>
  </w:num>
  <w:num w:numId="7">
    <w:abstractNumId w:val="42"/>
  </w:num>
  <w:num w:numId="8">
    <w:abstractNumId w:val="30"/>
  </w:num>
  <w:num w:numId="9">
    <w:abstractNumId w:val="3"/>
  </w:num>
  <w:num w:numId="10">
    <w:abstractNumId w:val="5"/>
  </w:num>
  <w:num w:numId="11">
    <w:abstractNumId w:val="21"/>
  </w:num>
  <w:num w:numId="12">
    <w:abstractNumId w:val="41"/>
  </w:num>
  <w:num w:numId="13">
    <w:abstractNumId w:val="27"/>
  </w:num>
  <w:num w:numId="14">
    <w:abstractNumId w:val="0"/>
  </w:num>
  <w:num w:numId="15">
    <w:abstractNumId w:val="18"/>
  </w:num>
  <w:num w:numId="16">
    <w:abstractNumId w:val="36"/>
  </w:num>
  <w:num w:numId="17">
    <w:abstractNumId w:val="13"/>
  </w:num>
  <w:num w:numId="18">
    <w:abstractNumId w:val="24"/>
  </w:num>
  <w:num w:numId="19">
    <w:abstractNumId w:val="15"/>
  </w:num>
  <w:num w:numId="20">
    <w:abstractNumId w:val="19"/>
  </w:num>
  <w:num w:numId="21">
    <w:abstractNumId w:val="29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31"/>
  </w:num>
  <w:num w:numId="26">
    <w:abstractNumId w:val="38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  <w:num w:numId="30">
    <w:abstractNumId w:val="28"/>
  </w:num>
  <w:num w:numId="31">
    <w:abstractNumId w:val="22"/>
  </w:num>
  <w:num w:numId="32">
    <w:abstractNumId w:val="25"/>
  </w:num>
  <w:num w:numId="33">
    <w:abstractNumId w:val="17"/>
  </w:num>
  <w:num w:numId="34">
    <w:abstractNumId w:val="4"/>
  </w:num>
  <w:num w:numId="35">
    <w:abstractNumId w:val="35"/>
  </w:num>
  <w:num w:numId="36">
    <w:abstractNumId w:val="6"/>
  </w:num>
  <w:num w:numId="37">
    <w:abstractNumId w:val="8"/>
  </w:num>
  <w:num w:numId="38">
    <w:abstractNumId w:val="14"/>
  </w:num>
  <w:num w:numId="39">
    <w:abstractNumId w:val="26"/>
  </w:num>
  <w:num w:numId="40">
    <w:abstractNumId w:val="9"/>
  </w:num>
  <w:num w:numId="41">
    <w:abstractNumId w:val="1"/>
  </w:num>
  <w:num w:numId="42">
    <w:abstractNumId w:val="3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AC"/>
    <w:rsid w:val="00001441"/>
    <w:rsid w:val="00001D5F"/>
    <w:rsid w:val="00007316"/>
    <w:rsid w:val="0001244E"/>
    <w:rsid w:val="00014B8F"/>
    <w:rsid w:val="00020C74"/>
    <w:rsid w:val="00021FB3"/>
    <w:rsid w:val="00023C04"/>
    <w:rsid w:val="00023D3A"/>
    <w:rsid w:val="00024A7F"/>
    <w:rsid w:val="000265E4"/>
    <w:rsid w:val="00027DDB"/>
    <w:rsid w:val="0004011E"/>
    <w:rsid w:val="000410DD"/>
    <w:rsid w:val="00041E3E"/>
    <w:rsid w:val="000456D4"/>
    <w:rsid w:val="000538DC"/>
    <w:rsid w:val="00054B9B"/>
    <w:rsid w:val="00055A5F"/>
    <w:rsid w:val="00057757"/>
    <w:rsid w:val="00057F98"/>
    <w:rsid w:val="00062760"/>
    <w:rsid w:val="000632AE"/>
    <w:rsid w:val="00063443"/>
    <w:rsid w:val="00066AF0"/>
    <w:rsid w:val="0006792E"/>
    <w:rsid w:val="000679EC"/>
    <w:rsid w:val="00070AA9"/>
    <w:rsid w:val="00075896"/>
    <w:rsid w:val="000767C6"/>
    <w:rsid w:val="000809AD"/>
    <w:rsid w:val="000812A7"/>
    <w:rsid w:val="00084EB1"/>
    <w:rsid w:val="00085FF3"/>
    <w:rsid w:val="0009250E"/>
    <w:rsid w:val="00097F54"/>
    <w:rsid w:val="000A0D07"/>
    <w:rsid w:val="000B69F2"/>
    <w:rsid w:val="000B6C4D"/>
    <w:rsid w:val="000B72FE"/>
    <w:rsid w:val="000C572F"/>
    <w:rsid w:val="000C5919"/>
    <w:rsid w:val="000D14B3"/>
    <w:rsid w:val="000D216D"/>
    <w:rsid w:val="000D5968"/>
    <w:rsid w:val="000D63C5"/>
    <w:rsid w:val="000E7017"/>
    <w:rsid w:val="000F0E4B"/>
    <w:rsid w:val="000F1577"/>
    <w:rsid w:val="000F4145"/>
    <w:rsid w:val="00100EDC"/>
    <w:rsid w:val="00101234"/>
    <w:rsid w:val="00102DC4"/>
    <w:rsid w:val="001060CA"/>
    <w:rsid w:val="001072AD"/>
    <w:rsid w:val="00115F47"/>
    <w:rsid w:val="00121D1B"/>
    <w:rsid w:val="001221B1"/>
    <w:rsid w:val="00125F96"/>
    <w:rsid w:val="00134879"/>
    <w:rsid w:val="001519B8"/>
    <w:rsid w:val="00152CA9"/>
    <w:rsid w:val="0015442D"/>
    <w:rsid w:val="00167B01"/>
    <w:rsid w:val="00172F78"/>
    <w:rsid w:val="00184873"/>
    <w:rsid w:val="0019609C"/>
    <w:rsid w:val="001A225E"/>
    <w:rsid w:val="001A39AB"/>
    <w:rsid w:val="001B0031"/>
    <w:rsid w:val="001B62E3"/>
    <w:rsid w:val="001B7F77"/>
    <w:rsid w:val="001C3552"/>
    <w:rsid w:val="001D616B"/>
    <w:rsid w:val="001D721A"/>
    <w:rsid w:val="001E0470"/>
    <w:rsid w:val="001F0467"/>
    <w:rsid w:val="001F31C6"/>
    <w:rsid w:val="001F4128"/>
    <w:rsid w:val="001F58BE"/>
    <w:rsid w:val="00201703"/>
    <w:rsid w:val="002020E2"/>
    <w:rsid w:val="0020290F"/>
    <w:rsid w:val="002108B1"/>
    <w:rsid w:val="00212204"/>
    <w:rsid w:val="0021362F"/>
    <w:rsid w:val="00215357"/>
    <w:rsid w:val="00223864"/>
    <w:rsid w:val="00223BD7"/>
    <w:rsid w:val="0022463F"/>
    <w:rsid w:val="002253F3"/>
    <w:rsid w:val="00227CFC"/>
    <w:rsid w:val="002455A1"/>
    <w:rsid w:val="0024707D"/>
    <w:rsid w:val="0025211D"/>
    <w:rsid w:val="002615F2"/>
    <w:rsid w:val="002649B7"/>
    <w:rsid w:val="00265CC1"/>
    <w:rsid w:val="00270525"/>
    <w:rsid w:val="00276257"/>
    <w:rsid w:val="00281616"/>
    <w:rsid w:val="00287438"/>
    <w:rsid w:val="00292188"/>
    <w:rsid w:val="002931B8"/>
    <w:rsid w:val="002941AB"/>
    <w:rsid w:val="0029751C"/>
    <w:rsid w:val="00297EBD"/>
    <w:rsid w:val="002A17DB"/>
    <w:rsid w:val="002A1EE8"/>
    <w:rsid w:val="002B1C85"/>
    <w:rsid w:val="002B481C"/>
    <w:rsid w:val="002C0E82"/>
    <w:rsid w:val="002C279B"/>
    <w:rsid w:val="002C3C50"/>
    <w:rsid w:val="002C7640"/>
    <w:rsid w:val="002D21D3"/>
    <w:rsid w:val="002D6353"/>
    <w:rsid w:val="002F2888"/>
    <w:rsid w:val="002F5EBE"/>
    <w:rsid w:val="003001FA"/>
    <w:rsid w:val="0030631C"/>
    <w:rsid w:val="00306E17"/>
    <w:rsid w:val="00316296"/>
    <w:rsid w:val="00316962"/>
    <w:rsid w:val="00330089"/>
    <w:rsid w:val="0033020F"/>
    <w:rsid w:val="00331906"/>
    <w:rsid w:val="003323E3"/>
    <w:rsid w:val="00333159"/>
    <w:rsid w:val="00334B88"/>
    <w:rsid w:val="00337934"/>
    <w:rsid w:val="00341ADC"/>
    <w:rsid w:val="0034747A"/>
    <w:rsid w:val="00350568"/>
    <w:rsid w:val="003517AF"/>
    <w:rsid w:val="00352557"/>
    <w:rsid w:val="003565FC"/>
    <w:rsid w:val="00357BDF"/>
    <w:rsid w:val="00361262"/>
    <w:rsid w:val="0036216D"/>
    <w:rsid w:val="0036280A"/>
    <w:rsid w:val="00367DA8"/>
    <w:rsid w:val="00371267"/>
    <w:rsid w:val="0037434C"/>
    <w:rsid w:val="003753B7"/>
    <w:rsid w:val="00375EAA"/>
    <w:rsid w:val="00394CBF"/>
    <w:rsid w:val="003A070C"/>
    <w:rsid w:val="003A20F2"/>
    <w:rsid w:val="003A558D"/>
    <w:rsid w:val="003A5BC5"/>
    <w:rsid w:val="003A70CA"/>
    <w:rsid w:val="003B2A8E"/>
    <w:rsid w:val="003B7C2E"/>
    <w:rsid w:val="003C135C"/>
    <w:rsid w:val="003C52ED"/>
    <w:rsid w:val="003C5616"/>
    <w:rsid w:val="003C7227"/>
    <w:rsid w:val="003D3AA1"/>
    <w:rsid w:val="003E7540"/>
    <w:rsid w:val="003F47AE"/>
    <w:rsid w:val="003F742C"/>
    <w:rsid w:val="0040383D"/>
    <w:rsid w:val="00404E98"/>
    <w:rsid w:val="00407B8A"/>
    <w:rsid w:val="00410C0D"/>
    <w:rsid w:val="00412E21"/>
    <w:rsid w:val="00420E55"/>
    <w:rsid w:val="00422994"/>
    <w:rsid w:val="004259B7"/>
    <w:rsid w:val="0042609A"/>
    <w:rsid w:val="00433507"/>
    <w:rsid w:val="00433DB9"/>
    <w:rsid w:val="00436731"/>
    <w:rsid w:val="00437628"/>
    <w:rsid w:val="00454D24"/>
    <w:rsid w:val="004558B2"/>
    <w:rsid w:val="00457ACC"/>
    <w:rsid w:val="004616FA"/>
    <w:rsid w:val="0046592F"/>
    <w:rsid w:val="00477A82"/>
    <w:rsid w:val="00482B2C"/>
    <w:rsid w:val="00483496"/>
    <w:rsid w:val="00486CAF"/>
    <w:rsid w:val="00487251"/>
    <w:rsid w:val="00495B7A"/>
    <w:rsid w:val="0049615D"/>
    <w:rsid w:val="004A0202"/>
    <w:rsid w:val="004A1C7E"/>
    <w:rsid w:val="004A330F"/>
    <w:rsid w:val="004A44CE"/>
    <w:rsid w:val="004B2E0C"/>
    <w:rsid w:val="004B331E"/>
    <w:rsid w:val="004C5DD6"/>
    <w:rsid w:val="004D6F0B"/>
    <w:rsid w:val="004E71C0"/>
    <w:rsid w:val="004F1282"/>
    <w:rsid w:val="004F5F81"/>
    <w:rsid w:val="00501555"/>
    <w:rsid w:val="005037CC"/>
    <w:rsid w:val="005100C9"/>
    <w:rsid w:val="0051088C"/>
    <w:rsid w:val="005121A4"/>
    <w:rsid w:val="00524218"/>
    <w:rsid w:val="00524AD2"/>
    <w:rsid w:val="00525B23"/>
    <w:rsid w:val="005364EC"/>
    <w:rsid w:val="005428EC"/>
    <w:rsid w:val="00543870"/>
    <w:rsid w:val="005452DB"/>
    <w:rsid w:val="00545D00"/>
    <w:rsid w:val="00550542"/>
    <w:rsid w:val="00551FBB"/>
    <w:rsid w:val="0056349D"/>
    <w:rsid w:val="00571547"/>
    <w:rsid w:val="00571BFC"/>
    <w:rsid w:val="00573F38"/>
    <w:rsid w:val="005746E7"/>
    <w:rsid w:val="00575A27"/>
    <w:rsid w:val="00581748"/>
    <w:rsid w:val="00581C15"/>
    <w:rsid w:val="00585B26"/>
    <w:rsid w:val="00585FC3"/>
    <w:rsid w:val="0058757D"/>
    <w:rsid w:val="00593262"/>
    <w:rsid w:val="00593E8F"/>
    <w:rsid w:val="00595539"/>
    <w:rsid w:val="005972DB"/>
    <w:rsid w:val="005A3568"/>
    <w:rsid w:val="005A48EE"/>
    <w:rsid w:val="005B374C"/>
    <w:rsid w:val="005B3C9D"/>
    <w:rsid w:val="005B3E24"/>
    <w:rsid w:val="005B6A9C"/>
    <w:rsid w:val="005C0D4F"/>
    <w:rsid w:val="005C2EDE"/>
    <w:rsid w:val="005C5297"/>
    <w:rsid w:val="005D1DE3"/>
    <w:rsid w:val="005D290C"/>
    <w:rsid w:val="005D3690"/>
    <w:rsid w:val="005D67B2"/>
    <w:rsid w:val="005E1725"/>
    <w:rsid w:val="005E6921"/>
    <w:rsid w:val="005F1289"/>
    <w:rsid w:val="005F2D07"/>
    <w:rsid w:val="005F4B97"/>
    <w:rsid w:val="005F5D7E"/>
    <w:rsid w:val="005F6868"/>
    <w:rsid w:val="005F6DEE"/>
    <w:rsid w:val="006001AD"/>
    <w:rsid w:val="0060379E"/>
    <w:rsid w:val="006107D5"/>
    <w:rsid w:val="00617C73"/>
    <w:rsid w:val="00621D84"/>
    <w:rsid w:val="006246B3"/>
    <w:rsid w:val="00626D57"/>
    <w:rsid w:val="00627B6B"/>
    <w:rsid w:val="00636378"/>
    <w:rsid w:val="006413EE"/>
    <w:rsid w:val="006429D6"/>
    <w:rsid w:val="00645EE0"/>
    <w:rsid w:val="00647508"/>
    <w:rsid w:val="00664086"/>
    <w:rsid w:val="00665683"/>
    <w:rsid w:val="00674C0E"/>
    <w:rsid w:val="00675554"/>
    <w:rsid w:val="00675645"/>
    <w:rsid w:val="0068092E"/>
    <w:rsid w:val="00682A96"/>
    <w:rsid w:val="00690853"/>
    <w:rsid w:val="00692F93"/>
    <w:rsid w:val="006A0FF9"/>
    <w:rsid w:val="006A10DF"/>
    <w:rsid w:val="006A64D0"/>
    <w:rsid w:val="006B1897"/>
    <w:rsid w:val="006C1874"/>
    <w:rsid w:val="006C6F25"/>
    <w:rsid w:val="006C7048"/>
    <w:rsid w:val="006C7441"/>
    <w:rsid w:val="006E0CC0"/>
    <w:rsid w:val="006E549E"/>
    <w:rsid w:val="006E7A92"/>
    <w:rsid w:val="006F2B67"/>
    <w:rsid w:val="00703F8A"/>
    <w:rsid w:val="00704603"/>
    <w:rsid w:val="00704FF9"/>
    <w:rsid w:val="00721F6F"/>
    <w:rsid w:val="00726AB6"/>
    <w:rsid w:val="00730DC9"/>
    <w:rsid w:val="0073530D"/>
    <w:rsid w:val="00745C66"/>
    <w:rsid w:val="007515AF"/>
    <w:rsid w:val="00756F7A"/>
    <w:rsid w:val="0076554C"/>
    <w:rsid w:val="00765B54"/>
    <w:rsid w:val="00765DF0"/>
    <w:rsid w:val="007668E5"/>
    <w:rsid w:val="0077220A"/>
    <w:rsid w:val="00776BA4"/>
    <w:rsid w:val="00785224"/>
    <w:rsid w:val="007904B2"/>
    <w:rsid w:val="007912CA"/>
    <w:rsid w:val="00791800"/>
    <w:rsid w:val="00791A64"/>
    <w:rsid w:val="007952C1"/>
    <w:rsid w:val="00795FEB"/>
    <w:rsid w:val="0079693C"/>
    <w:rsid w:val="00796CDD"/>
    <w:rsid w:val="007A273B"/>
    <w:rsid w:val="007B1FA7"/>
    <w:rsid w:val="007C36F9"/>
    <w:rsid w:val="007D2DEA"/>
    <w:rsid w:val="007E5900"/>
    <w:rsid w:val="007F3FFD"/>
    <w:rsid w:val="00804586"/>
    <w:rsid w:val="00806022"/>
    <w:rsid w:val="0080635F"/>
    <w:rsid w:val="00807A25"/>
    <w:rsid w:val="008230F9"/>
    <w:rsid w:val="0082397C"/>
    <w:rsid w:val="00826D63"/>
    <w:rsid w:val="00832BFB"/>
    <w:rsid w:val="008463D7"/>
    <w:rsid w:val="008514AC"/>
    <w:rsid w:val="00853119"/>
    <w:rsid w:val="008558D1"/>
    <w:rsid w:val="00856B38"/>
    <w:rsid w:val="008610E0"/>
    <w:rsid w:val="0086113B"/>
    <w:rsid w:val="0086218A"/>
    <w:rsid w:val="008640A8"/>
    <w:rsid w:val="00864755"/>
    <w:rsid w:val="00866840"/>
    <w:rsid w:val="00873625"/>
    <w:rsid w:val="00873B58"/>
    <w:rsid w:val="008745D8"/>
    <w:rsid w:val="0088010C"/>
    <w:rsid w:val="0088770E"/>
    <w:rsid w:val="00894DAD"/>
    <w:rsid w:val="00896F7E"/>
    <w:rsid w:val="008A0F53"/>
    <w:rsid w:val="008A38E2"/>
    <w:rsid w:val="008A5A7B"/>
    <w:rsid w:val="008A6EF6"/>
    <w:rsid w:val="008B1C60"/>
    <w:rsid w:val="008C5353"/>
    <w:rsid w:val="008D11A5"/>
    <w:rsid w:val="008D440F"/>
    <w:rsid w:val="008D4B32"/>
    <w:rsid w:val="008D51EB"/>
    <w:rsid w:val="008E66DD"/>
    <w:rsid w:val="008E67A8"/>
    <w:rsid w:val="008F31AF"/>
    <w:rsid w:val="008F75A2"/>
    <w:rsid w:val="008F7924"/>
    <w:rsid w:val="0090253A"/>
    <w:rsid w:val="00903368"/>
    <w:rsid w:val="0090374E"/>
    <w:rsid w:val="00903F9B"/>
    <w:rsid w:val="009101D2"/>
    <w:rsid w:val="00913C76"/>
    <w:rsid w:val="009156C9"/>
    <w:rsid w:val="0091656A"/>
    <w:rsid w:val="00922259"/>
    <w:rsid w:val="00923F59"/>
    <w:rsid w:val="009307F6"/>
    <w:rsid w:val="009325E9"/>
    <w:rsid w:val="009371DB"/>
    <w:rsid w:val="009403EB"/>
    <w:rsid w:val="00940959"/>
    <w:rsid w:val="00942A45"/>
    <w:rsid w:val="00946199"/>
    <w:rsid w:val="00950BBB"/>
    <w:rsid w:val="00953C2C"/>
    <w:rsid w:val="0096204F"/>
    <w:rsid w:val="0096586F"/>
    <w:rsid w:val="00971AC7"/>
    <w:rsid w:val="00972A71"/>
    <w:rsid w:val="00974306"/>
    <w:rsid w:val="009766E7"/>
    <w:rsid w:val="00986547"/>
    <w:rsid w:val="00990F07"/>
    <w:rsid w:val="0099106C"/>
    <w:rsid w:val="009A174E"/>
    <w:rsid w:val="009A380A"/>
    <w:rsid w:val="009A3904"/>
    <w:rsid w:val="009A3C4B"/>
    <w:rsid w:val="009A66C3"/>
    <w:rsid w:val="009B43F9"/>
    <w:rsid w:val="009B4956"/>
    <w:rsid w:val="009C2CE1"/>
    <w:rsid w:val="009C3129"/>
    <w:rsid w:val="009C664D"/>
    <w:rsid w:val="009D1B15"/>
    <w:rsid w:val="009D78AC"/>
    <w:rsid w:val="009F1A42"/>
    <w:rsid w:val="009F4694"/>
    <w:rsid w:val="00A0250F"/>
    <w:rsid w:val="00A0598B"/>
    <w:rsid w:val="00A164AC"/>
    <w:rsid w:val="00A16EEA"/>
    <w:rsid w:val="00A36769"/>
    <w:rsid w:val="00A36F5F"/>
    <w:rsid w:val="00A418D6"/>
    <w:rsid w:val="00A54026"/>
    <w:rsid w:val="00A5547B"/>
    <w:rsid w:val="00A57F5C"/>
    <w:rsid w:val="00A6058F"/>
    <w:rsid w:val="00A60809"/>
    <w:rsid w:val="00A741DB"/>
    <w:rsid w:val="00A7605A"/>
    <w:rsid w:val="00A8109E"/>
    <w:rsid w:val="00A81822"/>
    <w:rsid w:val="00A94F8C"/>
    <w:rsid w:val="00A96197"/>
    <w:rsid w:val="00A96DF7"/>
    <w:rsid w:val="00A97577"/>
    <w:rsid w:val="00AA4779"/>
    <w:rsid w:val="00AB1632"/>
    <w:rsid w:val="00AB42C9"/>
    <w:rsid w:val="00AC4FD9"/>
    <w:rsid w:val="00AC681E"/>
    <w:rsid w:val="00AD1AAF"/>
    <w:rsid w:val="00AD5405"/>
    <w:rsid w:val="00AD7174"/>
    <w:rsid w:val="00AE33F0"/>
    <w:rsid w:val="00AF59F6"/>
    <w:rsid w:val="00AF75E9"/>
    <w:rsid w:val="00B05828"/>
    <w:rsid w:val="00B115FA"/>
    <w:rsid w:val="00B147FD"/>
    <w:rsid w:val="00B20971"/>
    <w:rsid w:val="00B21D6B"/>
    <w:rsid w:val="00B24D91"/>
    <w:rsid w:val="00B32469"/>
    <w:rsid w:val="00B36330"/>
    <w:rsid w:val="00B50565"/>
    <w:rsid w:val="00B51141"/>
    <w:rsid w:val="00B55BDF"/>
    <w:rsid w:val="00B5718C"/>
    <w:rsid w:val="00B60892"/>
    <w:rsid w:val="00B6287A"/>
    <w:rsid w:val="00B6630B"/>
    <w:rsid w:val="00B74546"/>
    <w:rsid w:val="00B800DB"/>
    <w:rsid w:val="00B8144E"/>
    <w:rsid w:val="00B84ABB"/>
    <w:rsid w:val="00B84B93"/>
    <w:rsid w:val="00B91546"/>
    <w:rsid w:val="00BA1199"/>
    <w:rsid w:val="00BA798B"/>
    <w:rsid w:val="00BB01F2"/>
    <w:rsid w:val="00BB0F23"/>
    <w:rsid w:val="00BB1385"/>
    <w:rsid w:val="00BC0EA3"/>
    <w:rsid w:val="00BC3C61"/>
    <w:rsid w:val="00BC42C2"/>
    <w:rsid w:val="00BE0CDC"/>
    <w:rsid w:val="00BE13F2"/>
    <w:rsid w:val="00BE25F1"/>
    <w:rsid w:val="00BE317D"/>
    <w:rsid w:val="00BF0EF6"/>
    <w:rsid w:val="00BF3815"/>
    <w:rsid w:val="00C1511B"/>
    <w:rsid w:val="00C21420"/>
    <w:rsid w:val="00C33893"/>
    <w:rsid w:val="00C3543D"/>
    <w:rsid w:val="00C36378"/>
    <w:rsid w:val="00C40446"/>
    <w:rsid w:val="00C40BB2"/>
    <w:rsid w:val="00C41D0C"/>
    <w:rsid w:val="00C42975"/>
    <w:rsid w:val="00C51889"/>
    <w:rsid w:val="00C525BB"/>
    <w:rsid w:val="00C5286F"/>
    <w:rsid w:val="00C6072C"/>
    <w:rsid w:val="00C60D61"/>
    <w:rsid w:val="00C62E80"/>
    <w:rsid w:val="00C639D4"/>
    <w:rsid w:val="00C7161F"/>
    <w:rsid w:val="00C83AE1"/>
    <w:rsid w:val="00C849BD"/>
    <w:rsid w:val="00C90973"/>
    <w:rsid w:val="00C923B1"/>
    <w:rsid w:val="00C94DA7"/>
    <w:rsid w:val="00C9728C"/>
    <w:rsid w:val="00CA253F"/>
    <w:rsid w:val="00CA737F"/>
    <w:rsid w:val="00CA7440"/>
    <w:rsid w:val="00CB1A7D"/>
    <w:rsid w:val="00CB47EB"/>
    <w:rsid w:val="00CB4C7B"/>
    <w:rsid w:val="00CB561B"/>
    <w:rsid w:val="00CC44C2"/>
    <w:rsid w:val="00CC4E6F"/>
    <w:rsid w:val="00CC5793"/>
    <w:rsid w:val="00CC763A"/>
    <w:rsid w:val="00CD2458"/>
    <w:rsid w:val="00CD25FD"/>
    <w:rsid w:val="00CD53BE"/>
    <w:rsid w:val="00CE07E5"/>
    <w:rsid w:val="00CE2285"/>
    <w:rsid w:val="00CF3E65"/>
    <w:rsid w:val="00D00995"/>
    <w:rsid w:val="00D01250"/>
    <w:rsid w:val="00D03CAF"/>
    <w:rsid w:val="00D07A3F"/>
    <w:rsid w:val="00D12517"/>
    <w:rsid w:val="00D12EA7"/>
    <w:rsid w:val="00D25AB1"/>
    <w:rsid w:val="00D26631"/>
    <w:rsid w:val="00D32DA4"/>
    <w:rsid w:val="00D3624C"/>
    <w:rsid w:val="00D4100D"/>
    <w:rsid w:val="00D47D3E"/>
    <w:rsid w:val="00D511CB"/>
    <w:rsid w:val="00D51B31"/>
    <w:rsid w:val="00D55E61"/>
    <w:rsid w:val="00D57A8C"/>
    <w:rsid w:val="00D6030E"/>
    <w:rsid w:val="00D63175"/>
    <w:rsid w:val="00D63B0C"/>
    <w:rsid w:val="00D64099"/>
    <w:rsid w:val="00D67D00"/>
    <w:rsid w:val="00D852EC"/>
    <w:rsid w:val="00DA08C1"/>
    <w:rsid w:val="00DB08C6"/>
    <w:rsid w:val="00DB399B"/>
    <w:rsid w:val="00DB5B0F"/>
    <w:rsid w:val="00DC14B9"/>
    <w:rsid w:val="00DC2BD7"/>
    <w:rsid w:val="00DC2D60"/>
    <w:rsid w:val="00DC31EA"/>
    <w:rsid w:val="00DC3D00"/>
    <w:rsid w:val="00DD25F4"/>
    <w:rsid w:val="00DD2BB3"/>
    <w:rsid w:val="00DD3A8F"/>
    <w:rsid w:val="00DD5218"/>
    <w:rsid w:val="00DD60F4"/>
    <w:rsid w:val="00DE2789"/>
    <w:rsid w:val="00DE42DD"/>
    <w:rsid w:val="00DE4F85"/>
    <w:rsid w:val="00DF0029"/>
    <w:rsid w:val="00DF22BF"/>
    <w:rsid w:val="00DF3906"/>
    <w:rsid w:val="00DF3995"/>
    <w:rsid w:val="00DF41E8"/>
    <w:rsid w:val="00E009FD"/>
    <w:rsid w:val="00E0302C"/>
    <w:rsid w:val="00E04677"/>
    <w:rsid w:val="00E10499"/>
    <w:rsid w:val="00E108E5"/>
    <w:rsid w:val="00E14BD3"/>
    <w:rsid w:val="00E341E9"/>
    <w:rsid w:val="00E34479"/>
    <w:rsid w:val="00E34D17"/>
    <w:rsid w:val="00E3641D"/>
    <w:rsid w:val="00E45ECC"/>
    <w:rsid w:val="00E55BAE"/>
    <w:rsid w:val="00E568BE"/>
    <w:rsid w:val="00E5764D"/>
    <w:rsid w:val="00E605CE"/>
    <w:rsid w:val="00E63823"/>
    <w:rsid w:val="00E70FEB"/>
    <w:rsid w:val="00E730C2"/>
    <w:rsid w:val="00E73542"/>
    <w:rsid w:val="00E73A4C"/>
    <w:rsid w:val="00E757B0"/>
    <w:rsid w:val="00E7593D"/>
    <w:rsid w:val="00E75F9D"/>
    <w:rsid w:val="00E83F86"/>
    <w:rsid w:val="00E845E0"/>
    <w:rsid w:val="00E86BA4"/>
    <w:rsid w:val="00E877B6"/>
    <w:rsid w:val="00E94011"/>
    <w:rsid w:val="00EA01EB"/>
    <w:rsid w:val="00EB0C75"/>
    <w:rsid w:val="00EB2FAE"/>
    <w:rsid w:val="00EB58D4"/>
    <w:rsid w:val="00EB62FF"/>
    <w:rsid w:val="00EC4F64"/>
    <w:rsid w:val="00ED1C32"/>
    <w:rsid w:val="00ED3A72"/>
    <w:rsid w:val="00ED422A"/>
    <w:rsid w:val="00ED44EC"/>
    <w:rsid w:val="00EE1E95"/>
    <w:rsid w:val="00EE2317"/>
    <w:rsid w:val="00EE5074"/>
    <w:rsid w:val="00EE55B0"/>
    <w:rsid w:val="00EF27FF"/>
    <w:rsid w:val="00EF2A4A"/>
    <w:rsid w:val="00EF3E29"/>
    <w:rsid w:val="00EF4A04"/>
    <w:rsid w:val="00F0032E"/>
    <w:rsid w:val="00F00FF5"/>
    <w:rsid w:val="00F036F7"/>
    <w:rsid w:val="00F15B6C"/>
    <w:rsid w:val="00F20184"/>
    <w:rsid w:val="00F26196"/>
    <w:rsid w:val="00F34AA1"/>
    <w:rsid w:val="00F35959"/>
    <w:rsid w:val="00F4226D"/>
    <w:rsid w:val="00F428CD"/>
    <w:rsid w:val="00F42CC8"/>
    <w:rsid w:val="00F442EF"/>
    <w:rsid w:val="00F51654"/>
    <w:rsid w:val="00F560A8"/>
    <w:rsid w:val="00F64A13"/>
    <w:rsid w:val="00F6694D"/>
    <w:rsid w:val="00F710CC"/>
    <w:rsid w:val="00F95BE5"/>
    <w:rsid w:val="00FA683F"/>
    <w:rsid w:val="00FB45BF"/>
    <w:rsid w:val="00FB5A3E"/>
    <w:rsid w:val="00FB5D43"/>
    <w:rsid w:val="00FC0CCB"/>
    <w:rsid w:val="00FC2B32"/>
    <w:rsid w:val="00FC4046"/>
    <w:rsid w:val="00FC468B"/>
    <w:rsid w:val="00FC5FAD"/>
    <w:rsid w:val="00FD18F7"/>
    <w:rsid w:val="00FD48E0"/>
    <w:rsid w:val="00FD662C"/>
    <w:rsid w:val="00FD7A93"/>
    <w:rsid w:val="00FE0640"/>
    <w:rsid w:val="00FF0422"/>
    <w:rsid w:val="00FF3C1D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0A2EB"/>
  <w15:docId w15:val="{928F2A45-0DC2-4D7D-B6C3-1865394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422"/>
    <w:rPr>
      <w:sz w:val="24"/>
      <w:szCs w:val="24"/>
    </w:rPr>
  </w:style>
  <w:style w:type="paragraph" w:styleId="Heading1">
    <w:name w:val="heading 1"/>
    <w:basedOn w:val="Normal"/>
    <w:next w:val="ORISBodyText"/>
    <w:qFormat/>
    <w:rsid w:val="00EB62FF"/>
    <w:pPr>
      <w:keepNext/>
      <w:keepLines/>
      <w:tabs>
        <w:tab w:val="num" w:pos="792"/>
      </w:tabs>
      <w:spacing w:before="480" w:line="276" w:lineRule="auto"/>
      <w:ind w:left="792" w:hanging="432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EB62FF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0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EB62FF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qFormat/>
    <w:rsid w:val="00EB62F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62F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62F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EB62F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62F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rsid w:val="00AB1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5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F47"/>
  </w:style>
  <w:style w:type="paragraph" w:styleId="TOC1">
    <w:name w:val="toc 1"/>
    <w:basedOn w:val="Normal"/>
    <w:next w:val="Normal"/>
    <w:autoRedefine/>
    <w:rsid w:val="00EB62FF"/>
    <w:pPr>
      <w:tabs>
        <w:tab w:val="left" w:pos="576"/>
        <w:tab w:val="right" w:leader="dot" w:pos="9360"/>
      </w:tabs>
      <w:spacing w:before="60" w:after="60"/>
      <w:ind w:left="144"/>
    </w:pPr>
    <w:rPr>
      <w:rFonts w:ascii="Calibri" w:hAnsi="Calibri"/>
      <w:b/>
      <w:sz w:val="20"/>
    </w:rPr>
  </w:style>
  <w:style w:type="paragraph" w:styleId="TOC2">
    <w:name w:val="toc 2"/>
    <w:basedOn w:val="Normal"/>
    <w:next w:val="Normal"/>
    <w:autoRedefine/>
    <w:rsid w:val="00EB62FF"/>
    <w:pPr>
      <w:tabs>
        <w:tab w:val="left" w:pos="960"/>
        <w:tab w:val="right" w:leader="dot" w:pos="9360"/>
      </w:tabs>
      <w:spacing w:before="60" w:after="60"/>
      <w:ind w:left="288"/>
    </w:pPr>
    <w:rPr>
      <w:rFonts w:ascii="Calibri" w:hAnsi="Calibri"/>
      <w:sz w:val="20"/>
    </w:rPr>
  </w:style>
  <w:style w:type="character" w:styleId="Hyperlink">
    <w:name w:val="Hyperlink"/>
    <w:basedOn w:val="DefaultParagraphFont"/>
    <w:rsid w:val="00EB62FF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EB62FF"/>
    <w:pPr>
      <w:spacing w:before="60" w:after="60"/>
      <w:ind w:left="432"/>
    </w:pPr>
    <w:rPr>
      <w:rFonts w:ascii="Calibri" w:hAnsi="Calibri"/>
      <w:sz w:val="20"/>
    </w:rPr>
  </w:style>
  <w:style w:type="paragraph" w:styleId="BodyText">
    <w:name w:val="Body Text"/>
    <w:basedOn w:val="Normal"/>
    <w:rsid w:val="00EB62FF"/>
    <w:pPr>
      <w:spacing w:after="120"/>
    </w:pPr>
  </w:style>
  <w:style w:type="paragraph" w:customStyle="1" w:styleId="ORISTitle1">
    <w:name w:val="ORIS Title 1"/>
    <w:basedOn w:val="Title"/>
    <w:next w:val="ORISTitle2"/>
    <w:link w:val="ORISTitle1Char"/>
    <w:qFormat/>
    <w:rsid w:val="00EB62FF"/>
    <w:pPr>
      <w:pBdr>
        <w:bottom w:val="single" w:sz="8" w:space="4" w:color="4F81BD"/>
      </w:pBdr>
      <w:spacing w:before="2040" w:after="0"/>
      <w:contextualSpacing/>
      <w:jc w:val="left"/>
      <w:outlineLvl w:val="9"/>
    </w:pPr>
    <w:rPr>
      <w:rFonts w:ascii="Cambria" w:eastAsia="Calibri" w:hAnsi="Cambria" w:cs="Times New Roman"/>
      <w:b w:val="0"/>
      <w:bCs w:val="0"/>
      <w:color w:val="17365D"/>
      <w:spacing w:val="5"/>
      <w:sz w:val="48"/>
      <w:szCs w:val="52"/>
    </w:rPr>
  </w:style>
  <w:style w:type="paragraph" w:customStyle="1" w:styleId="ORISTitle2">
    <w:name w:val="ORIS Title 2"/>
    <w:basedOn w:val="ORISTitle1"/>
    <w:link w:val="ORISTitle2Char"/>
    <w:qFormat/>
    <w:rsid w:val="00EB62FF"/>
    <w:pPr>
      <w:spacing w:before="0"/>
    </w:pPr>
    <w:rPr>
      <w:sz w:val="32"/>
      <w:szCs w:val="32"/>
    </w:rPr>
  </w:style>
  <w:style w:type="paragraph" w:customStyle="1" w:styleId="ORISSubtitle">
    <w:name w:val="ORIS Subtitle"/>
    <w:basedOn w:val="Normal"/>
    <w:link w:val="ORISSubtitleChar"/>
    <w:qFormat/>
    <w:rsid w:val="00EB62FF"/>
    <w:rPr>
      <w:rFonts w:ascii="Cambria" w:hAnsi="Cambria"/>
      <w:sz w:val="28"/>
      <w:szCs w:val="28"/>
    </w:rPr>
  </w:style>
  <w:style w:type="character" w:customStyle="1" w:styleId="ORISTitle1Char">
    <w:name w:val="ORIS Title 1 Char"/>
    <w:basedOn w:val="DefaultParagraphFont"/>
    <w:link w:val="ORISTitle1"/>
    <w:rsid w:val="00EB62FF"/>
    <w:rPr>
      <w:rFonts w:ascii="Cambria" w:eastAsia="Calibri" w:hAnsi="Cambria"/>
      <w:color w:val="17365D"/>
      <w:spacing w:val="5"/>
      <w:kern w:val="28"/>
      <w:sz w:val="48"/>
      <w:szCs w:val="52"/>
      <w:lang w:val="en-US" w:eastAsia="en-US" w:bidi="ar-SA"/>
    </w:rPr>
  </w:style>
  <w:style w:type="character" w:customStyle="1" w:styleId="ORISTitle2Char">
    <w:name w:val="ORIS Title 2 Char"/>
    <w:basedOn w:val="ORISTitle1Char"/>
    <w:link w:val="ORISTitle2"/>
    <w:rsid w:val="00EB62FF"/>
    <w:rPr>
      <w:rFonts w:ascii="Cambria" w:eastAsia="Calibri" w:hAnsi="Cambria"/>
      <w:color w:val="17365D"/>
      <w:spacing w:val="5"/>
      <w:kern w:val="28"/>
      <w:sz w:val="32"/>
      <w:szCs w:val="32"/>
      <w:lang w:val="en-US" w:eastAsia="en-US" w:bidi="ar-SA"/>
    </w:rPr>
  </w:style>
  <w:style w:type="paragraph" w:customStyle="1" w:styleId="ORISHeading1">
    <w:name w:val="ORIS Heading 1"/>
    <w:basedOn w:val="Normal"/>
    <w:next w:val="ORISBodyText"/>
    <w:link w:val="ORISHeading1Char"/>
    <w:qFormat/>
    <w:rsid w:val="00EB62FF"/>
    <w:pPr>
      <w:keepNext/>
      <w:keepLines/>
      <w:pageBreakBefore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ORISSubtitleChar">
    <w:name w:val="ORIS Subtitle Char"/>
    <w:basedOn w:val="DefaultParagraphFont"/>
    <w:link w:val="ORISSubtitle"/>
    <w:rsid w:val="00EB62FF"/>
    <w:rPr>
      <w:rFonts w:ascii="Cambria" w:hAnsi="Cambria"/>
      <w:sz w:val="28"/>
      <w:szCs w:val="28"/>
      <w:lang w:val="en-US" w:eastAsia="en-US" w:bidi="ar-SA"/>
    </w:rPr>
  </w:style>
  <w:style w:type="paragraph" w:customStyle="1" w:styleId="ORISBodyText">
    <w:name w:val="ORIS Body Text"/>
    <w:basedOn w:val="Normal"/>
    <w:link w:val="ORISBodyTextChar"/>
    <w:qFormat/>
    <w:rsid w:val="00EB62FF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ORISHeading1Char">
    <w:name w:val="ORIS Heading 1 Char"/>
    <w:basedOn w:val="DefaultParagraphFont"/>
    <w:link w:val="ORIS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Heading2">
    <w:name w:val="ORIS Heading 2"/>
    <w:basedOn w:val="Heading2"/>
    <w:next w:val="ORISBodyText"/>
    <w:link w:val="ORISHeading2Char"/>
    <w:qFormat/>
    <w:rsid w:val="00EB62FF"/>
    <w:pPr>
      <w:tabs>
        <w:tab w:val="clear" w:pos="576"/>
      </w:tabs>
      <w:spacing w:after="120" w:line="240" w:lineRule="auto"/>
    </w:pPr>
  </w:style>
  <w:style w:type="character" w:customStyle="1" w:styleId="ORISBodyTextChar">
    <w:name w:val="ORIS Body Text Char"/>
    <w:basedOn w:val="DefaultParagraphFont"/>
    <w:link w:val="ORISBodyText"/>
    <w:rsid w:val="00EB62FF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RISTableHeader">
    <w:name w:val="ORIS Table Header"/>
    <w:basedOn w:val="ORISBodyText"/>
    <w:rsid w:val="00EB62FF"/>
    <w:pPr>
      <w:spacing w:before="60" w:after="60"/>
      <w:jc w:val="center"/>
    </w:pPr>
    <w:rPr>
      <w:b/>
      <w:color w:val="FFFFFF"/>
      <w:sz w:val="20"/>
      <w:szCs w:val="20"/>
    </w:rPr>
  </w:style>
  <w:style w:type="character" w:customStyle="1" w:styleId="ORISHeading2Char">
    <w:name w:val="ORIS Heading 2 Char"/>
    <w:basedOn w:val="DefaultParagraphFont"/>
    <w:link w:val="ORIS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ORISTableText">
    <w:name w:val="ORIS Table Text"/>
    <w:basedOn w:val="ORISBodyText"/>
    <w:rsid w:val="00EB62FF"/>
    <w:pPr>
      <w:spacing w:after="0"/>
    </w:pPr>
    <w:rPr>
      <w:sz w:val="20"/>
      <w:szCs w:val="20"/>
    </w:rPr>
  </w:style>
  <w:style w:type="paragraph" w:customStyle="1" w:styleId="ORISSectionHeading1">
    <w:name w:val="ORIS Section Heading 1"/>
    <w:basedOn w:val="Heading1"/>
    <w:next w:val="ORISBodyText"/>
    <w:link w:val="ORISSectionHeading1Char"/>
    <w:qFormat/>
    <w:rsid w:val="00EB62FF"/>
    <w:pPr>
      <w:pageBreakBefore/>
      <w:spacing w:line="240" w:lineRule="auto"/>
    </w:pPr>
  </w:style>
  <w:style w:type="paragraph" w:customStyle="1" w:styleId="ORISSectionHeading2">
    <w:name w:val="ORIS Section Heading 2"/>
    <w:basedOn w:val="Heading2"/>
    <w:next w:val="ORISBodyText"/>
    <w:link w:val="ORISSectionHeading2Char"/>
    <w:qFormat/>
    <w:rsid w:val="00EB62FF"/>
    <w:pPr>
      <w:numPr>
        <w:ilvl w:val="1"/>
      </w:numPr>
      <w:tabs>
        <w:tab w:val="num" w:pos="576"/>
      </w:tabs>
      <w:ind w:left="576" w:hanging="576"/>
    </w:pPr>
  </w:style>
  <w:style w:type="character" w:customStyle="1" w:styleId="ORISSectionHeading1Char">
    <w:name w:val="ORIS Section Heading 1 Char"/>
    <w:basedOn w:val="DefaultParagraphFont"/>
    <w:link w:val="ORISSection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SectionHeading3">
    <w:name w:val="ORIS Section Heading 3"/>
    <w:basedOn w:val="Heading3"/>
    <w:next w:val="ORISBodyText"/>
    <w:link w:val="ORISSectionHeading3Char"/>
    <w:qFormat/>
    <w:rsid w:val="00EB62FF"/>
    <w:pPr>
      <w:keepNext/>
      <w:numPr>
        <w:ilvl w:val="2"/>
      </w:numPr>
      <w:tabs>
        <w:tab w:val="num" w:pos="720"/>
      </w:tabs>
      <w:spacing w:before="240" w:beforeAutospacing="0" w:after="60" w:afterAutospacing="0"/>
      <w:ind w:left="720" w:hanging="720"/>
    </w:pPr>
    <w:rPr>
      <w:rFonts w:ascii="Arial" w:hAnsi="Arial" w:cs="Arial"/>
      <w:sz w:val="22"/>
      <w:szCs w:val="26"/>
    </w:rPr>
  </w:style>
  <w:style w:type="character" w:customStyle="1" w:styleId="ORISSectionHeading2Char">
    <w:name w:val="ORIS Section Heading 2 Char"/>
    <w:basedOn w:val="DefaultParagraphFont"/>
    <w:link w:val="ORISSection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ORISSectionHeading3Char">
    <w:name w:val="ORIS Section Heading 3 Char"/>
    <w:basedOn w:val="DefaultParagraphFont"/>
    <w:link w:val="ORISSectionHeading3"/>
    <w:rsid w:val="00EB62FF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styleId="Title">
    <w:name w:val="Title"/>
    <w:basedOn w:val="Normal"/>
    <w:qFormat/>
    <w:rsid w:val="00EB62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DC31EA"/>
    <w:rPr>
      <w:sz w:val="16"/>
      <w:szCs w:val="16"/>
    </w:rPr>
  </w:style>
  <w:style w:type="paragraph" w:styleId="CommentText">
    <w:name w:val="annotation text"/>
    <w:basedOn w:val="Normal"/>
    <w:semiHidden/>
    <w:rsid w:val="00DC31EA"/>
    <w:rPr>
      <w:rFonts w:ascii="Calibri" w:hAnsi="Calibri" w:cs="Time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31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21D3"/>
    <w:rPr>
      <w:b/>
      <w:bCs/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55054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7B6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27B6B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6EF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.oris.washington.edu\shared-or\Administrative%20Coordinator\iSTAR%20Metrics\Metrics%202020%2012%20FY20Q2\iSTAR%20Metrics%20All%20Charts%20FY20Q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.oris.washington.edu\shared-or\Administrative%20Coordinator\iSTAR%20Metrics\Metrics%202020%2005%20FY20Q3\iSTAR%20Metrics%20All%20Charts%20FY20Q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.oris.washington.edu\shared-or\Administrative%20Coordinator\iSTAR%20Metrics\Metrics%202020%2012%20FY20Q2\iSTAR%20Metrics%20All%20Charts%20FY20Q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.oris.washington.edu\shared-or\Administrative%20Coordinator\iSTAR%20Metrics\Metrics%202020%2012%20FY20Q2\iSTAR%20Metrics%20All%20Charts%20FY20Q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.oris.washington.edu\shared-or\Administrative%20Coordinator\iSTAR%20Metrics\Metrics%202020%2012%20FY20Q2\iSTAR%20Metrics%20All%20Charts%20FY20Q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.oris.washington.edu\shared-or\Administrative%20Coordinator\iSTAR%20Metrics\Metrics%202020%2012%20FY20Q2\iSTAR%20Metrics%20All%20Charts%20FY20Q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ILE.oris.washington.edu\shared-or\Administrative%20Coordinator\iSTAR%20Metrics\Metrics%202020%2005%20FY20Q3\Bridge%20all%20cycles%20as%20of%206.25.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efice\AppData\Local\Microsoft\Windows\INetCache\Content.Outlook\GZQZEXA5\iStar%20Reports%20July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efice\AppData\Local\Microsoft\Windows\INetCache\Content.Outlook\Q0WV8DTN\Bridge%20all%20cycles%20iStar%20March%2011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.oris.washington.edu\shared-or\Administrative%20Coordinator\iSTAR%20Metrics\Metrics%202020%2005%20FY20Q3\iSTAR%20Metrics%20All%20Charts%20FY20Q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.oris.washington.edu\shared-or\Administrative%20Coordinator\iSTAR%20Metrics\Metrics%202020%2012%20FY20Q2\iSTAR%20Metrics%20All%20Charts%20FY20Q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b="0"/>
              <a:t>RRF AWARDS BY SUBCOMMITTEE, FALL 2020</a:t>
            </a:r>
          </a:p>
        </c:rich>
      </c:tx>
      <c:layout>
        <c:manualLayout>
          <c:xMode val="edge"/>
          <c:yMode val="edge"/>
          <c:x val="0.29379387402777862"/>
          <c:y val="5.198166385190708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493709515718631"/>
          <c:y val="0.14199763287762748"/>
          <c:w val="0.4691774999977027"/>
          <c:h val="0.81993891089888016"/>
        </c:manualLayout>
      </c:layout>
      <c:pieChart>
        <c:varyColors val="1"/>
        <c:ser>
          <c:idx val="0"/>
          <c:order val="0"/>
          <c:tx>
            <c:strRef>
              <c:f>RRF!$A$1</c:f>
              <c:strCache>
                <c:ptCount val="1"/>
                <c:pt idx="0">
                  <c:v>RRF Awards by Subcommittee, Fall 2020</c:v>
                </c:pt>
              </c:strCache>
            </c:strRef>
          </c:tx>
          <c:spPr>
            <a:ln w="19050">
              <a:solidFill>
                <a:schemeClr val="bg1"/>
              </a:solidFill>
            </a:ln>
          </c:spPr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084-48E4-9298-B5D9F4FB382D}"/>
              </c:ext>
            </c:extLst>
          </c:dPt>
          <c:dLbls>
            <c:dLbl>
              <c:idx val="0"/>
              <c:layout>
                <c:manualLayout>
                  <c:x val="6.401620140642726E-3"/>
                  <c:y val="5.8125691506575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Arts, Humanities</a:t>
                    </a:r>
                    <a:r>
                      <a:rPr lang="en-US" baseline="0"/>
                      <a:t> and Social Sciences; </a:t>
                    </a:r>
                    <a:r>
                      <a:rPr lang="en-US"/>
                      <a:t> </a:t>
                    </a:r>
                  </a:p>
                  <a:p>
                    <a:r>
                      <a:rPr lang="en-US" b="1"/>
                      <a:t>33.5% ($335K)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084-48E4-9298-B5D9F4FB382D}"/>
                </c:ext>
              </c:extLst>
            </c:dLbl>
            <c:dLbl>
              <c:idx val="1"/>
              <c:layout>
                <c:manualLayout>
                  <c:x val="-0.14833547493141444"/>
                  <c:y val="-4.41936230096001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Basic Biological  and Biomedical</a:t>
                    </a:r>
                    <a:r>
                      <a:rPr lang="en-US" baseline="0"/>
                      <a:t> </a:t>
                    </a:r>
                    <a:r>
                      <a:rPr lang="en-US"/>
                      <a:t>Sciences;  </a:t>
                    </a:r>
                    <a:r>
                      <a:rPr lang="en-US" b="1"/>
                      <a:t>46.6% ($467K)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084-48E4-9298-B5D9F4FB382D}"/>
                </c:ext>
              </c:extLst>
            </c:dLbl>
            <c:dLbl>
              <c:idx val="2"/>
              <c:layout>
                <c:manualLayout>
                  <c:x val="-4.1244184466459173E-2"/>
                  <c:y val="0.151091923203192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Physical Sciences and Engineering ; </a:t>
                    </a:r>
                  </a:p>
                  <a:p>
                    <a:r>
                      <a:rPr lang="en-US" b="1"/>
                      <a:t>19.9% ($199K)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084-48E4-9298-B5D9F4FB38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RRF!$A$2:$B$4</c:f>
              <c:strCache>
                <c:ptCount val="3"/>
                <c:pt idx="0">
                  <c:v>Arts 35.5% ($335K)</c:v>
                </c:pt>
                <c:pt idx="1">
                  <c:v>Biological 46.6% ($467K)</c:v>
                </c:pt>
                <c:pt idx="2">
                  <c:v>Science 19.9% ($199K)</c:v>
                </c:pt>
              </c:strCache>
            </c:strRef>
          </c:cat>
          <c:val>
            <c:numRef>
              <c:f>RRF!$C$2:$C$4</c:f>
              <c:numCache>
                <c:formatCode>0.0%</c:formatCode>
                <c:ptCount val="3"/>
                <c:pt idx="0">
                  <c:v>0.33500000000000002</c:v>
                </c:pt>
                <c:pt idx="1">
                  <c:v>0.44600000000000001</c:v>
                </c:pt>
                <c:pt idx="2">
                  <c:v>0.19900000000000001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84-48E4-9298-B5D9F4FB3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CORE</a:t>
            </a:r>
            <a:r>
              <a:rPr lang="en-US" sz="1100" baseline="0"/>
              <a:t> Trainings - Last 13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824039706208386E-2"/>
          <c:y val="8.4344941956882261E-2"/>
          <c:w val="0.92819412559806047"/>
          <c:h val="0.76284117470390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CORE!$G$5</c:f>
              <c:strCache>
                <c:ptCount val="1"/>
                <c:pt idx="0">
                  <c:v>Classroom Trainings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CORE!$F$57:$F$69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7/18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CORE!$G$57:$G$69</c:f>
              <c:numCache>
                <c:formatCode>General</c:formatCode>
                <c:ptCount val="13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8</c:v>
                </c:pt>
                <c:pt idx="8">
                  <c:v>2</c:v>
                </c:pt>
                <c:pt idx="9">
                  <c:v>2</c:v>
                </c:pt>
                <c:pt idx="10">
                  <c:v>7</c:v>
                </c:pt>
                <c:pt idx="11">
                  <c:v>6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4-4CDD-AF66-C342B8384769}"/>
            </c:ext>
          </c:extLst>
        </c:ser>
        <c:ser>
          <c:idx val="1"/>
          <c:order val="1"/>
          <c:tx>
            <c:strRef>
              <c:f>CORE!$H$5</c:f>
              <c:strCache>
                <c:ptCount val="1"/>
                <c:pt idx="0">
                  <c:v>Classroom Attendees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CORE!$F$57:$F$69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7/18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CORE!$H$57:$H$69</c:f>
              <c:numCache>
                <c:formatCode>General</c:formatCode>
                <c:ptCount val="13"/>
                <c:pt idx="0">
                  <c:v>36</c:v>
                </c:pt>
                <c:pt idx="1">
                  <c:v>103</c:v>
                </c:pt>
                <c:pt idx="2">
                  <c:v>106</c:v>
                </c:pt>
                <c:pt idx="3">
                  <c:v>68</c:v>
                </c:pt>
                <c:pt idx="4">
                  <c:v>0</c:v>
                </c:pt>
                <c:pt idx="5">
                  <c:v>8</c:v>
                </c:pt>
                <c:pt idx="6">
                  <c:v>131</c:v>
                </c:pt>
                <c:pt idx="7">
                  <c:v>208</c:v>
                </c:pt>
                <c:pt idx="8">
                  <c:v>49</c:v>
                </c:pt>
                <c:pt idx="9">
                  <c:v>57</c:v>
                </c:pt>
                <c:pt idx="10">
                  <c:v>236</c:v>
                </c:pt>
                <c:pt idx="11">
                  <c:v>209</c:v>
                </c:pt>
                <c:pt idx="1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F4-4CDD-AF66-C342B8384769}"/>
            </c:ext>
          </c:extLst>
        </c:ser>
        <c:ser>
          <c:idx val="2"/>
          <c:order val="2"/>
          <c:tx>
            <c:strRef>
              <c:f>CORE!$C$5</c:f>
              <c:strCache>
                <c:ptCount val="1"/>
                <c:pt idx="0">
                  <c:v>Online Attendees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CORE!$F$57:$F$69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7/18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(CORE!$C$38:$C$47,CORE!$C$49:$C$51)</c:f>
              <c:numCache>
                <c:formatCode>General</c:formatCode>
                <c:ptCount val="13"/>
                <c:pt idx="0">
                  <c:v>2</c:v>
                </c:pt>
                <c:pt idx="1">
                  <c:v>49</c:v>
                </c:pt>
                <c:pt idx="2">
                  <c:v>16</c:v>
                </c:pt>
                <c:pt idx="3">
                  <c:v>6</c:v>
                </c:pt>
                <c:pt idx="4">
                  <c:v>42</c:v>
                </c:pt>
                <c:pt idx="5">
                  <c:v>27</c:v>
                </c:pt>
                <c:pt idx="6">
                  <c:v>27</c:v>
                </c:pt>
                <c:pt idx="7">
                  <c:v>86</c:v>
                </c:pt>
                <c:pt idx="8">
                  <c:v>73</c:v>
                </c:pt>
                <c:pt idx="9">
                  <c:v>66</c:v>
                </c:pt>
                <c:pt idx="10">
                  <c:v>46</c:v>
                </c:pt>
                <c:pt idx="11">
                  <c:v>124</c:v>
                </c:pt>
                <c:pt idx="1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F4-4CDD-AF66-C342B8384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73952"/>
        <c:axId val="458277232"/>
      </c:barChart>
      <c:catAx>
        <c:axId val="45827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277232"/>
        <c:crosses val="autoZero"/>
        <c:auto val="1"/>
        <c:lblAlgn val="ctr"/>
        <c:lblOffset val="100"/>
        <c:noMultiLvlLbl val="0"/>
      </c:catAx>
      <c:valAx>
        <c:axId val="458277232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273952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CORE</a:t>
            </a:r>
            <a:r>
              <a:rPr lang="en-US" sz="1100" baseline="0"/>
              <a:t> Trainings - Last 5 Calendar Years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CORE!$G$5</c:f>
              <c:strCache>
                <c:ptCount val="1"/>
                <c:pt idx="0">
                  <c:v>Classroom Trainings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(CORE!$F$6,CORE!$F$16,CORE!$F$29,CORE!$F$41,CORE!$F$54)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(CORE!$I$15,CORE!$I$28,CORE!$I$40,CORE!$I$53,CORE!$I$66)</c:f>
              <c:numCache>
                <c:formatCode>General</c:formatCode>
                <c:ptCount val="5"/>
                <c:pt idx="0">
                  <c:v>56</c:v>
                </c:pt>
                <c:pt idx="1">
                  <c:v>65</c:v>
                </c:pt>
                <c:pt idx="2">
                  <c:v>54</c:v>
                </c:pt>
                <c:pt idx="3">
                  <c:v>49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2-46E1-963D-5FF151C7CFBF}"/>
            </c:ext>
          </c:extLst>
        </c:ser>
        <c:ser>
          <c:idx val="1"/>
          <c:order val="1"/>
          <c:tx>
            <c:strRef>
              <c:f>CORE!$H$5</c:f>
              <c:strCache>
                <c:ptCount val="1"/>
                <c:pt idx="0">
                  <c:v>Classroom Attendees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(CORE!$F$6,CORE!$F$16,CORE!$F$29,CORE!$F$41,CORE!$F$54)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(CORE!$J$15,CORE!$J$28,CORE!$J$40,CORE!$J$53,CORE!$J$66)</c:f>
              <c:numCache>
                <c:formatCode>General</c:formatCode>
                <c:ptCount val="5"/>
                <c:pt idx="0">
                  <c:v>670</c:v>
                </c:pt>
                <c:pt idx="1">
                  <c:v>740</c:v>
                </c:pt>
                <c:pt idx="2">
                  <c:v>557</c:v>
                </c:pt>
                <c:pt idx="3">
                  <c:v>574</c:v>
                </c:pt>
                <c:pt idx="4">
                  <c:v>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32-46E1-963D-5FF151C7CFBF}"/>
            </c:ext>
          </c:extLst>
        </c:ser>
        <c:ser>
          <c:idx val="2"/>
          <c:order val="2"/>
          <c:tx>
            <c:strRef>
              <c:f>CORE!$C$5</c:f>
              <c:strCache>
                <c:ptCount val="1"/>
                <c:pt idx="0">
                  <c:v>Online Attendees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(CORE!$F$6,CORE!$F$16,CORE!$F$29,CORE!$F$41,CORE!$F$54)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(CORE!$E$6,CORE!$E$12,CORE!$E$22,CORE!$E$34,CORE!$E$40)</c:f>
              <c:numCache>
                <c:formatCode>General</c:formatCode>
                <c:ptCount val="5"/>
                <c:pt idx="1">
                  <c:v>76</c:v>
                </c:pt>
                <c:pt idx="2">
                  <c:v>59</c:v>
                </c:pt>
                <c:pt idx="3">
                  <c:v>59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32-46E1-963D-5FF151C7C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73952"/>
        <c:axId val="458277232"/>
      </c:barChart>
      <c:catAx>
        <c:axId val="45827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277232"/>
        <c:crosses val="autoZero"/>
        <c:auto val="1"/>
        <c:lblAlgn val="ctr"/>
        <c:lblOffset val="100"/>
        <c:noMultiLvlLbl val="0"/>
      </c:catAx>
      <c:valAx>
        <c:axId val="4582772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27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b="0"/>
              <a:t>RRF AWARDS BY RANK, FALL 2020</a:t>
            </a:r>
          </a:p>
        </c:rich>
      </c:tx>
      <c:layout>
        <c:manualLayout>
          <c:xMode val="edge"/>
          <c:yMode val="edge"/>
          <c:x val="0.29379387402777862"/>
          <c:y val="5.198166385190708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493709515718631"/>
          <c:y val="0.19222184183498803"/>
          <c:w val="0.38134584916673614"/>
          <c:h val="0.64467929999798623"/>
        </c:manualLayout>
      </c:layout>
      <c:pieChart>
        <c:varyColors val="1"/>
        <c:ser>
          <c:idx val="0"/>
          <c:order val="0"/>
          <c:tx>
            <c:strRef>
              <c:f>RRF!$A$1</c:f>
              <c:strCache>
                <c:ptCount val="1"/>
                <c:pt idx="0">
                  <c:v>RRF Awards by Subcommittee, Fall 2020</c:v>
                </c:pt>
              </c:strCache>
            </c:strRef>
          </c:tx>
          <c:spPr>
            <a:ln w="19050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5C4-4511-8DCF-030A77FDA1F2}"/>
              </c:ext>
            </c:extLst>
          </c:dPt>
          <c:dLbls>
            <c:dLbl>
              <c:idx val="0"/>
              <c:layout>
                <c:manualLayout>
                  <c:x val="6.6388258527645364E-2"/>
                  <c:y val="1.456935779097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C4-4511-8DCF-030A77FDA1F2}"/>
                </c:ext>
              </c:extLst>
            </c:dLbl>
            <c:dLbl>
              <c:idx val="1"/>
              <c:layout>
                <c:manualLayout>
                  <c:x val="1.3444209222396523E-2"/>
                  <c:y val="4.27062558878480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C4-4511-8DCF-030A77FDA1F2}"/>
                </c:ext>
              </c:extLst>
            </c:dLbl>
            <c:dLbl>
              <c:idx val="2"/>
              <c:layout>
                <c:manualLayout>
                  <c:x val="3.330642663864309E-2"/>
                  <c:y val="0.104489038759959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C4-4511-8DCF-030A77FDA1F2}"/>
                </c:ext>
              </c:extLst>
            </c:dLbl>
            <c:dLbl>
              <c:idx val="3"/>
              <c:layout>
                <c:manualLayout>
                  <c:x val="-4.9481513070053863E-2"/>
                  <c:y val="-9.10256777814164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C4-4511-8DCF-030A77FDA1F2}"/>
                </c:ext>
              </c:extLst>
            </c:dLbl>
            <c:dLbl>
              <c:idx val="4"/>
              <c:layout>
                <c:manualLayout>
                  <c:x val="-4.9306670321915803E-2"/>
                  <c:y val="-1.79765871094638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C4-4511-8DCF-030A77FDA1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(RRF!$A$8,RRF!$A$9,RRF!$A$11,RRF!$A$12,RRF!$A$13,RRF!$A$14)</c:f>
              <c:strCache>
                <c:ptCount val="5"/>
                <c:pt idx="0">
                  <c:v>Research Assistant Professors</c:v>
                </c:pt>
                <c:pt idx="1">
                  <c:v>Professors </c:v>
                </c:pt>
                <c:pt idx="2">
                  <c:v>Associate Professors </c:v>
                </c:pt>
                <c:pt idx="3">
                  <c:v>Assistant Professors </c:v>
                </c:pt>
                <c:pt idx="4">
                  <c:v>Research Scientists</c:v>
                </c:pt>
              </c:strCache>
            </c:strRef>
          </c:cat>
          <c:val>
            <c:numRef>
              <c:f>(RRF!$C$8,RRF!$C$9,RRF!$C$11,RRF!$C$12,RRF!$C$13,RRF!$C$14)</c:f>
              <c:numCache>
                <c:formatCode>0%</c:formatCode>
                <c:ptCount val="5"/>
                <c:pt idx="0">
                  <c:v>3.7037037037037035E-2</c:v>
                </c:pt>
                <c:pt idx="1">
                  <c:v>0.22222222222222221</c:v>
                </c:pt>
                <c:pt idx="2">
                  <c:v>0.25925925925925924</c:v>
                </c:pt>
                <c:pt idx="3">
                  <c:v>0.40740740740740738</c:v>
                </c:pt>
                <c:pt idx="4">
                  <c:v>7.407407407407407E-2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C4-4511-8DCF-030A77FDA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="0"/>
              <a:t>RRF PROPOSALS AND AWARDS 2009-2019</a:t>
            </a:r>
          </a:p>
        </c:rich>
      </c:tx>
      <c:layout>
        <c:manualLayout>
          <c:xMode val="edge"/>
          <c:yMode val="edge"/>
          <c:x val="0.30366576405519613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1"/>
          <c:tx>
            <c:strRef>
              <c:f>RRF!$C$18</c:f>
              <c:strCache>
                <c:ptCount val="1"/>
                <c:pt idx="0">
                  <c:v>Proposals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RRF!$A$23:$B$43</c:f>
              <c:strCache>
                <c:ptCount val="21"/>
                <c:pt idx="0">
                  <c:v>July-Dec 2009</c:v>
                </c:pt>
                <c:pt idx="1">
                  <c:v>Jan-June 2010</c:v>
                </c:pt>
                <c:pt idx="2">
                  <c:v>July-Dec 2010</c:v>
                </c:pt>
                <c:pt idx="3">
                  <c:v>Jan-June 2011</c:v>
                </c:pt>
                <c:pt idx="4">
                  <c:v>July-Dec 2011</c:v>
                </c:pt>
                <c:pt idx="5">
                  <c:v>Jan-June 2012</c:v>
                </c:pt>
                <c:pt idx="6">
                  <c:v>July-Dec 2012</c:v>
                </c:pt>
                <c:pt idx="7">
                  <c:v>Jan-June 2013</c:v>
                </c:pt>
                <c:pt idx="8">
                  <c:v>July-Dec 2013</c:v>
                </c:pt>
                <c:pt idx="9">
                  <c:v>Jan-June 2014</c:v>
                </c:pt>
                <c:pt idx="10">
                  <c:v>July-Dec 2014</c:v>
                </c:pt>
                <c:pt idx="11">
                  <c:v>Jan-June 2015</c:v>
                </c:pt>
                <c:pt idx="12">
                  <c:v>July-Dec 2015</c:v>
                </c:pt>
                <c:pt idx="13">
                  <c:v>Jan-June 2016</c:v>
                </c:pt>
                <c:pt idx="14">
                  <c:v>July-Dec 2016</c:v>
                </c:pt>
                <c:pt idx="15">
                  <c:v>Jan-Jun 2017</c:v>
                </c:pt>
                <c:pt idx="16">
                  <c:v>July-Dec 2017</c:v>
                </c:pt>
                <c:pt idx="17">
                  <c:v>Jan-Jun 2018</c:v>
                </c:pt>
                <c:pt idx="18">
                  <c:v>July-Dec 2018</c:v>
                </c:pt>
                <c:pt idx="19">
                  <c:v>Jan-Jun 2019</c:v>
                </c:pt>
                <c:pt idx="20">
                  <c:v>July- Dec 2019</c:v>
                </c:pt>
              </c:strCache>
            </c:strRef>
          </c:cat>
          <c:val>
            <c:numRef>
              <c:f>RRF!$C$23:$C$43</c:f>
              <c:numCache>
                <c:formatCode>General</c:formatCode>
                <c:ptCount val="21"/>
                <c:pt idx="0">
                  <c:v>144</c:v>
                </c:pt>
                <c:pt idx="1">
                  <c:v>113</c:v>
                </c:pt>
                <c:pt idx="2">
                  <c:v>102</c:v>
                </c:pt>
                <c:pt idx="3">
                  <c:v>119</c:v>
                </c:pt>
                <c:pt idx="4">
                  <c:v>116</c:v>
                </c:pt>
                <c:pt idx="5">
                  <c:v>149</c:v>
                </c:pt>
                <c:pt idx="6">
                  <c:v>133</c:v>
                </c:pt>
                <c:pt idx="7">
                  <c:v>158</c:v>
                </c:pt>
                <c:pt idx="8">
                  <c:v>150</c:v>
                </c:pt>
                <c:pt idx="9">
                  <c:v>156</c:v>
                </c:pt>
                <c:pt idx="10">
                  <c:v>139</c:v>
                </c:pt>
                <c:pt idx="11">
                  <c:v>131</c:v>
                </c:pt>
                <c:pt idx="12">
                  <c:v>113</c:v>
                </c:pt>
                <c:pt idx="13">
                  <c:v>147</c:v>
                </c:pt>
                <c:pt idx="14">
                  <c:v>140</c:v>
                </c:pt>
                <c:pt idx="15">
                  <c:v>154</c:v>
                </c:pt>
                <c:pt idx="16">
                  <c:v>126</c:v>
                </c:pt>
                <c:pt idx="17">
                  <c:v>148</c:v>
                </c:pt>
                <c:pt idx="18">
                  <c:v>104</c:v>
                </c:pt>
                <c:pt idx="19">
                  <c:v>114</c:v>
                </c:pt>
                <c:pt idx="20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5-425A-B6E7-E2BE8BCBE0B3}"/>
            </c:ext>
          </c:extLst>
        </c:ser>
        <c:ser>
          <c:idx val="0"/>
          <c:order val="2"/>
          <c:tx>
            <c:strRef>
              <c:f>RRF!$D$18</c:f>
              <c:strCache>
                <c:ptCount val="1"/>
                <c:pt idx="0">
                  <c:v>Awards</c:v>
                </c:pt>
              </c:strCache>
            </c:strRef>
          </c:tx>
          <c:invertIfNegative val="0"/>
          <c:cat>
            <c:strRef>
              <c:f>RRF!$A$23:$B$43</c:f>
              <c:strCache>
                <c:ptCount val="21"/>
                <c:pt idx="0">
                  <c:v>July-Dec 2009</c:v>
                </c:pt>
                <c:pt idx="1">
                  <c:v>Jan-June 2010</c:v>
                </c:pt>
                <c:pt idx="2">
                  <c:v>July-Dec 2010</c:v>
                </c:pt>
                <c:pt idx="3">
                  <c:v>Jan-June 2011</c:v>
                </c:pt>
                <c:pt idx="4">
                  <c:v>July-Dec 2011</c:v>
                </c:pt>
                <c:pt idx="5">
                  <c:v>Jan-June 2012</c:v>
                </c:pt>
                <c:pt idx="6">
                  <c:v>July-Dec 2012</c:v>
                </c:pt>
                <c:pt idx="7">
                  <c:v>Jan-June 2013</c:v>
                </c:pt>
                <c:pt idx="8">
                  <c:v>July-Dec 2013</c:v>
                </c:pt>
                <c:pt idx="9">
                  <c:v>Jan-June 2014</c:v>
                </c:pt>
                <c:pt idx="10">
                  <c:v>July-Dec 2014</c:v>
                </c:pt>
                <c:pt idx="11">
                  <c:v>Jan-June 2015</c:v>
                </c:pt>
                <c:pt idx="12">
                  <c:v>July-Dec 2015</c:v>
                </c:pt>
                <c:pt idx="13">
                  <c:v>Jan-June 2016</c:v>
                </c:pt>
                <c:pt idx="14">
                  <c:v>July-Dec 2016</c:v>
                </c:pt>
                <c:pt idx="15">
                  <c:v>Jan-Jun 2017</c:v>
                </c:pt>
                <c:pt idx="16">
                  <c:v>July-Dec 2017</c:v>
                </c:pt>
                <c:pt idx="17">
                  <c:v>Jan-Jun 2018</c:v>
                </c:pt>
                <c:pt idx="18">
                  <c:v>July-Dec 2018</c:v>
                </c:pt>
                <c:pt idx="19">
                  <c:v>Jan-Jun 2019</c:v>
                </c:pt>
                <c:pt idx="20">
                  <c:v>July- Dec 2019</c:v>
                </c:pt>
              </c:strCache>
            </c:strRef>
          </c:cat>
          <c:val>
            <c:numRef>
              <c:f>RRF!$D$23:$D$43</c:f>
              <c:numCache>
                <c:formatCode>General</c:formatCode>
                <c:ptCount val="21"/>
                <c:pt idx="0">
                  <c:v>29</c:v>
                </c:pt>
                <c:pt idx="1">
                  <c:v>29</c:v>
                </c:pt>
                <c:pt idx="2">
                  <c:v>31</c:v>
                </c:pt>
                <c:pt idx="3">
                  <c:v>30</c:v>
                </c:pt>
                <c:pt idx="4">
                  <c:v>38</c:v>
                </c:pt>
                <c:pt idx="5">
                  <c:v>35</c:v>
                </c:pt>
                <c:pt idx="6">
                  <c:v>36</c:v>
                </c:pt>
                <c:pt idx="7">
                  <c:v>36</c:v>
                </c:pt>
                <c:pt idx="8">
                  <c:v>36</c:v>
                </c:pt>
                <c:pt idx="9">
                  <c:v>39</c:v>
                </c:pt>
                <c:pt idx="10">
                  <c:v>36</c:v>
                </c:pt>
                <c:pt idx="11">
                  <c:v>31</c:v>
                </c:pt>
                <c:pt idx="12">
                  <c:v>32</c:v>
                </c:pt>
                <c:pt idx="13">
                  <c:v>34</c:v>
                </c:pt>
                <c:pt idx="14">
                  <c:v>34</c:v>
                </c:pt>
                <c:pt idx="15">
                  <c:v>40</c:v>
                </c:pt>
                <c:pt idx="16">
                  <c:v>32</c:v>
                </c:pt>
                <c:pt idx="17">
                  <c:v>34</c:v>
                </c:pt>
                <c:pt idx="18">
                  <c:v>30</c:v>
                </c:pt>
                <c:pt idx="19">
                  <c:v>30</c:v>
                </c:pt>
                <c:pt idx="2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65-425A-B6E7-E2BE8BCBE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883904"/>
        <c:axId val="103885440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RRF!$B$18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RRF!$A$23:$B$43</c15:sqref>
                        </c15:formulaRef>
                      </c:ext>
                    </c:extLst>
                    <c:strCache>
                      <c:ptCount val="21"/>
                      <c:pt idx="0">
                        <c:v>July-Dec 2009</c:v>
                      </c:pt>
                      <c:pt idx="1">
                        <c:v>Jan-June 2010</c:v>
                      </c:pt>
                      <c:pt idx="2">
                        <c:v>July-Dec 2010</c:v>
                      </c:pt>
                      <c:pt idx="3">
                        <c:v>Jan-June 2011</c:v>
                      </c:pt>
                      <c:pt idx="4">
                        <c:v>July-Dec 2011</c:v>
                      </c:pt>
                      <c:pt idx="5">
                        <c:v>Jan-June 2012</c:v>
                      </c:pt>
                      <c:pt idx="6">
                        <c:v>July-Dec 2012</c:v>
                      </c:pt>
                      <c:pt idx="7">
                        <c:v>Jan-June 2013</c:v>
                      </c:pt>
                      <c:pt idx="8">
                        <c:v>July-Dec 2013</c:v>
                      </c:pt>
                      <c:pt idx="9">
                        <c:v>Jan-June 2014</c:v>
                      </c:pt>
                      <c:pt idx="10">
                        <c:v>July-Dec 2014</c:v>
                      </c:pt>
                      <c:pt idx="11">
                        <c:v>Jan-June 2015</c:v>
                      </c:pt>
                      <c:pt idx="12">
                        <c:v>July-Dec 2015</c:v>
                      </c:pt>
                      <c:pt idx="13">
                        <c:v>Jan-June 2016</c:v>
                      </c:pt>
                      <c:pt idx="14">
                        <c:v>July-Dec 2016</c:v>
                      </c:pt>
                      <c:pt idx="15">
                        <c:v>Jan-Jun 2017</c:v>
                      </c:pt>
                      <c:pt idx="16">
                        <c:v>July-Dec 2017</c:v>
                      </c:pt>
                      <c:pt idx="17">
                        <c:v>Jan-Jun 2018</c:v>
                      </c:pt>
                      <c:pt idx="18">
                        <c:v>July-Dec 2018</c:v>
                      </c:pt>
                      <c:pt idx="19">
                        <c:v>Jan-Jun 2019</c:v>
                      </c:pt>
                      <c:pt idx="20">
                        <c:v>July- Dec 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RRF!$B$19:$B$41</c15:sqref>
                        </c15:formulaRef>
                      </c:ext>
                    </c:extLst>
                    <c:numCache>
                      <c:formatCode>General</c:formatCode>
                      <c:ptCount val="2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365-425A-B6E7-E2BE8BCBE0B3}"/>
                  </c:ext>
                </c:extLst>
              </c15:ser>
            </c15:filteredBarSeries>
          </c:ext>
        </c:extLst>
      </c:barChart>
      <c:catAx>
        <c:axId val="10388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3885440"/>
        <c:crosses val="autoZero"/>
        <c:auto val="1"/>
        <c:lblAlgn val="ctr"/>
        <c:lblOffset val="100"/>
        <c:noMultiLvlLbl val="0"/>
      </c:catAx>
      <c:valAx>
        <c:axId val="103885440"/>
        <c:scaling>
          <c:orientation val="minMax"/>
          <c:max val="160"/>
        </c:scaling>
        <c:delete val="0"/>
        <c:axPos val="l"/>
        <c:numFmt formatCode="General" sourceLinked="1"/>
        <c:majorTickMark val="none"/>
        <c:minorTickMark val="none"/>
        <c:tickLblPos val="nextTo"/>
        <c:crossAx val="103883904"/>
        <c:crosses val="autoZero"/>
        <c:crossBetween val="between"/>
        <c:majorUnit val="2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="0" i="0" baseline="0">
                <a:effectLst/>
              </a:rPr>
              <a:t>RRF BUDGET SETUPS AND FINAL REPORTS - PAST 5 CYCLES</a:t>
            </a:r>
            <a:endParaRPr lang="en-US" sz="1100" b="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RRF!$B$45</c:f>
              <c:strCache>
                <c:ptCount val="1"/>
                <c:pt idx="0">
                  <c:v>Budget setups</c:v>
                </c:pt>
              </c:strCache>
            </c:strRef>
          </c:tx>
          <c:invertIfNegative val="0"/>
          <c:cat>
            <c:strRef>
              <c:f>(RRF!$F$76,RRF!$F$70,RRF!$F$64,RRF!$F$58,RRF!$F$52)</c:f>
              <c:strCache>
                <c:ptCount val="5"/>
                <c:pt idx="0">
                  <c:v>Jul-Dec 2017</c:v>
                </c:pt>
                <c:pt idx="1">
                  <c:v>Jan-Jun 2018</c:v>
                </c:pt>
                <c:pt idx="2">
                  <c:v>Jul-Dec 2018</c:v>
                </c:pt>
                <c:pt idx="3">
                  <c:v>Jan-Jun 2019</c:v>
                </c:pt>
                <c:pt idx="4">
                  <c:v>Jul-Dec 2019</c:v>
                </c:pt>
              </c:strCache>
            </c:strRef>
          </c:cat>
          <c:val>
            <c:numRef>
              <c:f>(RRF!$G$76,RRF!$G$70,RRF!$G$64,RRF!$G$58,RRF!$G$52)</c:f>
              <c:numCache>
                <c:formatCode>General</c:formatCode>
                <c:ptCount val="5"/>
                <c:pt idx="0">
                  <c:v>35</c:v>
                </c:pt>
                <c:pt idx="1">
                  <c:v>52</c:v>
                </c:pt>
                <c:pt idx="2">
                  <c:v>27</c:v>
                </c:pt>
                <c:pt idx="3">
                  <c:v>41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586-8D10-A89C8FB41220}"/>
            </c:ext>
          </c:extLst>
        </c:ser>
        <c:ser>
          <c:idx val="1"/>
          <c:order val="1"/>
          <c:tx>
            <c:strRef>
              <c:f>RRF!$C$45</c:f>
              <c:strCache>
                <c:ptCount val="1"/>
                <c:pt idx="0">
                  <c:v>Final Reports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(RRF!$F$76,RRF!$F$70,RRF!$F$64,RRF!$F$58,RRF!$F$52)</c:f>
              <c:strCache>
                <c:ptCount val="5"/>
                <c:pt idx="0">
                  <c:v>Jul-Dec 2017</c:v>
                </c:pt>
                <c:pt idx="1">
                  <c:v>Jan-Jun 2018</c:v>
                </c:pt>
                <c:pt idx="2">
                  <c:v>Jul-Dec 2018</c:v>
                </c:pt>
                <c:pt idx="3">
                  <c:v>Jan-Jun 2019</c:v>
                </c:pt>
                <c:pt idx="4">
                  <c:v>Jul-Dec 2019</c:v>
                </c:pt>
              </c:strCache>
            </c:strRef>
          </c:cat>
          <c:val>
            <c:numRef>
              <c:f>(RRF!$H$76,RRF!$H$70,RRF!$H$64,RRF!$H$58,RRF!$H$52)</c:f>
              <c:numCache>
                <c:formatCode>General</c:formatCode>
                <c:ptCount val="5"/>
                <c:pt idx="0">
                  <c:v>45</c:v>
                </c:pt>
                <c:pt idx="1">
                  <c:v>29</c:v>
                </c:pt>
                <c:pt idx="2">
                  <c:v>38</c:v>
                </c:pt>
                <c:pt idx="3">
                  <c:v>33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EC-4586-8D10-A89C8FB41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20768"/>
        <c:axId val="103922304"/>
      </c:barChart>
      <c:catAx>
        <c:axId val="10392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3922304"/>
        <c:crosses val="autoZero"/>
        <c:auto val="1"/>
        <c:lblAlgn val="ctr"/>
        <c:lblOffset val="100"/>
        <c:noMultiLvlLbl val="0"/>
      </c:catAx>
      <c:valAx>
        <c:axId val="103922304"/>
        <c:scaling>
          <c:orientation val="minMax"/>
          <c:max val="55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103920768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lIns="365760" tIns="182880" rIns="365760" bIns="182880"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</c15:spPr>
            </c:ext>
          </c:extLst>
        </c:dLbl>
      </c:pivotFmt>
      <c:pivotFmt>
        <c:idx val="3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0.23213274997894393"/>
          <c:y val="0.1027587656104615"/>
          <c:w val="0.45233328167741643"/>
          <c:h val="0.82361655651702292"/>
        </c:manualLayout>
      </c:layout>
      <c:pieChart>
        <c:varyColors val="1"/>
        <c:ser>
          <c:idx val="0"/>
          <c:order val="0"/>
          <c:tx>
            <c:strRef>
              <c:f>'Awards by School  for Web'!$B$3</c:f>
              <c:strCache>
                <c:ptCount val="1"/>
                <c:pt idx="0">
                  <c:v>Sum of Provost Awarded</c:v>
                </c:pt>
              </c:strCache>
            </c:strRef>
          </c:tx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D56A-4715-BFE2-24EF98B3FCB9}"/>
              </c:ext>
            </c:extLst>
          </c:dPt>
          <c:dLbls>
            <c:dLbl>
              <c:idx val="0"/>
              <c:layout>
                <c:manualLayout>
                  <c:x val="-4.8612718665986807E-2"/>
                  <c:y val="-7.8578599266848098E-2"/>
                </c:manualLayout>
              </c:layout>
              <c:tx>
                <c:rich>
                  <a:bodyPr rot="0" vertOverflow="overflow" horzOverflow="overflow" wrap="square" lIns="182880" tIns="182880" rIns="182880" bIns="182880" numCol="1" anchor="t" anchorCtr="1">
                    <a:noAutofit/>
                  </a:bodyPr>
                  <a:lstStyle/>
                  <a:p>
                    <a:pPr>
                      <a:defRPr/>
                    </a:pPr>
                    <a:fld id="{E4A8ECE7-E4EA-42B5-8ED6-67DE4B9F1883}" type="CATEGORYNAME">
                      <a:rPr lang="en-US" b="1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3720544590195127"/>
                      <c:h val="0.142923009917095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6A-4715-BFE2-24EF98B3FCB9}"/>
                </c:ext>
              </c:extLst>
            </c:dLbl>
            <c:dLbl>
              <c:idx val="1"/>
              <c:layout>
                <c:manualLayout>
                  <c:x val="-0.17048803162613818"/>
                  <c:y val="1.1946925651720256E-2"/>
                </c:manualLayout>
              </c:layout>
              <c:tx>
                <c:rich>
                  <a:bodyPr/>
                  <a:lstStyle/>
                  <a:p>
                    <a:fld id="{139F44C8-8E54-4BC1-BE61-E8883BDBB029}" type="CATEGORYNAME">
                      <a:rPr lang="en-US" b="1">
                        <a:solidFill>
                          <a:sysClr val="windowText" lastClr="000000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0804002675547363E-2"/>
                      <c:h val="0.126945298079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56A-4715-BFE2-24EF98B3FCB9}"/>
                </c:ext>
              </c:extLst>
            </c:dLbl>
            <c:dLbl>
              <c:idx val="2"/>
              <c:layout>
                <c:manualLayout>
                  <c:x val="-7.2911130184786538E-2"/>
                  <c:y val="-0.12589524701917246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56A-4715-BFE2-24EF98B3FCB9}"/>
                </c:ext>
              </c:extLst>
            </c:dLbl>
            <c:dLbl>
              <c:idx val="3"/>
              <c:layout>
                <c:manualLayout>
                  <c:x val="-2.396995904752244E-2"/>
                  <c:y val="-0.21786379473359893"/>
                </c:manualLayout>
              </c:layout>
              <c:tx>
                <c:rich>
                  <a:bodyPr rot="0" vertOverflow="overflow" horzOverflow="overflow" wrap="square" lIns="182880" tIns="182880" rIns="182880" bIns="182880" numCol="1" anchor="t" anchorCtr="1">
                    <a:noAutofit/>
                  </a:bodyPr>
                  <a:lstStyle/>
                  <a:p>
                    <a:pPr>
                      <a:defRPr/>
                    </a:pPr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8.5969085161747089E-2"/>
                      <c:h val="0.1320207548890167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6A-4715-BFE2-24EF98B3FCB9}"/>
                </c:ext>
              </c:extLst>
            </c:dLbl>
            <c:dLbl>
              <c:idx val="4"/>
              <c:layout>
                <c:manualLayout>
                  <c:x val="3.4169812343590573E-2"/>
                  <c:y val="-0.29420380519328015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56A-4715-BFE2-24EF98B3FCB9}"/>
                </c:ext>
              </c:extLst>
            </c:dLbl>
            <c:dLbl>
              <c:idx val="5"/>
              <c:layout>
                <c:manualLayout>
                  <c:x val="8.4345455643625805E-2"/>
                  <c:y val="-0.31251175848594165"/>
                </c:manualLayout>
              </c:layout>
              <c:tx>
                <c:rich>
                  <a:bodyPr rot="0" vertOverflow="overflow" horzOverflow="overflow" wrap="square" lIns="182880" tIns="182880" rIns="182880" bIns="182880" numCol="1" anchor="t" anchorCtr="1">
                    <a:noAutofit/>
                  </a:bodyPr>
                  <a:lstStyle/>
                  <a:p>
                    <a:pPr>
                      <a:defRPr/>
                    </a:pPr>
                    <a:fld id="{3ACD29A4-3A90-4820-B3AB-A19EFEAB913F}" type="CATEGORYNAME">
                      <a:rPr lang="en-US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8.5900142213698738E-2"/>
                      <c:h val="0.1273030365761977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6A-4715-BFE2-24EF98B3FCB9}"/>
                </c:ext>
              </c:extLst>
            </c:dLbl>
            <c:dLbl>
              <c:idx val="6"/>
              <c:layout>
                <c:manualLayout>
                  <c:x val="0.12226674267142899"/>
                  <c:y val="-0.3063935466085867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56A-4715-BFE2-24EF98B3FCB9}"/>
                </c:ext>
              </c:extLst>
            </c:dLbl>
            <c:dLbl>
              <c:idx val="7"/>
              <c:layout>
                <c:manualLayout>
                  <c:x val="0.13746665826777735"/>
                  <c:y val="-0.27389316744965392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6A-4715-BFE2-24EF98B3FCB9}"/>
                </c:ext>
              </c:extLst>
            </c:dLbl>
            <c:dLbl>
              <c:idx val="8"/>
              <c:layout>
                <c:manualLayout>
                  <c:x val="0.14314731435581843"/>
                  <c:y val="-0.21893259845898869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56A-4715-BFE2-24EF98B3FCB9}"/>
                </c:ext>
              </c:extLst>
            </c:dLbl>
            <c:dLbl>
              <c:idx val="9"/>
              <c:layout>
                <c:manualLayout>
                  <c:x val="0.15128620087567923"/>
                  <c:y val="-0.15338202169670515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6A-4715-BFE2-24EF98B3FCB9}"/>
                </c:ext>
              </c:extLst>
            </c:dLbl>
            <c:dLbl>
              <c:idx val="10"/>
              <c:layout>
                <c:manualLayout>
                  <c:x val="0.14814387573653376"/>
                  <c:y val="-7.3028745869903114E-2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56A-4715-BFE2-24EF98B3FCB9}"/>
                </c:ext>
              </c:extLst>
            </c:dLbl>
            <c:dLbl>
              <c:idx val="11"/>
              <c:layout>
                <c:manualLayout>
                  <c:x val="0.11506616415041304"/>
                  <c:y val="3.6271604840711512E-3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56A-4715-BFE2-24EF98B3FCB9}"/>
                </c:ext>
              </c:extLst>
            </c:dLbl>
            <c:dLbl>
              <c:idx val="12"/>
              <c:layout>
                <c:manualLayout>
                  <c:x val="9.7909791264273904E-2"/>
                  <c:y val="7.6505458520924552E-2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56A-4715-BFE2-24EF98B3FCB9}"/>
                </c:ext>
              </c:extLst>
            </c:dLbl>
            <c:dLbl>
              <c:idx val="13"/>
              <c:layout>
                <c:manualLayout>
                  <c:x val="6.4856274009092926E-2"/>
                  <c:y val="0.14454723864400001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56A-4715-BFE2-24EF98B3FCB9}"/>
                </c:ext>
              </c:extLst>
            </c:dLbl>
            <c:dLbl>
              <c:idx val="14"/>
              <c:layout>
                <c:manualLayout>
                  <c:x val="-8.0807769214425573E-3"/>
                  <c:y val="0.17927272605698721"/>
                </c:manualLayout>
              </c:layout>
              <c:tx>
                <c:rich>
                  <a:bodyPr/>
                  <a:lstStyle/>
                  <a:p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066685711061447"/>
                      <c:h val="0.127483111090983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D56A-4715-BFE2-24EF98B3FCB9}"/>
                </c:ext>
              </c:extLst>
            </c:dLbl>
            <c:dLbl>
              <c:idx val="15"/>
              <c:layout>
                <c:manualLayout>
                  <c:x val="-8.6495942826722266E-2"/>
                  <c:y val="0.22971773251104727"/>
                </c:manualLayout>
              </c:layout>
              <c:tx>
                <c:rich>
                  <a:bodyPr rot="0" vertOverflow="overflow" horzOverflow="overflow" wrap="square" lIns="182880" tIns="182880" rIns="182880" bIns="182880" numCol="1" anchor="t" anchorCtr="1">
                    <a:noAutofit/>
                  </a:bodyPr>
                  <a:lstStyle/>
                  <a:p>
                    <a:pPr>
                      <a:defRPr/>
                    </a:pPr>
                    <a:fld id="{E4A8ECE7-E4EA-42B5-8ED6-67DE4B9F1883}" type="CATEGORYNAME">
                      <a:rPr lang="en-US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439A086C-2122-4186-8361-8528E8785C8E}" type="VALUE">
                      <a:rPr lang="en-US" b="0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0B3EAA07-C7F7-4FB4-B9AE-3C725BEBB486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1329920031687661"/>
                      <c:h val="0.142326385480173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56A-4715-BFE2-24EF98B3FCB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Overflow="overflow" horzOverflow="overflow" wrap="square" lIns="182880" tIns="182880" rIns="182880" bIns="182880" numCol="1" anchor="t" anchorCtr="1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'Awards by School  for Web'!$A$4:$A$19</c:f>
              <c:strCache>
                <c:ptCount val="16"/>
                <c:pt idx="0">
                  <c:v>School of Medicine</c:v>
                </c:pt>
                <c:pt idx="1">
                  <c:v>Arts and Sciences</c:v>
                </c:pt>
                <c:pt idx="2">
                  <c:v>Engineering</c:v>
                </c:pt>
                <c:pt idx="3">
                  <c:v>Public Health</c:v>
                </c:pt>
                <c:pt idx="4">
                  <c:v>Environment</c:v>
                </c:pt>
                <c:pt idx="5">
                  <c:v>Dentistry</c:v>
                </c:pt>
                <c:pt idx="6">
                  <c:v>Pharmacy</c:v>
                </c:pt>
                <c:pt idx="7">
                  <c:v>Law</c:v>
                </c:pt>
                <c:pt idx="8">
                  <c:v>Social Work</c:v>
                </c:pt>
                <c:pt idx="9">
                  <c:v>Nursing</c:v>
                </c:pt>
                <c:pt idx="10">
                  <c:v>Information </c:v>
                </c:pt>
                <c:pt idx="11">
                  <c:v>Built Environments</c:v>
                </c:pt>
                <c:pt idx="12">
                  <c:v>Evans School</c:v>
                </c:pt>
                <c:pt idx="13">
                  <c:v>UW Bothell</c:v>
                </c:pt>
                <c:pt idx="14">
                  <c:v>Tacoma</c:v>
                </c:pt>
                <c:pt idx="15">
                  <c:v>Health Sciences Administration</c:v>
                </c:pt>
              </c:strCache>
            </c:strRef>
          </c:cat>
          <c:val>
            <c:numRef>
              <c:f>'Awards by School  for Web'!$B$4:$B$19</c:f>
              <c:numCache>
                <c:formatCode>_("$"* #,##0_);_("$"* \(#,##0\);_("$"* "-"??_);_(@_)</c:formatCode>
                <c:ptCount val="16"/>
                <c:pt idx="0">
                  <c:v>8444700.2300000004</c:v>
                </c:pt>
                <c:pt idx="1">
                  <c:v>3214525.5</c:v>
                </c:pt>
                <c:pt idx="2">
                  <c:v>593106.5</c:v>
                </c:pt>
                <c:pt idx="3">
                  <c:v>398785</c:v>
                </c:pt>
                <c:pt idx="4">
                  <c:v>317940.5</c:v>
                </c:pt>
                <c:pt idx="5">
                  <c:v>299630</c:v>
                </c:pt>
                <c:pt idx="6">
                  <c:v>272035</c:v>
                </c:pt>
                <c:pt idx="7">
                  <c:v>231652</c:v>
                </c:pt>
                <c:pt idx="8">
                  <c:v>99900</c:v>
                </c:pt>
                <c:pt idx="9">
                  <c:v>74300</c:v>
                </c:pt>
                <c:pt idx="10">
                  <c:v>61054</c:v>
                </c:pt>
                <c:pt idx="11">
                  <c:v>25950</c:v>
                </c:pt>
                <c:pt idx="12">
                  <c:v>20000</c:v>
                </c:pt>
                <c:pt idx="13">
                  <c:v>18468</c:v>
                </c:pt>
                <c:pt idx="14">
                  <c:v>15425</c:v>
                </c:pt>
                <c:pt idx="15">
                  <c:v>11500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56A-4715-BFE2-24EF98B3F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4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Sucess</a:t>
            </a:r>
            <a:r>
              <a:rPr lang="en-US" baseline="0"/>
              <a:t> of Bridge Funding Program: Return on Investment Over Time</a:t>
            </a:r>
          </a:p>
          <a:p>
            <a:pPr>
              <a:defRPr/>
            </a:pPr>
            <a:r>
              <a:rPr lang="en-US" baseline="0"/>
              <a:t>December 2006 - May 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'[iStar Reports July 2019.xlsx]ROI over time chart'!$B$3</c:f>
              <c:strCache>
                <c:ptCount val="1"/>
                <c:pt idx="0">
                  <c:v>ROI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'[iStar Reports July 2019.xlsx]ROI over time chart'!$A$4:$A$27</c:f>
              <c:strCache>
                <c:ptCount val="24"/>
                <c:pt idx="0">
                  <c:v>12/06</c:v>
                </c:pt>
                <c:pt idx="1">
                  <c:v>5/07</c:v>
                </c:pt>
                <c:pt idx="2">
                  <c:v>12/07</c:v>
                </c:pt>
                <c:pt idx="3">
                  <c:v>5/08</c:v>
                </c:pt>
                <c:pt idx="4">
                  <c:v>12/08</c:v>
                </c:pt>
                <c:pt idx="5">
                  <c:v>5/09</c:v>
                </c:pt>
                <c:pt idx="6">
                  <c:v>12/09</c:v>
                </c:pt>
                <c:pt idx="7">
                  <c:v>5/10</c:v>
                </c:pt>
                <c:pt idx="8">
                  <c:v>12/10</c:v>
                </c:pt>
                <c:pt idx="9">
                  <c:v>5/11</c:v>
                </c:pt>
                <c:pt idx="10">
                  <c:v>12/11</c:v>
                </c:pt>
                <c:pt idx="11">
                  <c:v>5/12</c:v>
                </c:pt>
                <c:pt idx="12">
                  <c:v>12/12</c:v>
                </c:pt>
                <c:pt idx="13">
                  <c:v>5/13</c:v>
                </c:pt>
                <c:pt idx="14">
                  <c:v>12/13</c:v>
                </c:pt>
                <c:pt idx="15">
                  <c:v>5/14</c:v>
                </c:pt>
                <c:pt idx="16">
                  <c:v>11/14</c:v>
                </c:pt>
                <c:pt idx="17">
                  <c:v>5/15</c:v>
                </c:pt>
                <c:pt idx="18">
                  <c:v>11/15</c:v>
                </c:pt>
                <c:pt idx="19">
                  <c:v>5/16</c:v>
                </c:pt>
                <c:pt idx="20">
                  <c:v>11/16</c:v>
                </c:pt>
                <c:pt idx="21">
                  <c:v>5/17</c:v>
                </c:pt>
                <c:pt idx="22">
                  <c:v>11/17</c:v>
                </c:pt>
                <c:pt idx="23">
                  <c:v>5/18</c:v>
                </c:pt>
              </c:strCache>
            </c:strRef>
          </c:cat>
          <c:val>
            <c:numRef>
              <c:f>'[iStar Reports July 2019.xlsx]ROI over time chart'!$B$4:$B$27</c:f>
              <c:numCache>
                <c:formatCode>0.0</c:formatCode>
                <c:ptCount val="24"/>
                <c:pt idx="0">
                  <c:v>10.025165833806213</c:v>
                </c:pt>
                <c:pt idx="1">
                  <c:v>12.287673806636064</c:v>
                </c:pt>
                <c:pt idx="2">
                  <c:v>6.9714252953413354</c:v>
                </c:pt>
                <c:pt idx="3">
                  <c:v>8.3805709407090827</c:v>
                </c:pt>
                <c:pt idx="4">
                  <c:v>11.766233969821805</c:v>
                </c:pt>
                <c:pt idx="5">
                  <c:v>3.43664601848397</c:v>
                </c:pt>
                <c:pt idx="6">
                  <c:v>11.517269554469264</c:v>
                </c:pt>
                <c:pt idx="7">
                  <c:v>7.4257261409235564</c:v>
                </c:pt>
                <c:pt idx="8">
                  <c:v>8.4712553037414757</c:v>
                </c:pt>
                <c:pt idx="9">
                  <c:v>4.0857410506354963</c:v>
                </c:pt>
                <c:pt idx="10">
                  <c:v>6.3304830104228689</c:v>
                </c:pt>
                <c:pt idx="11">
                  <c:v>6.4987731904947044</c:v>
                </c:pt>
                <c:pt idx="12">
                  <c:v>5.7869428951161526</c:v>
                </c:pt>
                <c:pt idx="13">
                  <c:v>7.9615374952870281</c:v>
                </c:pt>
                <c:pt idx="14">
                  <c:v>9.122426014603084</c:v>
                </c:pt>
                <c:pt idx="15">
                  <c:v>2.6540833237275727</c:v>
                </c:pt>
                <c:pt idx="16">
                  <c:v>14.874750297199148</c:v>
                </c:pt>
                <c:pt idx="17">
                  <c:v>6.228275064431088</c:v>
                </c:pt>
                <c:pt idx="18">
                  <c:v>28.559107178774148</c:v>
                </c:pt>
                <c:pt idx="19">
                  <c:v>37.200324431455968</c:v>
                </c:pt>
                <c:pt idx="20">
                  <c:v>4.8929940900448985</c:v>
                </c:pt>
                <c:pt idx="21">
                  <c:v>10.624769674047613</c:v>
                </c:pt>
                <c:pt idx="22">
                  <c:v>14.566932935511927</c:v>
                </c:pt>
                <c:pt idx="23" formatCode="0.00">
                  <c:v>10.420395978942803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56-48AA-9DE6-C9C50BD1D28D}"/>
            </c:ext>
          </c:extLst>
        </c:ser>
        <c:ser>
          <c:idx val="1"/>
          <c:order val="1"/>
          <c:tx>
            <c:strRef>
              <c:f>'[iStar Reports July 2019.xlsx]ROI over time chart'!$C$3</c:f>
              <c:strCache>
                <c:ptCount val="1"/>
                <c:pt idx="0">
                  <c:v>Average</c:v>
                </c:pt>
              </c:strCache>
            </c:strRef>
          </c:tx>
          <c:spPr>
            <a:ln w="28575" cap="rnd" cmpd="sng" algn="ctr">
              <a:solidFill>
                <a:srgbClr val="00206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'[iStar Reports July 2019.xlsx]ROI over time chart'!$A$4:$A$27</c:f>
              <c:strCache>
                <c:ptCount val="24"/>
                <c:pt idx="0">
                  <c:v>12/06</c:v>
                </c:pt>
                <c:pt idx="1">
                  <c:v>5/07</c:v>
                </c:pt>
                <c:pt idx="2">
                  <c:v>12/07</c:v>
                </c:pt>
                <c:pt idx="3">
                  <c:v>5/08</c:v>
                </c:pt>
                <c:pt idx="4">
                  <c:v>12/08</c:v>
                </c:pt>
                <c:pt idx="5">
                  <c:v>5/09</c:v>
                </c:pt>
                <c:pt idx="6">
                  <c:v>12/09</c:v>
                </c:pt>
                <c:pt idx="7">
                  <c:v>5/10</c:v>
                </c:pt>
                <c:pt idx="8">
                  <c:v>12/10</c:v>
                </c:pt>
                <c:pt idx="9">
                  <c:v>5/11</c:v>
                </c:pt>
                <c:pt idx="10">
                  <c:v>12/11</c:v>
                </c:pt>
                <c:pt idx="11">
                  <c:v>5/12</c:v>
                </c:pt>
                <c:pt idx="12">
                  <c:v>12/12</c:v>
                </c:pt>
                <c:pt idx="13">
                  <c:v>5/13</c:v>
                </c:pt>
                <c:pt idx="14">
                  <c:v>12/13</c:v>
                </c:pt>
                <c:pt idx="15">
                  <c:v>5/14</c:v>
                </c:pt>
                <c:pt idx="16">
                  <c:v>11/14</c:v>
                </c:pt>
                <c:pt idx="17">
                  <c:v>5/15</c:v>
                </c:pt>
                <c:pt idx="18">
                  <c:v>11/15</c:v>
                </c:pt>
                <c:pt idx="19">
                  <c:v>5/16</c:v>
                </c:pt>
                <c:pt idx="20">
                  <c:v>11/16</c:v>
                </c:pt>
                <c:pt idx="21">
                  <c:v>5/17</c:v>
                </c:pt>
                <c:pt idx="22">
                  <c:v>11/17</c:v>
                </c:pt>
                <c:pt idx="23">
                  <c:v>5/18</c:v>
                </c:pt>
              </c:strCache>
            </c:strRef>
          </c:cat>
          <c:val>
            <c:numRef>
              <c:f>'[iStar Reports July 2019.xlsx]ROI over time chart'!$C$4:$C$27</c:f>
              <c:numCache>
                <c:formatCode>0.00</c:formatCode>
                <c:ptCount val="24"/>
                <c:pt idx="0">
                  <c:v>10.420395978942803</c:v>
                </c:pt>
                <c:pt idx="1">
                  <c:v>10.420395978942803</c:v>
                </c:pt>
                <c:pt idx="2">
                  <c:v>10.420395978942803</c:v>
                </c:pt>
                <c:pt idx="3">
                  <c:v>10.420395978942803</c:v>
                </c:pt>
                <c:pt idx="4">
                  <c:v>10.420395978942803</c:v>
                </c:pt>
                <c:pt idx="5">
                  <c:v>10.420395978942803</c:v>
                </c:pt>
                <c:pt idx="6">
                  <c:v>10.420395978942803</c:v>
                </c:pt>
                <c:pt idx="7">
                  <c:v>10.420395978942803</c:v>
                </c:pt>
                <c:pt idx="8">
                  <c:v>10.420395978942803</c:v>
                </c:pt>
                <c:pt idx="9">
                  <c:v>10.420395978942803</c:v>
                </c:pt>
                <c:pt idx="10">
                  <c:v>10.420395978942803</c:v>
                </c:pt>
                <c:pt idx="11">
                  <c:v>10.420395978942803</c:v>
                </c:pt>
                <c:pt idx="12">
                  <c:v>10.420395978942803</c:v>
                </c:pt>
                <c:pt idx="13">
                  <c:v>10.420395978942803</c:v>
                </c:pt>
                <c:pt idx="14">
                  <c:v>10.420395978942803</c:v>
                </c:pt>
                <c:pt idx="15">
                  <c:v>10.420395978942803</c:v>
                </c:pt>
                <c:pt idx="16">
                  <c:v>10.420395978942803</c:v>
                </c:pt>
                <c:pt idx="17">
                  <c:v>10.420395978942803</c:v>
                </c:pt>
                <c:pt idx="18">
                  <c:v>10.420395978942803</c:v>
                </c:pt>
                <c:pt idx="19">
                  <c:v>10.420395978942803</c:v>
                </c:pt>
                <c:pt idx="20">
                  <c:v>10.420395978942803</c:v>
                </c:pt>
                <c:pt idx="21">
                  <c:v>10.420395978942803</c:v>
                </c:pt>
                <c:pt idx="22">
                  <c:v>10.420395978942803</c:v>
                </c:pt>
                <c:pt idx="23">
                  <c:v>10.420395978942803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56-48AA-9DE6-C9C50BD1D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80192"/>
        <c:axId val="118681984"/>
      </c:lineChart>
      <c:catAx>
        <c:axId val="11868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81984"/>
        <c:crosses val="autoZero"/>
        <c:auto val="1"/>
        <c:lblAlgn val="ctr"/>
        <c:lblOffset val="100"/>
        <c:noMultiLvlLbl val="0"/>
      </c:catAx>
      <c:valAx>
        <c:axId val="1186819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Reurn on Investment (old return)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801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Sucess</a:t>
            </a:r>
            <a:r>
              <a:rPr lang="en-US" baseline="0"/>
              <a:t> of Bridge Funding Program: Return on Investment Over Time</a:t>
            </a:r>
          </a:p>
          <a:p>
            <a:pPr>
              <a:defRPr/>
            </a:pPr>
            <a:r>
              <a:rPr lang="en-US" baseline="0"/>
              <a:t>December 2006-May 2016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057803080206657E-2"/>
          <c:y val="0.12287074560721153"/>
          <c:w val="0.90504853993380863"/>
          <c:h val="0.7726635263214392"/>
        </c:manualLayout>
      </c:layout>
      <c:lineChart>
        <c:grouping val="standard"/>
        <c:varyColors val="0"/>
        <c:ser>
          <c:idx val="0"/>
          <c:order val="0"/>
          <c:tx>
            <c:strRef>
              <c:f>'[Bridge all cycles iStar March 11 2019.xlsx]ROI over time chart'!$B$3</c:f>
              <c:strCache>
                <c:ptCount val="1"/>
                <c:pt idx="0">
                  <c:v>ROI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'[Bridge all cycles iStar March 11 2019.xlsx]ROI over time chart'!$A$4:$A$26</c:f>
              <c:strCache>
                <c:ptCount val="23"/>
                <c:pt idx="0">
                  <c:v>12/06</c:v>
                </c:pt>
                <c:pt idx="1">
                  <c:v>5/07</c:v>
                </c:pt>
                <c:pt idx="2">
                  <c:v>12/07</c:v>
                </c:pt>
                <c:pt idx="3">
                  <c:v>5/08</c:v>
                </c:pt>
                <c:pt idx="4">
                  <c:v>12/08</c:v>
                </c:pt>
                <c:pt idx="5">
                  <c:v>5/09</c:v>
                </c:pt>
                <c:pt idx="6">
                  <c:v>12/09</c:v>
                </c:pt>
                <c:pt idx="7">
                  <c:v>5/10</c:v>
                </c:pt>
                <c:pt idx="8">
                  <c:v>12/10</c:v>
                </c:pt>
                <c:pt idx="9">
                  <c:v>5/11</c:v>
                </c:pt>
                <c:pt idx="10">
                  <c:v>12/11</c:v>
                </c:pt>
                <c:pt idx="11">
                  <c:v>5/12</c:v>
                </c:pt>
                <c:pt idx="12">
                  <c:v>12/12</c:v>
                </c:pt>
                <c:pt idx="13">
                  <c:v>5/13</c:v>
                </c:pt>
                <c:pt idx="14">
                  <c:v>12/13</c:v>
                </c:pt>
                <c:pt idx="15">
                  <c:v>5/14</c:v>
                </c:pt>
                <c:pt idx="16">
                  <c:v>11/14</c:v>
                </c:pt>
                <c:pt idx="17">
                  <c:v>5/15</c:v>
                </c:pt>
                <c:pt idx="18">
                  <c:v>11/15</c:v>
                </c:pt>
                <c:pt idx="19">
                  <c:v>5/16</c:v>
                </c:pt>
                <c:pt idx="20">
                  <c:v>11/16</c:v>
                </c:pt>
                <c:pt idx="21">
                  <c:v>5/17</c:v>
                </c:pt>
                <c:pt idx="22">
                  <c:v>11/17</c:v>
                </c:pt>
              </c:strCache>
            </c:strRef>
          </c:cat>
          <c:val>
            <c:numRef>
              <c:f>'[Bridge all cycles iStar March 11 2019.xlsx]ROI over time chart'!$B$4:$B$26</c:f>
              <c:numCache>
                <c:formatCode>0.0</c:formatCode>
                <c:ptCount val="23"/>
                <c:pt idx="0">
                  <c:v>10.025165833806213</c:v>
                </c:pt>
                <c:pt idx="1">
                  <c:v>12.287673806636064</c:v>
                </c:pt>
                <c:pt idx="2">
                  <c:v>6.9714252953413354</c:v>
                </c:pt>
                <c:pt idx="3">
                  <c:v>8.3805709407090827</c:v>
                </c:pt>
                <c:pt idx="4">
                  <c:v>11.766233969821805</c:v>
                </c:pt>
                <c:pt idx="5">
                  <c:v>3.43664601848397</c:v>
                </c:pt>
                <c:pt idx="6">
                  <c:v>11.517269554469264</c:v>
                </c:pt>
                <c:pt idx="7">
                  <c:v>7.4257261409235564</c:v>
                </c:pt>
                <c:pt idx="8">
                  <c:v>8.4712553037414757</c:v>
                </c:pt>
                <c:pt idx="9">
                  <c:v>4.0857410506354963</c:v>
                </c:pt>
                <c:pt idx="10">
                  <c:v>6.3304830104228689</c:v>
                </c:pt>
                <c:pt idx="11">
                  <c:v>6.4987731904947044</c:v>
                </c:pt>
                <c:pt idx="12">
                  <c:v>5.7869428951161526</c:v>
                </c:pt>
                <c:pt idx="13">
                  <c:v>7.9615374952870281</c:v>
                </c:pt>
                <c:pt idx="14">
                  <c:v>9.122426014603084</c:v>
                </c:pt>
                <c:pt idx="15">
                  <c:v>2.6540833237275727</c:v>
                </c:pt>
                <c:pt idx="16">
                  <c:v>14.874750297199148</c:v>
                </c:pt>
                <c:pt idx="17">
                  <c:v>6.228275064431088</c:v>
                </c:pt>
                <c:pt idx="18">
                  <c:v>28.559107178774148</c:v>
                </c:pt>
                <c:pt idx="19">
                  <c:v>37.200324431455968</c:v>
                </c:pt>
                <c:pt idx="20">
                  <c:v>4.8929940900448985</c:v>
                </c:pt>
                <c:pt idx="21">
                  <c:v>10.624769674047613</c:v>
                </c:pt>
                <c:pt idx="22">
                  <c:v>14.566932935511927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35-4916-A11C-176FC4997151}"/>
            </c:ext>
          </c:extLst>
        </c:ser>
        <c:ser>
          <c:idx val="2"/>
          <c:order val="1"/>
          <c:tx>
            <c:strRef>
              <c:f>'[Bridge all cycles iStar March 11 2019.xlsx]ROI over time chart'!$D$3</c:f>
              <c:strCache>
                <c:ptCount val="1"/>
                <c:pt idx="0">
                  <c:v>Moving Average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'[Bridge all cycles iStar March 11 2019.xlsx]ROI over time chart'!$A$4:$A$26</c:f>
              <c:strCache>
                <c:ptCount val="23"/>
                <c:pt idx="0">
                  <c:v>12/06</c:v>
                </c:pt>
                <c:pt idx="1">
                  <c:v>5/07</c:v>
                </c:pt>
                <c:pt idx="2">
                  <c:v>12/07</c:v>
                </c:pt>
                <c:pt idx="3">
                  <c:v>5/08</c:v>
                </c:pt>
                <c:pt idx="4">
                  <c:v>12/08</c:v>
                </c:pt>
                <c:pt idx="5">
                  <c:v>5/09</c:v>
                </c:pt>
                <c:pt idx="6">
                  <c:v>12/09</c:v>
                </c:pt>
                <c:pt idx="7">
                  <c:v>5/10</c:v>
                </c:pt>
                <c:pt idx="8">
                  <c:v>12/10</c:v>
                </c:pt>
                <c:pt idx="9">
                  <c:v>5/11</c:v>
                </c:pt>
                <c:pt idx="10">
                  <c:v>12/11</c:v>
                </c:pt>
                <c:pt idx="11">
                  <c:v>5/12</c:v>
                </c:pt>
                <c:pt idx="12">
                  <c:v>12/12</c:v>
                </c:pt>
                <c:pt idx="13">
                  <c:v>5/13</c:v>
                </c:pt>
                <c:pt idx="14">
                  <c:v>12/13</c:v>
                </c:pt>
                <c:pt idx="15">
                  <c:v>5/14</c:v>
                </c:pt>
                <c:pt idx="16">
                  <c:v>11/14</c:v>
                </c:pt>
                <c:pt idx="17">
                  <c:v>5/15</c:v>
                </c:pt>
                <c:pt idx="18">
                  <c:v>11/15</c:v>
                </c:pt>
                <c:pt idx="19">
                  <c:v>5/16</c:v>
                </c:pt>
                <c:pt idx="20">
                  <c:v>11/16</c:v>
                </c:pt>
                <c:pt idx="21">
                  <c:v>5/17</c:v>
                </c:pt>
                <c:pt idx="22">
                  <c:v>11/17</c:v>
                </c:pt>
              </c:strCache>
            </c:strRef>
          </c:cat>
          <c:val>
            <c:numRef>
              <c:f>'[Bridge all cycles iStar March 11 2019.xlsx]ROI over time chart'!$D$4:$D$26</c:f>
              <c:numCache>
                <c:formatCode>0.0</c:formatCode>
                <c:ptCount val="23"/>
                <c:pt idx="0">
                  <c:v>10.025165833806213</c:v>
                </c:pt>
                <c:pt idx="1">
                  <c:v>11.156419820221139</c:v>
                </c:pt>
                <c:pt idx="2">
                  <c:v>9.761421645261203</c:v>
                </c:pt>
                <c:pt idx="3">
                  <c:v>9.4162089691231738</c:v>
                </c:pt>
                <c:pt idx="4">
                  <c:v>9.8862139692629007</c:v>
                </c:pt>
                <c:pt idx="5">
                  <c:v>8.8112859774664116</c:v>
                </c:pt>
                <c:pt idx="6">
                  <c:v>9.1978550598953905</c:v>
                </c:pt>
                <c:pt idx="7">
                  <c:v>8.9763389450239117</c:v>
                </c:pt>
                <c:pt idx="8">
                  <c:v>8.9202185404369736</c:v>
                </c:pt>
                <c:pt idx="9">
                  <c:v>8.4367707914568264</c:v>
                </c:pt>
                <c:pt idx="10">
                  <c:v>8.2452900840901027</c:v>
                </c:pt>
                <c:pt idx="11">
                  <c:v>8.0997470096238189</c:v>
                </c:pt>
                <c:pt idx="12">
                  <c:v>7.9218390008155373</c:v>
                </c:pt>
                <c:pt idx="13">
                  <c:v>7.9246746075635013</c:v>
                </c:pt>
                <c:pt idx="14">
                  <c:v>8.0045247013661402</c:v>
                </c:pt>
                <c:pt idx="15">
                  <c:v>7.6701221152637293</c:v>
                </c:pt>
                <c:pt idx="16">
                  <c:v>8.0939237730246365</c:v>
                </c:pt>
                <c:pt idx="17">
                  <c:v>7.990276622547217</c:v>
                </c:pt>
                <c:pt idx="18">
                  <c:v>9.072846651822319</c:v>
                </c:pt>
                <c:pt idx="19">
                  <c:v>10.479220540804002</c:v>
                </c:pt>
                <c:pt idx="20">
                  <c:v>10.213209757434521</c:v>
                </c:pt>
                <c:pt idx="21">
                  <c:v>10.23191702637148</c:v>
                </c:pt>
                <c:pt idx="22">
                  <c:v>10.420395978942803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35-4916-A11C-176FC4997151}"/>
            </c:ext>
          </c:extLst>
        </c:ser>
        <c:ser>
          <c:idx val="1"/>
          <c:order val="2"/>
          <c:tx>
            <c:strRef>
              <c:f>'[Bridge all cycles iStar March 11 2019.xlsx]ROI over time chart'!$C$3</c:f>
              <c:strCache>
                <c:ptCount val="1"/>
                <c:pt idx="0">
                  <c:v>Average</c:v>
                </c:pt>
              </c:strCache>
            </c:strRef>
          </c:tx>
          <c:spPr>
            <a:ln w="28575" cap="rnd" cmpd="sng" algn="ctr">
              <a:solidFill>
                <a:srgbClr val="00206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'[Bridge all cycles iStar March 11 2019.xlsx]ROI over time chart'!$A$4:$A$26</c:f>
              <c:strCache>
                <c:ptCount val="23"/>
                <c:pt idx="0">
                  <c:v>12/06</c:v>
                </c:pt>
                <c:pt idx="1">
                  <c:v>5/07</c:v>
                </c:pt>
                <c:pt idx="2">
                  <c:v>12/07</c:v>
                </c:pt>
                <c:pt idx="3">
                  <c:v>5/08</c:v>
                </c:pt>
                <c:pt idx="4">
                  <c:v>12/08</c:v>
                </c:pt>
                <c:pt idx="5">
                  <c:v>5/09</c:v>
                </c:pt>
                <c:pt idx="6">
                  <c:v>12/09</c:v>
                </c:pt>
                <c:pt idx="7">
                  <c:v>5/10</c:v>
                </c:pt>
                <c:pt idx="8">
                  <c:v>12/10</c:v>
                </c:pt>
                <c:pt idx="9">
                  <c:v>5/11</c:v>
                </c:pt>
                <c:pt idx="10">
                  <c:v>12/11</c:v>
                </c:pt>
                <c:pt idx="11">
                  <c:v>5/12</c:v>
                </c:pt>
                <c:pt idx="12">
                  <c:v>12/12</c:v>
                </c:pt>
                <c:pt idx="13">
                  <c:v>5/13</c:v>
                </c:pt>
                <c:pt idx="14">
                  <c:v>12/13</c:v>
                </c:pt>
                <c:pt idx="15">
                  <c:v>5/14</c:v>
                </c:pt>
                <c:pt idx="16">
                  <c:v>11/14</c:v>
                </c:pt>
                <c:pt idx="17">
                  <c:v>5/15</c:v>
                </c:pt>
                <c:pt idx="18">
                  <c:v>11/15</c:v>
                </c:pt>
                <c:pt idx="19">
                  <c:v>5/16</c:v>
                </c:pt>
                <c:pt idx="20">
                  <c:v>11/16</c:v>
                </c:pt>
                <c:pt idx="21">
                  <c:v>5/17</c:v>
                </c:pt>
                <c:pt idx="22">
                  <c:v>11/17</c:v>
                </c:pt>
              </c:strCache>
            </c:strRef>
          </c:cat>
          <c:val>
            <c:numRef>
              <c:f>'[Bridge all cycles iStar March 11 2019.xlsx]ROI over time chart'!$C$4:$C$26</c:f>
              <c:numCache>
                <c:formatCode>0.00</c:formatCode>
                <c:ptCount val="23"/>
                <c:pt idx="0">
                  <c:v>10.420395978942803</c:v>
                </c:pt>
                <c:pt idx="1">
                  <c:v>10.420395978942803</c:v>
                </c:pt>
                <c:pt idx="2">
                  <c:v>10.420395978942803</c:v>
                </c:pt>
                <c:pt idx="3">
                  <c:v>10.420395978942803</c:v>
                </c:pt>
                <c:pt idx="4">
                  <c:v>10.420395978942803</c:v>
                </c:pt>
                <c:pt idx="5">
                  <c:v>10.420395978942803</c:v>
                </c:pt>
                <c:pt idx="6">
                  <c:v>10.420395978942803</c:v>
                </c:pt>
                <c:pt idx="7">
                  <c:v>10.420395978942803</c:v>
                </c:pt>
                <c:pt idx="8">
                  <c:v>10.420395978942803</c:v>
                </c:pt>
                <c:pt idx="9">
                  <c:v>10.420395978942803</c:v>
                </c:pt>
                <c:pt idx="10">
                  <c:v>10.420395978942803</c:v>
                </c:pt>
                <c:pt idx="11">
                  <c:v>10.420395978942803</c:v>
                </c:pt>
                <c:pt idx="12">
                  <c:v>10.420395978942803</c:v>
                </c:pt>
                <c:pt idx="13">
                  <c:v>10.420395978942803</c:v>
                </c:pt>
                <c:pt idx="14">
                  <c:v>10.420395978942803</c:v>
                </c:pt>
                <c:pt idx="15">
                  <c:v>10.420395978942803</c:v>
                </c:pt>
                <c:pt idx="16">
                  <c:v>10.420395978942803</c:v>
                </c:pt>
                <c:pt idx="17">
                  <c:v>10.420395978942803</c:v>
                </c:pt>
                <c:pt idx="18">
                  <c:v>10.420395978942803</c:v>
                </c:pt>
                <c:pt idx="19">
                  <c:v>10.420395978942803</c:v>
                </c:pt>
                <c:pt idx="20">
                  <c:v>10.420395978942803</c:v>
                </c:pt>
                <c:pt idx="21">
                  <c:v>10.420395978942803</c:v>
                </c:pt>
                <c:pt idx="22">
                  <c:v>10.420395978942803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35-4916-A11C-176FC4997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680192"/>
        <c:axId val="118681984"/>
      </c:lineChart>
      <c:catAx>
        <c:axId val="11868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81984"/>
        <c:crosses val="autoZero"/>
        <c:auto val="1"/>
        <c:lblAlgn val="ctr"/>
        <c:lblOffset val="100"/>
        <c:noMultiLvlLbl val="0"/>
      </c:catAx>
      <c:valAx>
        <c:axId val="1186819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Reurn on Investment (old return)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801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="0"/>
              <a:t>IRB</a:t>
            </a:r>
            <a:r>
              <a:rPr lang="en-US" sz="1100" b="0" baseline="0"/>
              <a:t> </a:t>
            </a:r>
            <a:r>
              <a:rPr lang="en-US" sz="1100" b="0"/>
              <a:t>SUBMISSIONS INCOMING VOLUME BY TYPE AND MONTH</a:t>
            </a:r>
          </a:p>
          <a:p>
            <a:pPr>
              <a:defRPr sz="1100"/>
            </a:pPr>
            <a:r>
              <a:rPr lang="en-US" sz="1100" b="0"/>
              <a:t>Last 13 Months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HSD!$A$13</c:f>
              <c:strCache>
                <c:ptCount val="1"/>
                <c:pt idx="0">
                  <c:v>Closure Requests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strRef>
              <c:f>(HSD!$D$27:$M$27,HSD!$B$35:$D$35)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7/19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(HSD!$D$28:$M$28,HSD!$B$36:$D$36)</c:f>
              <c:numCache>
                <c:formatCode>General</c:formatCode>
                <c:ptCount val="13"/>
                <c:pt idx="0">
                  <c:v>40</c:v>
                </c:pt>
                <c:pt idx="1">
                  <c:v>39</c:v>
                </c:pt>
                <c:pt idx="2">
                  <c:v>32</c:v>
                </c:pt>
                <c:pt idx="3">
                  <c:v>45</c:v>
                </c:pt>
                <c:pt idx="4">
                  <c:v>52</c:v>
                </c:pt>
                <c:pt idx="5">
                  <c:v>52</c:v>
                </c:pt>
                <c:pt idx="6">
                  <c:v>41</c:v>
                </c:pt>
                <c:pt idx="7">
                  <c:v>29</c:v>
                </c:pt>
                <c:pt idx="8">
                  <c:v>17</c:v>
                </c:pt>
                <c:pt idx="9">
                  <c:v>24</c:v>
                </c:pt>
                <c:pt idx="10">
                  <c:v>20</c:v>
                </c:pt>
                <c:pt idx="11">
                  <c:v>28</c:v>
                </c:pt>
                <c:pt idx="1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7-4FFF-817D-AD4B1B7343A2}"/>
            </c:ext>
          </c:extLst>
        </c:ser>
        <c:ser>
          <c:idx val="1"/>
          <c:order val="1"/>
          <c:tx>
            <c:strRef>
              <c:f>HSD!$A$14</c:f>
              <c:strCache>
                <c:ptCount val="1"/>
                <c:pt idx="0">
                  <c:v>Status Reports (CRRs) 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strRef>
              <c:f>(HSD!$D$27:$M$27,HSD!$B$35:$D$35)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7/19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(HSD!$D$29:$M$29,HSD!$B$37:$D$37)</c:f>
              <c:numCache>
                <c:formatCode>General</c:formatCode>
                <c:ptCount val="13"/>
                <c:pt idx="0">
                  <c:v>122</c:v>
                </c:pt>
                <c:pt idx="1">
                  <c:v>135</c:v>
                </c:pt>
                <c:pt idx="2">
                  <c:v>122</c:v>
                </c:pt>
                <c:pt idx="3">
                  <c:v>124</c:v>
                </c:pt>
                <c:pt idx="4">
                  <c:v>148</c:v>
                </c:pt>
                <c:pt idx="5">
                  <c:v>128</c:v>
                </c:pt>
                <c:pt idx="6">
                  <c:v>123</c:v>
                </c:pt>
                <c:pt idx="7">
                  <c:v>126</c:v>
                </c:pt>
                <c:pt idx="8">
                  <c:v>124</c:v>
                </c:pt>
                <c:pt idx="9">
                  <c:v>110</c:v>
                </c:pt>
                <c:pt idx="10">
                  <c:v>105</c:v>
                </c:pt>
                <c:pt idx="11">
                  <c:v>131</c:v>
                </c:pt>
                <c:pt idx="1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A7-4FFF-817D-AD4B1B7343A2}"/>
            </c:ext>
          </c:extLst>
        </c:ser>
        <c:ser>
          <c:idx val="2"/>
          <c:order val="2"/>
          <c:tx>
            <c:strRef>
              <c:f>HSD!$A$15</c:f>
              <c:strCache>
                <c:ptCount val="1"/>
                <c:pt idx="0">
                  <c:v>Initial Applications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strRef>
              <c:f>(HSD!$D$27:$M$27,HSD!$B$35:$D$35)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7/19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(HSD!$D$30:$M$30,HSD!$B$38:$D$38)</c:f>
              <c:numCache>
                <c:formatCode>General</c:formatCode>
                <c:ptCount val="13"/>
                <c:pt idx="0">
                  <c:v>221</c:v>
                </c:pt>
                <c:pt idx="1">
                  <c:v>266</c:v>
                </c:pt>
                <c:pt idx="2">
                  <c:v>239</c:v>
                </c:pt>
                <c:pt idx="3">
                  <c:v>179</c:v>
                </c:pt>
                <c:pt idx="4">
                  <c:v>183</c:v>
                </c:pt>
                <c:pt idx="5">
                  <c:v>211</c:v>
                </c:pt>
                <c:pt idx="6">
                  <c:v>168</c:v>
                </c:pt>
                <c:pt idx="7">
                  <c:v>212</c:v>
                </c:pt>
                <c:pt idx="8">
                  <c:v>200</c:v>
                </c:pt>
                <c:pt idx="9">
                  <c:v>185</c:v>
                </c:pt>
                <c:pt idx="10">
                  <c:v>226</c:v>
                </c:pt>
                <c:pt idx="11">
                  <c:v>233</c:v>
                </c:pt>
                <c:pt idx="12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A7-4FFF-817D-AD4B1B7343A2}"/>
            </c:ext>
          </c:extLst>
        </c:ser>
        <c:ser>
          <c:idx val="4"/>
          <c:order val="3"/>
          <c:tx>
            <c:strRef>
              <c:f>HSD!$A$16</c:f>
              <c:strCache>
                <c:ptCount val="1"/>
                <c:pt idx="0">
                  <c:v>Initial Applications - Conversions</c:v>
                </c:pt>
              </c:strCache>
            </c:strRef>
          </c:tx>
          <c:invertIfNegative val="0"/>
          <c:cat>
            <c:strRef>
              <c:f>(HSD!$D$27:$M$27,HSD!$B$35:$D$35)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7/19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(HSD!$D$31:$M$31,HSD!$B$39:$D$39)</c:f>
              <c:numCache>
                <c:formatCode>General</c:formatCode>
                <c:ptCount val="13"/>
                <c:pt idx="0">
                  <c:v>5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14</c:v>
                </c:pt>
                <c:pt idx="5">
                  <c:v>9</c:v>
                </c:pt>
                <c:pt idx="6">
                  <c:v>11</c:v>
                </c:pt>
                <c:pt idx="7">
                  <c:v>7</c:v>
                </c:pt>
                <c:pt idx="8">
                  <c:v>10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A7-4FFF-817D-AD4B1B7343A2}"/>
            </c:ext>
          </c:extLst>
        </c:ser>
        <c:ser>
          <c:idx val="3"/>
          <c:order val="4"/>
          <c:tx>
            <c:strRef>
              <c:f>HSD!$A$17</c:f>
              <c:strCache>
                <c:ptCount val="1"/>
                <c:pt idx="0">
                  <c:v>Modification Requests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strRef>
              <c:f>(HSD!$D$27:$M$27,HSD!$B$35:$D$35)</c:f>
              <c:strCache>
                <c:ptCount val="13"/>
                <c:pt idx="0">
                  <c:v>3/19</c:v>
                </c:pt>
                <c:pt idx="1">
                  <c:v>4/19</c:v>
                </c:pt>
                <c:pt idx="2">
                  <c:v>5/19</c:v>
                </c:pt>
                <c:pt idx="3">
                  <c:v>6/19</c:v>
                </c:pt>
                <c:pt idx="4">
                  <c:v>7/19</c:v>
                </c:pt>
                <c:pt idx="5">
                  <c:v>8/19</c:v>
                </c:pt>
                <c:pt idx="6">
                  <c:v>9/19</c:v>
                </c:pt>
                <c:pt idx="7">
                  <c:v>10/19</c:v>
                </c:pt>
                <c:pt idx="8">
                  <c:v>11/19</c:v>
                </c:pt>
                <c:pt idx="9">
                  <c:v>12/19</c:v>
                </c:pt>
                <c:pt idx="10">
                  <c:v>1/20</c:v>
                </c:pt>
                <c:pt idx="11">
                  <c:v>2/20</c:v>
                </c:pt>
                <c:pt idx="12">
                  <c:v>3/20</c:v>
                </c:pt>
              </c:strCache>
            </c:strRef>
          </c:cat>
          <c:val>
            <c:numRef>
              <c:f>(HSD!$D$32:$M$32,HSD!$B$40:$D$40)</c:f>
              <c:numCache>
                <c:formatCode>General</c:formatCode>
                <c:ptCount val="13"/>
                <c:pt idx="0">
                  <c:v>178</c:v>
                </c:pt>
                <c:pt idx="1">
                  <c:v>210</c:v>
                </c:pt>
                <c:pt idx="2">
                  <c:v>194</c:v>
                </c:pt>
                <c:pt idx="3">
                  <c:v>160</c:v>
                </c:pt>
                <c:pt idx="4">
                  <c:v>187</c:v>
                </c:pt>
                <c:pt idx="5">
                  <c:v>177</c:v>
                </c:pt>
                <c:pt idx="6">
                  <c:v>198</c:v>
                </c:pt>
                <c:pt idx="7">
                  <c:v>212</c:v>
                </c:pt>
                <c:pt idx="8">
                  <c:v>166</c:v>
                </c:pt>
                <c:pt idx="9">
                  <c:v>132</c:v>
                </c:pt>
                <c:pt idx="10">
                  <c:v>181</c:v>
                </c:pt>
                <c:pt idx="11">
                  <c:v>207</c:v>
                </c:pt>
                <c:pt idx="12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A7-4FFF-817D-AD4B1B734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05440"/>
        <c:axId val="105415424"/>
      </c:barChart>
      <c:catAx>
        <c:axId val="10540544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crossAx val="105415424"/>
        <c:crosses val="autoZero"/>
        <c:auto val="1"/>
        <c:lblAlgn val="ctr"/>
        <c:lblOffset val="100"/>
        <c:noMultiLvlLbl val="1"/>
      </c:catAx>
      <c:valAx>
        <c:axId val="105415424"/>
        <c:scaling>
          <c:orientation val="minMax"/>
          <c:max val="30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crossAx val="105405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</c:spPr>
    </c:legend>
    <c:plotVisOnly val="1"/>
    <c:dispBlanksAs val="gap"/>
    <c:showDLblsOverMax val="0"/>
  </c:chart>
  <c:spPr>
    <a:solidFill>
      <a:srgbClr val="FFFFFF"/>
    </a:solidFill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en-US" sz="1100" b="0" i="0" baseline="0">
                <a:effectLst/>
                <a:latin typeface="+mn-lt"/>
              </a:rPr>
              <a:t>IRB SUBMISSIONS INCOMING VOLUME BY TYPE AND YEAR</a:t>
            </a:r>
          </a:p>
          <a:p>
            <a:pPr>
              <a:defRPr sz="1100" b="0"/>
            </a:pPr>
            <a:r>
              <a:rPr lang="en-US" sz="1100" b="0" i="0" baseline="0">
                <a:effectLst/>
                <a:latin typeface="+mn-lt"/>
              </a:rPr>
              <a:t>Last 5 Calendar Years (in Progress) </a:t>
            </a:r>
            <a:endParaRPr lang="en-US" sz="1100" b="0">
              <a:effectLst/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HSD!$A$13</c:f>
              <c:strCache>
                <c:ptCount val="1"/>
                <c:pt idx="0">
                  <c:v>Closure Requests</c:v>
                </c:pt>
              </c:strCache>
            </c:strRef>
          </c:tx>
          <c:invertIfNegative val="0"/>
          <c:cat>
            <c:numRef>
              <c:f>(HSD!$N$12,HSD!$N$19,HSD!$N$27)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(HSD!$N$13,HSD!$N$20,HSD!$N$28)</c:f>
              <c:numCache>
                <c:formatCode>General</c:formatCode>
                <c:ptCount val="3"/>
                <c:pt idx="0">
                  <c:v>556</c:v>
                </c:pt>
                <c:pt idx="1">
                  <c:v>792</c:v>
                </c:pt>
                <c:pt idx="2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D-45DE-BDDF-9189078763FE}"/>
            </c:ext>
          </c:extLst>
        </c:ser>
        <c:ser>
          <c:idx val="1"/>
          <c:order val="1"/>
          <c:tx>
            <c:strRef>
              <c:f>HSD!$A$4</c:f>
              <c:strCache>
                <c:ptCount val="1"/>
                <c:pt idx="0">
                  <c:v>Status Reports (CRRs) </c:v>
                </c:pt>
              </c:strCache>
            </c:strRef>
          </c:tx>
          <c:invertIfNegative val="0"/>
          <c:cat>
            <c:numRef>
              <c:f>(HSD!$N$12,HSD!$N$19,HSD!$N$27)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(HSD!$N$14,HSD!$N$21,HSD!$N$29)</c:f>
              <c:numCache>
                <c:formatCode>General</c:formatCode>
                <c:ptCount val="3"/>
                <c:pt idx="0">
                  <c:v>958</c:v>
                </c:pt>
                <c:pt idx="1">
                  <c:v>1662</c:v>
                </c:pt>
                <c:pt idx="2">
                  <c:v>1536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D-45DE-BDDF-9189078763FE}"/>
            </c:ext>
          </c:extLst>
        </c:ser>
        <c:ser>
          <c:idx val="2"/>
          <c:order val="2"/>
          <c:tx>
            <c:strRef>
              <c:f>HSD!$A$15</c:f>
              <c:strCache>
                <c:ptCount val="1"/>
                <c:pt idx="0">
                  <c:v>Initial Applications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numRef>
              <c:f>(HSD!$N$12,HSD!$N$19,HSD!$N$27)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(HSD!$N$15,HSD!$N$22,HSD!$N$30)</c:f>
              <c:numCache>
                <c:formatCode>General</c:formatCode>
                <c:ptCount val="3"/>
                <c:pt idx="0">
                  <c:v>2182</c:v>
                </c:pt>
                <c:pt idx="1">
                  <c:v>2295</c:v>
                </c:pt>
                <c:pt idx="2">
                  <c:v>2521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D-45DE-BDDF-9189078763FE}"/>
            </c:ext>
          </c:extLst>
        </c:ser>
        <c:ser>
          <c:idx val="4"/>
          <c:order val="3"/>
          <c:tx>
            <c:strRef>
              <c:f>HSD!$A$16</c:f>
              <c:strCache>
                <c:ptCount val="1"/>
                <c:pt idx="0">
                  <c:v>Initial Applications - Conversions</c:v>
                </c:pt>
              </c:strCache>
            </c:strRef>
          </c:tx>
          <c:invertIfNegative val="0"/>
          <c:cat>
            <c:numRef>
              <c:f>(HSD!$N$12,HSD!$N$19,HSD!$N$27)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(HSD!$N$16,HSD!$N$23,HSD!$N$31)</c:f>
              <c:numCache>
                <c:formatCode>General</c:formatCode>
                <c:ptCount val="3"/>
                <c:pt idx="0">
                  <c:v>625</c:v>
                </c:pt>
                <c:pt idx="1">
                  <c:v>70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1D-45DE-BDDF-9189078763FE}"/>
            </c:ext>
          </c:extLst>
        </c:ser>
        <c:ser>
          <c:idx val="3"/>
          <c:order val="4"/>
          <c:tx>
            <c:strRef>
              <c:f>HSD!$A$17</c:f>
              <c:strCache>
                <c:ptCount val="1"/>
                <c:pt idx="0">
                  <c:v>Modification Requests</c:v>
                </c:pt>
              </c:strCache>
            </c:strRef>
          </c:tx>
          <c:invertIfNegative val="0"/>
          <c:cat>
            <c:numRef>
              <c:f>(HSD!$N$12,HSD!$N$19,HSD!$N$27)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(HSD!$N$17,HSD!$N$24,HSD!$N$32)</c:f>
              <c:numCache>
                <c:formatCode>General</c:formatCode>
                <c:ptCount val="3"/>
                <c:pt idx="0">
                  <c:v>2442</c:v>
                </c:pt>
                <c:pt idx="1">
                  <c:v>2414</c:v>
                </c:pt>
                <c:pt idx="2">
                  <c:v>2215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1D-45DE-BDDF-918907876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915648"/>
        <c:axId val="117917184"/>
      </c:barChart>
      <c:catAx>
        <c:axId val="11791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917184"/>
        <c:crosses val="autoZero"/>
        <c:auto val="1"/>
        <c:lblAlgn val="ctr"/>
        <c:lblOffset val="100"/>
        <c:noMultiLvlLbl val="0"/>
      </c:catAx>
      <c:valAx>
        <c:axId val="11791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791564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0.95713</cdr:y>
    </cdr:from>
    <cdr:to>
      <cdr:x>0.14479</cdr:x>
      <cdr:y>0.99904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6308727"/>
          <a:ext cx="13239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endParaRPr lang="en-US" sz="900" i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1EE0-FFD5-4FB0-8E39-D4C77BC6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morefice</dc:creator>
  <cp:lastModifiedBy>Matt Orefice</cp:lastModifiedBy>
  <cp:revision>105</cp:revision>
  <cp:lastPrinted>2021-12-01T17:27:00Z</cp:lastPrinted>
  <dcterms:created xsi:type="dcterms:W3CDTF">2013-12-04T16:21:00Z</dcterms:created>
  <dcterms:modified xsi:type="dcterms:W3CDTF">2021-12-01T18:03:00Z</dcterms:modified>
</cp:coreProperties>
</file>