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1D2F81" w:rsidRDefault="00BA68ED" w:rsidP="001D2F81">
            <w:pPr>
              <w:pStyle w:val="NoSpacing"/>
              <w:widowControl w:val="0"/>
              <w:rPr>
                <w:noProof/>
              </w:rPr>
            </w:pPr>
            <w:r w:rsidRPr="00243491">
              <w:rPr>
                <w:rFonts w:ascii="Calibri" w:eastAsia="Calibri" w:hAnsi="Calibri" w:cs="Times New Roman"/>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07525D1D" w:rsidR="00BA68ED" w:rsidRPr="00EF57B9" w:rsidRDefault="00FA1BF5" w:rsidP="00A43C79">
            <w:pPr>
              <w:widowControl w:val="0"/>
              <w:jc w:val="right"/>
              <w:rPr>
                <w:b/>
                <w:color w:val="404040" w:themeColor="text1" w:themeTint="BF"/>
                <w:sz w:val="28"/>
                <w:szCs w:val="28"/>
              </w:rPr>
            </w:pPr>
            <w:r>
              <w:rPr>
                <w:b/>
                <w:color w:val="404040" w:themeColor="text1" w:themeTint="BF"/>
                <w:sz w:val="28"/>
                <w:szCs w:val="28"/>
              </w:rPr>
              <w:t xml:space="preserve">CHECKLIST </w:t>
            </w:r>
            <w:r w:rsidR="004330EE">
              <w:rPr>
                <w:b/>
                <w:color w:val="404040" w:themeColor="text1" w:themeTint="BF"/>
                <w:sz w:val="28"/>
                <w:szCs w:val="28"/>
              </w:rPr>
              <w:t>Exception from Informed Consent</w:t>
            </w:r>
          </w:p>
        </w:tc>
      </w:tr>
    </w:tbl>
    <w:p w14:paraId="3488A975" w14:textId="77777777" w:rsidR="00BA68ED" w:rsidRDefault="00BA68ED" w:rsidP="00A43C79">
      <w:pPr>
        <w:widowControl w:val="0"/>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rsidP="00A43C79">
            <w:pPr>
              <w:widowControl w:val="0"/>
              <w:rPr>
                <w:color w:val="6600CC"/>
              </w:rPr>
            </w:pPr>
          </w:p>
        </w:tc>
        <w:tc>
          <w:tcPr>
            <w:tcW w:w="5066" w:type="dxa"/>
            <w:shd w:val="clear" w:color="auto" w:fill="5200A4"/>
          </w:tcPr>
          <w:p w14:paraId="0DD46492" w14:textId="77777777" w:rsidR="00C72040" w:rsidRPr="00215B3F" w:rsidRDefault="00C72040" w:rsidP="00A43C79">
            <w:pPr>
              <w:widowControl w:val="0"/>
              <w:rPr>
                <w:color w:val="6600CC"/>
              </w:rPr>
            </w:pPr>
          </w:p>
        </w:tc>
      </w:tr>
    </w:tbl>
    <w:p w14:paraId="0D158DF7" w14:textId="195627B9" w:rsidR="00215B3F" w:rsidRDefault="00215B3F" w:rsidP="00A43C79">
      <w:pPr>
        <w:widowControl w:val="0"/>
      </w:pPr>
    </w:p>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F151C35" w:rsidR="00215B3F" w:rsidRPr="00215B3F" w:rsidRDefault="00215B3F" w:rsidP="00A43C79">
            <w:pPr>
              <w:widowControl w:val="0"/>
              <w:spacing w:before="40" w:after="40"/>
              <w:ind w:left="-27" w:firstLine="3"/>
              <w:rPr>
                <w:b/>
                <w:bCs/>
              </w:rPr>
            </w:pPr>
            <w:r>
              <w:rPr>
                <w:b/>
                <w:bCs/>
              </w:rPr>
              <w:t>PURPOSE AND APPLICABILITY</w:t>
            </w:r>
          </w:p>
        </w:tc>
      </w:tr>
    </w:tbl>
    <w:p w14:paraId="5A323395" w14:textId="691E0D90" w:rsidR="004330EE" w:rsidRDefault="00D9650C" w:rsidP="009837E3">
      <w:pPr>
        <w:widowControl w:val="0"/>
        <w:spacing w:before="120" w:after="120"/>
        <w:ind w:left="90"/>
      </w:pPr>
      <w:r>
        <w:t>This checklist is used by the</w:t>
      </w:r>
      <w:r w:rsidR="009837E3">
        <w:t xml:space="preserve"> </w:t>
      </w:r>
      <w:r w:rsidR="004330EE">
        <w:t xml:space="preserve">IRB </w:t>
      </w:r>
      <w:r>
        <w:t xml:space="preserve">to document that </w:t>
      </w:r>
      <w:r w:rsidR="004330EE">
        <w:t xml:space="preserve">the criteria </w:t>
      </w:r>
      <w:r>
        <w:t>are</w:t>
      </w:r>
      <w:r w:rsidR="004330EE">
        <w:t xml:space="preserve"> met to grant IRB approval for research involving the exception to informed consent. </w:t>
      </w:r>
      <w:r w:rsidR="009837E3">
        <w:t>HSD staff complete t</w:t>
      </w:r>
      <w:r w:rsidR="004330EE">
        <w:t xml:space="preserve">his </w:t>
      </w:r>
      <w:r w:rsidR="009837E3">
        <w:t xml:space="preserve">regulatory </w:t>
      </w:r>
      <w:r w:rsidR="004330EE">
        <w:t xml:space="preserve">checklist </w:t>
      </w:r>
      <w:r w:rsidR="009837E3">
        <w:t>and upload it to the Zipline application</w:t>
      </w:r>
      <w:r w:rsidR="004330EE">
        <w:t>.</w:t>
      </w:r>
    </w:p>
    <w:p w14:paraId="64D49F04" w14:textId="19DBAD8D" w:rsidR="009400E5" w:rsidRDefault="004330EE" w:rsidP="45A05694">
      <w:pPr>
        <w:widowControl w:val="0"/>
        <w:spacing w:after="120"/>
        <w:ind w:left="90"/>
      </w:pPr>
      <w:r>
        <w:t>“FDA-FAQ” refers to the FDA Guidance, “Exception from Informed Consent Requirements</w:t>
      </w:r>
      <w:r w:rsidR="0097295C">
        <w:t xml:space="preserve"> </w:t>
      </w:r>
      <w:r>
        <w:t>for Emergency Research”, April 2013. It is an excellent source of explanation and guidance.</w:t>
      </w:r>
    </w:p>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7D449296" w:rsidR="00215B3F" w:rsidRPr="00130298" w:rsidRDefault="00001146" w:rsidP="007D045F">
            <w:pPr>
              <w:pStyle w:val="ListParagraph"/>
              <w:widowControl w:val="0"/>
              <w:ind w:left="-27"/>
              <w:rPr>
                <w:b/>
                <w:bCs/>
              </w:rPr>
            </w:pPr>
            <w:r>
              <w:rPr>
                <w:b/>
                <w:bCs/>
              </w:rPr>
              <w:t>STUDY INFORMATION</w:t>
            </w:r>
          </w:p>
        </w:tc>
      </w:tr>
    </w:tbl>
    <w:p w14:paraId="5F6F75E5" w14:textId="63E2000A" w:rsidR="00215B3F" w:rsidRDefault="00215B3F" w:rsidP="00A43C79">
      <w:pPr>
        <w:widowControl w:val="0"/>
        <w:rPr>
          <w:b/>
          <w:bCs/>
        </w:rPr>
      </w:pPr>
    </w:p>
    <w:tbl>
      <w:tblPr>
        <w:tblStyle w:val="TableGrid"/>
        <w:tblW w:w="9792" w:type="dxa"/>
        <w:tblInd w:w="108" w:type="dxa"/>
        <w:tblLook w:val="04A0" w:firstRow="1" w:lastRow="0" w:firstColumn="1" w:lastColumn="0" w:noHBand="0" w:noVBand="1"/>
        <w:tblCaption w:val="Answer Box"/>
        <w:tblDescription w:val="These spaces list the application number, PI name, HSD staff person completing the form and date of IRB review."/>
      </w:tblPr>
      <w:tblGrid>
        <w:gridCol w:w="2322"/>
        <w:gridCol w:w="7470"/>
      </w:tblGrid>
      <w:tr w:rsidR="00001146" w14:paraId="0BB3411A" w14:textId="77777777" w:rsidTr="00001146">
        <w:trPr>
          <w:trHeight w:val="432"/>
        </w:trPr>
        <w:tc>
          <w:tcPr>
            <w:tcW w:w="2322" w:type="dxa"/>
            <w:tcBorders>
              <w:top w:val="nil"/>
              <w:left w:val="nil"/>
              <w:bottom w:val="nil"/>
              <w:right w:val="single" w:sz="24" w:space="0" w:color="E8960C"/>
            </w:tcBorders>
            <w:vAlign w:val="center"/>
            <w:hideMark/>
          </w:tcPr>
          <w:p w14:paraId="20BEFA6F" w14:textId="1D8D9A3F" w:rsidR="00001146" w:rsidRDefault="00001146" w:rsidP="00A43C79">
            <w:pPr>
              <w:widowControl w:val="0"/>
              <w:spacing w:before="20"/>
              <w:rPr>
                <w:rFonts w:cstheme="minorHAnsi"/>
                <w:b/>
              </w:rPr>
            </w:pPr>
            <w:r>
              <w:rPr>
                <w:rFonts w:cstheme="minorHAnsi"/>
                <w:b/>
              </w:rPr>
              <w:t>Zipline #</w:t>
            </w:r>
            <w:r w:rsidR="00D52585">
              <w:rPr>
                <w:rFonts w:cstheme="minorHAnsi"/>
                <w:b/>
              </w:rPr>
              <w:t xml:space="preserve"> (initial app)</w:t>
            </w:r>
            <w:r>
              <w:rPr>
                <w:rFonts w:cstheme="minorHAnsi"/>
                <w:b/>
              </w:rPr>
              <w:t>:</w:t>
            </w:r>
          </w:p>
        </w:tc>
        <w:sdt>
          <w:sdtPr>
            <w:rPr>
              <w:rStyle w:val="AnswerBoxText"/>
            </w:rPr>
            <w:id w:val="699516333"/>
            <w:placeholder>
              <w:docPart w:val="612225967C2248D09369E73814C906EE"/>
            </w:placeholder>
            <w:temporary/>
            <w:showingPlcHdr/>
          </w:sdtPr>
          <w:sdtEndPr>
            <w:rPr>
              <w:rStyle w:val="AnswerBoxText"/>
            </w:rPr>
          </w:sdtEndPr>
          <w:sdtContent>
            <w:tc>
              <w:tcPr>
                <w:tcW w:w="7470" w:type="dxa"/>
                <w:tcBorders>
                  <w:top w:val="single" w:sz="24" w:space="0" w:color="E8960C"/>
                  <w:left w:val="single" w:sz="24" w:space="0" w:color="E8960C"/>
                  <w:bottom w:val="single" w:sz="24" w:space="0" w:color="E8960C"/>
                  <w:right w:val="single" w:sz="24" w:space="0" w:color="E8960C"/>
                </w:tcBorders>
                <w:vAlign w:val="center"/>
                <w:hideMark/>
              </w:tcPr>
              <w:p w14:paraId="599A336A" w14:textId="77777777" w:rsidR="00001146" w:rsidRDefault="00001146" w:rsidP="00A43C79">
                <w:pPr>
                  <w:pStyle w:val="NoSpacing"/>
                  <w:widowControl w:val="0"/>
                  <w:spacing w:before="20"/>
                </w:pPr>
                <w:r>
                  <w:rPr>
                    <w:rStyle w:val="PlaceholderText"/>
                    <w:color w:val="595959" w:themeColor="text1" w:themeTint="A6"/>
                  </w:rPr>
                  <w:t>Click or tap here to enter text.</w:t>
                </w:r>
              </w:p>
            </w:tc>
          </w:sdtContent>
        </w:sdt>
      </w:tr>
      <w:tr w:rsidR="00001146" w14:paraId="68B4AE54" w14:textId="77777777" w:rsidTr="00001146">
        <w:trPr>
          <w:trHeight w:val="432"/>
        </w:trPr>
        <w:tc>
          <w:tcPr>
            <w:tcW w:w="2322" w:type="dxa"/>
            <w:tcBorders>
              <w:top w:val="nil"/>
              <w:left w:val="nil"/>
              <w:bottom w:val="nil"/>
              <w:right w:val="single" w:sz="24" w:space="0" w:color="E8960C"/>
            </w:tcBorders>
            <w:vAlign w:val="center"/>
            <w:hideMark/>
          </w:tcPr>
          <w:p w14:paraId="76D542E1" w14:textId="07B80646" w:rsidR="00001146" w:rsidRDefault="00001146" w:rsidP="00A43C79">
            <w:pPr>
              <w:pStyle w:val="NoSpacing"/>
              <w:widowControl w:val="0"/>
              <w:ind w:right="118"/>
              <w:rPr>
                <w:rFonts w:cstheme="minorHAnsi"/>
                <w:b/>
              </w:rPr>
            </w:pPr>
            <w:r>
              <w:rPr>
                <w:rFonts w:cstheme="minorHAnsi"/>
                <w:b/>
              </w:rPr>
              <w:t>PI last name:</w:t>
            </w:r>
          </w:p>
        </w:tc>
        <w:sdt>
          <w:sdtPr>
            <w:rPr>
              <w:rStyle w:val="AnswerBoxText"/>
            </w:rPr>
            <w:id w:val="1118722003"/>
            <w:placeholder>
              <w:docPart w:val="A4A607656A764EFDB42D72A3B477BB45"/>
            </w:placeholder>
            <w:temporary/>
            <w:showingPlcHdr/>
          </w:sdtPr>
          <w:sdtEndPr>
            <w:rPr>
              <w:rStyle w:val="AnswerBoxText"/>
            </w:rPr>
          </w:sdtEndPr>
          <w:sdtContent>
            <w:tc>
              <w:tcPr>
                <w:tcW w:w="7470" w:type="dxa"/>
                <w:tcBorders>
                  <w:top w:val="single" w:sz="24" w:space="0" w:color="E8960C"/>
                  <w:left w:val="single" w:sz="24" w:space="0" w:color="E8960C"/>
                  <w:bottom w:val="single" w:sz="24" w:space="0" w:color="E8960C"/>
                  <w:right w:val="single" w:sz="24" w:space="0" w:color="E8960C"/>
                </w:tcBorders>
                <w:vAlign w:val="center"/>
                <w:hideMark/>
              </w:tcPr>
              <w:p w14:paraId="6E73BA08" w14:textId="77777777" w:rsidR="00001146" w:rsidRDefault="00001146" w:rsidP="00A43C79">
                <w:pPr>
                  <w:pStyle w:val="NoSpacing"/>
                  <w:widowControl w:val="0"/>
                </w:pPr>
                <w:r>
                  <w:rPr>
                    <w:rStyle w:val="PlaceholderText"/>
                    <w:color w:val="595959" w:themeColor="text1" w:themeTint="A6"/>
                  </w:rPr>
                  <w:t>Click or tap here to enter text.</w:t>
                </w:r>
              </w:p>
            </w:tc>
          </w:sdtContent>
        </w:sdt>
      </w:tr>
      <w:tr w:rsidR="00001146" w14:paraId="656E218B" w14:textId="77777777" w:rsidTr="00001146">
        <w:trPr>
          <w:trHeight w:val="432"/>
        </w:trPr>
        <w:tc>
          <w:tcPr>
            <w:tcW w:w="2322" w:type="dxa"/>
            <w:tcBorders>
              <w:top w:val="nil"/>
              <w:left w:val="nil"/>
              <w:bottom w:val="nil"/>
              <w:right w:val="single" w:sz="24" w:space="0" w:color="E8960C"/>
            </w:tcBorders>
            <w:vAlign w:val="center"/>
          </w:tcPr>
          <w:p w14:paraId="7690BC3B" w14:textId="66C5DFE4" w:rsidR="00001146" w:rsidRDefault="00001146" w:rsidP="00A43C79">
            <w:pPr>
              <w:pStyle w:val="NoSpacing"/>
              <w:widowControl w:val="0"/>
              <w:ind w:right="118"/>
              <w:rPr>
                <w:rFonts w:cstheme="minorHAnsi"/>
                <w:b/>
              </w:rPr>
            </w:pPr>
            <w:r>
              <w:rPr>
                <w:rFonts w:cstheme="minorHAnsi"/>
                <w:b/>
              </w:rPr>
              <w:t>Checklist completion date:</w:t>
            </w:r>
          </w:p>
        </w:tc>
        <w:sdt>
          <w:sdtPr>
            <w:rPr>
              <w:rStyle w:val="AnswerBoxText"/>
            </w:rPr>
            <w:id w:val="584960305"/>
            <w:placeholder>
              <w:docPart w:val="8E42F33972BA4314841EDA566C159D8E"/>
            </w:placeholder>
            <w:temporary/>
            <w:showingPlcHdr/>
          </w:sdtPr>
          <w:sdtEndPr>
            <w:rPr>
              <w:rStyle w:val="AnswerBoxText"/>
            </w:rPr>
          </w:sdtEndPr>
          <w:sdtContent>
            <w:tc>
              <w:tcPr>
                <w:tcW w:w="7470" w:type="dxa"/>
                <w:tcBorders>
                  <w:top w:val="single" w:sz="24" w:space="0" w:color="E8960C"/>
                  <w:left w:val="single" w:sz="24" w:space="0" w:color="E8960C"/>
                  <w:bottom w:val="single" w:sz="24" w:space="0" w:color="E8960C"/>
                  <w:right w:val="single" w:sz="24" w:space="0" w:color="E8960C"/>
                </w:tcBorders>
                <w:vAlign w:val="center"/>
              </w:tcPr>
              <w:p w14:paraId="29921CF8" w14:textId="77777777" w:rsidR="00001146" w:rsidRDefault="00001146" w:rsidP="00A43C79">
                <w:pPr>
                  <w:pStyle w:val="NoSpacing"/>
                  <w:widowControl w:val="0"/>
                  <w:rPr>
                    <w:rStyle w:val="AnswerBoxText"/>
                  </w:rPr>
                </w:pPr>
                <w:r>
                  <w:rPr>
                    <w:rStyle w:val="PlaceholderText"/>
                    <w:color w:val="595959" w:themeColor="text1" w:themeTint="A6"/>
                  </w:rPr>
                  <w:t>Click or tap here to enter text.</w:t>
                </w:r>
              </w:p>
            </w:tc>
          </w:sdtContent>
        </w:sdt>
      </w:tr>
      <w:tr w:rsidR="00001146" w14:paraId="2387BC57" w14:textId="77777777" w:rsidTr="00001146">
        <w:trPr>
          <w:trHeight w:val="432"/>
        </w:trPr>
        <w:tc>
          <w:tcPr>
            <w:tcW w:w="2322" w:type="dxa"/>
            <w:tcBorders>
              <w:top w:val="nil"/>
              <w:left w:val="nil"/>
              <w:bottom w:val="nil"/>
              <w:right w:val="single" w:sz="24" w:space="0" w:color="E8960C"/>
            </w:tcBorders>
            <w:vAlign w:val="center"/>
          </w:tcPr>
          <w:p w14:paraId="4D09CE53" w14:textId="77777777" w:rsidR="00001146" w:rsidRDefault="00001146" w:rsidP="00A43C79">
            <w:pPr>
              <w:pStyle w:val="NoSpacing"/>
              <w:widowControl w:val="0"/>
              <w:ind w:right="118"/>
              <w:rPr>
                <w:rFonts w:cstheme="minorHAnsi"/>
                <w:b/>
              </w:rPr>
            </w:pPr>
            <w:r>
              <w:rPr>
                <w:rFonts w:cstheme="minorHAnsi"/>
                <w:b/>
              </w:rPr>
              <w:t>Staff person:</w:t>
            </w:r>
          </w:p>
        </w:tc>
        <w:sdt>
          <w:sdtPr>
            <w:rPr>
              <w:rStyle w:val="AnswerBoxText"/>
            </w:rPr>
            <w:id w:val="1653099569"/>
            <w:placeholder>
              <w:docPart w:val="CAB5FA66AED34840A3CED8F7EC77F2CC"/>
            </w:placeholder>
            <w:temporary/>
            <w:showingPlcHdr/>
          </w:sdtPr>
          <w:sdtEndPr>
            <w:rPr>
              <w:rStyle w:val="AnswerBoxText"/>
            </w:rPr>
          </w:sdtEndPr>
          <w:sdtContent>
            <w:tc>
              <w:tcPr>
                <w:tcW w:w="7470" w:type="dxa"/>
                <w:tcBorders>
                  <w:top w:val="single" w:sz="24" w:space="0" w:color="E8960C"/>
                  <w:left w:val="single" w:sz="24" w:space="0" w:color="E8960C"/>
                  <w:bottom w:val="single" w:sz="24" w:space="0" w:color="E8960C"/>
                  <w:right w:val="single" w:sz="24" w:space="0" w:color="E8960C"/>
                </w:tcBorders>
                <w:vAlign w:val="center"/>
              </w:tcPr>
              <w:p w14:paraId="0C3D3786" w14:textId="77777777" w:rsidR="00001146" w:rsidRDefault="00001146" w:rsidP="00A43C79">
                <w:pPr>
                  <w:pStyle w:val="NoSpacing"/>
                  <w:widowControl w:val="0"/>
                  <w:rPr>
                    <w:rStyle w:val="AnswerBoxText"/>
                  </w:rPr>
                </w:pPr>
                <w:r>
                  <w:rPr>
                    <w:rStyle w:val="PlaceholderText"/>
                    <w:color w:val="595959" w:themeColor="text1" w:themeTint="A6"/>
                  </w:rPr>
                  <w:t>Click or tap here to enter text.</w:t>
                </w:r>
              </w:p>
            </w:tc>
          </w:sdtContent>
        </w:sdt>
      </w:tr>
    </w:tbl>
    <w:p w14:paraId="117B6D09" w14:textId="37906DD3" w:rsidR="00A43C79" w:rsidRDefault="00A43C79" w:rsidP="005E0DF8">
      <w:pPr>
        <w:pStyle w:val="ListParagraph"/>
        <w:widowControl w:val="0"/>
        <w:ind w:left="90"/>
      </w:pPr>
    </w:p>
    <w:tbl>
      <w:tblPr>
        <w:tblStyle w:val="TableGrid"/>
        <w:tblW w:w="0" w:type="auto"/>
        <w:tblInd w:w="85" w:type="dxa"/>
        <w:tblLook w:val="04A0" w:firstRow="1" w:lastRow="0" w:firstColumn="1" w:lastColumn="0" w:noHBand="0" w:noVBand="1"/>
      </w:tblPr>
      <w:tblGrid>
        <w:gridCol w:w="8809"/>
        <w:gridCol w:w="1121"/>
      </w:tblGrid>
      <w:tr w:rsidR="00C7566E" w14:paraId="3BC2E06F" w14:textId="77777777" w:rsidTr="00C7566E">
        <w:trPr>
          <w:trHeight w:val="323"/>
        </w:trPr>
        <w:tc>
          <w:tcPr>
            <w:tcW w:w="8809" w:type="dxa"/>
            <w:shd w:val="clear" w:color="auto" w:fill="33006F"/>
            <w:vAlign w:val="center"/>
          </w:tcPr>
          <w:p w14:paraId="00D0404F" w14:textId="656273A7" w:rsidR="00C7566E" w:rsidRPr="00C7566E" w:rsidRDefault="00C7566E" w:rsidP="00C7566E">
            <w:pPr>
              <w:pStyle w:val="ListParagraph"/>
              <w:widowControl w:val="0"/>
              <w:numPr>
                <w:ilvl w:val="0"/>
                <w:numId w:val="29"/>
              </w:numPr>
              <w:spacing w:before="60" w:after="60"/>
              <w:rPr>
                <w:b/>
                <w:bCs/>
                <w:color w:val="FFFFFF" w:themeColor="background1"/>
              </w:rPr>
            </w:pPr>
            <w:r w:rsidRPr="00C7566E">
              <w:rPr>
                <w:b/>
                <w:bCs/>
                <w:color w:val="FFFFFF" w:themeColor="background1"/>
              </w:rPr>
              <w:t xml:space="preserve">INSTITUTIONAL REVIEW BOARD </w:t>
            </w:r>
            <w:r w:rsidRPr="00C7566E">
              <w:rPr>
                <w:b/>
                <w:bCs/>
                <w:color w:val="FFFFFF" w:themeColor="background1"/>
              </w:rPr>
              <w:t>REQUIREMENT</w:t>
            </w:r>
          </w:p>
        </w:tc>
        <w:tc>
          <w:tcPr>
            <w:tcW w:w="1121" w:type="dxa"/>
            <w:shd w:val="clear" w:color="auto" w:fill="33006F"/>
            <w:vAlign w:val="center"/>
          </w:tcPr>
          <w:p w14:paraId="503FD45D" w14:textId="590F26A8" w:rsidR="00C7566E" w:rsidRPr="00C7566E" w:rsidRDefault="00C7566E" w:rsidP="00D12635">
            <w:pPr>
              <w:widowControl w:val="0"/>
              <w:jc w:val="center"/>
              <w:rPr>
                <w:b/>
                <w:bCs/>
              </w:rPr>
            </w:pPr>
            <w:r>
              <w:rPr>
                <w:b/>
                <w:bCs/>
              </w:rPr>
              <w:t>Met</w:t>
            </w:r>
          </w:p>
        </w:tc>
      </w:tr>
      <w:tr w:rsidR="00C7566E" w14:paraId="5299F1DD" w14:textId="77777777" w:rsidTr="0056177B">
        <w:trPr>
          <w:trHeight w:val="323"/>
        </w:trPr>
        <w:tc>
          <w:tcPr>
            <w:tcW w:w="8809" w:type="dxa"/>
            <w:vAlign w:val="center"/>
          </w:tcPr>
          <w:p w14:paraId="31CE44CC" w14:textId="29CAB21C" w:rsidR="00004E22" w:rsidRDefault="007D045F" w:rsidP="00D12635">
            <w:pPr>
              <w:widowControl w:val="0"/>
              <w:spacing w:before="60" w:after="60"/>
              <w:ind w:left="429" w:hanging="450"/>
              <w:rPr>
                <w:b/>
                <w:bCs/>
              </w:rPr>
            </w:pPr>
            <w:r>
              <w:rPr>
                <w:b/>
                <w:bCs/>
              </w:rPr>
              <w:t>1</w:t>
            </w:r>
            <w:r w:rsidR="00C7566E" w:rsidRPr="0006195E">
              <w:rPr>
                <w:b/>
                <w:bCs/>
              </w:rPr>
              <w:t xml:space="preserve">.1   </w:t>
            </w:r>
            <w:r w:rsidR="00C7566E" w:rsidRPr="00BA58AA">
              <w:t>A</w:t>
            </w:r>
            <w:r w:rsidR="00C7566E">
              <w:rPr>
                <w:b/>
                <w:bCs/>
              </w:rPr>
              <w:t xml:space="preserve"> licensed physician</w:t>
            </w:r>
            <w:r w:rsidR="00C7566E" w:rsidRPr="00BA58AA">
              <w:t>, who is a member or consultant to the IRB and who is not otherwise an investigator or participant in the research, concurs with the IRB’s findings that this study may be approved without requiring that consent be obtained for all subjects.</w:t>
            </w:r>
            <w:r w:rsidR="00C7566E">
              <w:rPr>
                <w:b/>
                <w:bCs/>
              </w:rPr>
              <w:t xml:space="preserve"> </w:t>
            </w:r>
          </w:p>
          <w:p w14:paraId="528C5D24" w14:textId="21681A86" w:rsidR="00C7566E" w:rsidRPr="0006195E" w:rsidRDefault="00C7566E" w:rsidP="00004E22">
            <w:pPr>
              <w:widowControl w:val="0"/>
              <w:spacing w:before="60" w:after="60"/>
              <w:ind w:left="429"/>
              <w:rPr>
                <w:i/>
                <w:iCs/>
              </w:rPr>
            </w:pPr>
            <w:r>
              <w:rPr>
                <w:i/>
                <w:iCs/>
              </w:rPr>
              <w:t xml:space="preserve">21 CFR 50.24(a) </w:t>
            </w:r>
          </w:p>
        </w:tc>
        <w:tc>
          <w:tcPr>
            <w:tcW w:w="1121" w:type="dxa"/>
            <w:tcBorders>
              <w:bottom w:val="single" w:sz="4" w:space="0" w:color="auto"/>
            </w:tcBorders>
            <w:vAlign w:val="center"/>
          </w:tcPr>
          <w:p w14:paraId="7CEAB11F" w14:textId="77777777" w:rsidR="00C7566E" w:rsidRDefault="00BA58AA" w:rsidP="00D12635">
            <w:pPr>
              <w:widowControl w:val="0"/>
              <w:jc w:val="center"/>
            </w:pPr>
            <w:sdt>
              <w:sdtPr>
                <w:id w:val="-1655376392"/>
                <w14:checkbox>
                  <w14:checked w14:val="0"/>
                  <w14:checkedState w14:val="2612" w14:font="MS Gothic"/>
                  <w14:uncheckedState w14:val="2610" w14:font="MS Gothic"/>
                </w14:checkbox>
              </w:sdtPr>
              <w:sdtEndPr/>
              <w:sdtContent>
                <w:r w:rsidR="00C7566E">
                  <w:rPr>
                    <w:rFonts w:ascii="MS Gothic" w:eastAsia="MS Gothic" w:hAnsi="MS Gothic" w:hint="eastAsia"/>
                  </w:rPr>
                  <w:t>☐</w:t>
                </w:r>
              </w:sdtContent>
            </w:sdt>
          </w:p>
        </w:tc>
      </w:tr>
      <w:tr w:rsidR="0056177B" w14:paraId="0EFA5BE5" w14:textId="77777777" w:rsidTr="002810DC">
        <w:trPr>
          <w:trHeight w:val="323"/>
        </w:trPr>
        <w:tc>
          <w:tcPr>
            <w:tcW w:w="8809" w:type="dxa"/>
            <w:tcBorders>
              <w:right w:val="nil"/>
            </w:tcBorders>
            <w:shd w:val="clear" w:color="auto" w:fill="EBEBFF"/>
            <w:vAlign w:val="center"/>
          </w:tcPr>
          <w:p w14:paraId="6BBC7F89" w14:textId="77777777" w:rsidR="002810DC" w:rsidRDefault="002810DC" w:rsidP="002810DC">
            <w:pPr>
              <w:widowControl w:val="0"/>
              <w:spacing w:before="60"/>
              <w:rPr>
                <w:b/>
                <w:bCs/>
              </w:rPr>
            </w:pPr>
            <w:r w:rsidRPr="5C862695">
              <w:rPr>
                <w:b/>
                <w:bCs/>
              </w:rPr>
              <w:t>+ Guidance</w:t>
            </w:r>
          </w:p>
          <w:p w14:paraId="4F8208AA" w14:textId="2658E10A" w:rsidR="0056177B" w:rsidRPr="002810DC" w:rsidRDefault="002810DC" w:rsidP="002810DC">
            <w:pPr>
              <w:widowControl w:val="0"/>
              <w:spacing w:before="60" w:after="60"/>
              <w:ind w:left="159"/>
            </w:pPr>
            <w:r>
              <w:t xml:space="preserve">At the UW, this requirement is fulfilled by ensuring that at least one IRB member who is a physician has attended all of the meetings and votes in favor of granting consent exception. The physician’s concurrence or affirmative vote must be recorded in the IRB meeting minutes. </w:t>
            </w:r>
          </w:p>
        </w:tc>
        <w:tc>
          <w:tcPr>
            <w:tcW w:w="1121" w:type="dxa"/>
            <w:tcBorders>
              <w:left w:val="nil"/>
            </w:tcBorders>
            <w:shd w:val="clear" w:color="auto" w:fill="EBEBFF"/>
            <w:vAlign w:val="center"/>
          </w:tcPr>
          <w:p w14:paraId="4A93463D" w14:textId="77777777" w:rsidR="0056177B" w:rsidRDefault="0056177B" w:rsidP="00D12635">
            <w:pPr>
              <w:widowControl w:val="0"/>
              <w:jc w:val="center"/>
            </w:pPr>
          </w:p>
        </w:tc>
      </w:tr>
    </w:tbl>
    <w:p w14:paraId="6F5A5A1D" w14:textId="77777777" w:rsidR="005E0DF8" w:rsidRDefault="005E0DF8" w:rsidP="005C32B1">
      <w:pPr>
        <w:pStyle w:val="ListParagraph"/>
        <w:widowControl w:val="0"/>
        <w:spacing w:before="120" w:after="120"/>
        <w:ind w:left="90"/>
      </w:pPr>
    </w:p>
    <w:tbl>
      <w:tblPr>
        <w:tblStyle w:val="TableGrid"/>
        <w:tblW w:w="0" w:type="auto"/>
        <w:tblInd w:w="85" w:type="dxa"/>
        <w:tblLook w:val="04A0" w:firstRow="1" w:lastRow="0" w:firstColumn="1" w:lastColumn="0" w:noHBand="0" w:noVBand="1"/>
      </w:tblPr>
      <w:tblGrid>
        <w:gridCol w:w="8809"/>
        <w:gridCol w:w="1121"/>
      </w:tblGrid>
      <w:tr w:rsidR="00C7566E" w14:paraId="08F4B179" w14:textId="77777777" w:rsidTr="00004E22">
        <w:trPr>
          <w:trHeight w:val="323"/>
        </w:trPr>
        <w:tc>
          <w:tcPr>
            <w:tcW w:w="8809" w:type="dxa"/>
            <w:shd w:val="clear" w:color="auto" w:fill="33006F"/>
            <w:vAlign w:val="center"/>
          </w:tcPr>
          <w:p w14:paraId="34EA5937" w14:textId="1A3A5055" w:rsidR="00C7566E" w:rsidRPr="00C7566E" w:rsidRDefault="00C7566E" w:rsidP="00D12635">
            <w:pPr>
              <w:pStyle w:val="ListParagraph"/>
              <w:widowControl w:val="0"/>
              <w:numPr>
                <w:ilvl w:val="0"/>
                <w:numId w:val="29"/>
              </w:numPr>
              <w:spacing w:before="60" w:after="60"/>
              <w:rPr>
                <w:b/>
                <w:bCs/>
                <w:color w:val="FFFFFF" w:themeColor="background1"/>
              </w:rPr>
            </w:pPr>
            <w:r>
              <w:rPr>
                <w:b/>
                <w:bCs/>
                <w:color w:val="FFFFFF" w:themeColor="background1"/>
              </w:rPr>
              <w:t>CONDITION AND TREATMENT</w:t>
            </w:r>
          </w:p>
        </w:tc>
        <w:tc>
          <w:tcPr>
            <w:tcW w:w="1121" w:type="dxa"/>
            <w:shd w:val="clear" w:color="auto" w:fill="33006F"/>
            <w:vAlign w:val="center"/>
          </w:tcPr>
          <w:p w14:paraId="1D6D6627" w14:textId="753AB2C3" w:rsidR="00C7566E" w:rsidRPr="00C7566E" w:rsidRDefault="00C7566E" w:rsidP="00D12635">
            <w:pPr>
              <w:widowControl w:val="0"/>
              <w:jc w:val="center"/>
              <w:rPr>
                <w:b/>
                <w:bCs/>
              </w:rPr>
            </w:pPr>
            <w:r>
              <w:rPr>
                <w:b/>
                <w:bCs/>
              </w:rPr>
              <w:t>Met</w:t>
            </w:r>
          </w:p>
        </w:tc>
      </w:tr>
      <w:tr w:rsidR="00C7566E" w14:paraId="12C7C44E" w14:textId="77777777" w:rsidTr="00F17884">
        <w:trPr>
          <w:trHeight w:val="323"/>
        </w:trPr>
        <w:tc>
          <w:tcPr>
            <w:tcW w:w="8809" w:type="dxa"/>
            <w:vAlign w:val="center"/>
          </w:tcPr>
          <w:p w14:paraId="3EE2AD02" w14:textId="39A7F902" w:rsidR="00004E22" w:rsidRDefault="007D045F" w:rsidP="00D12635">
            <w:pPr>
              <w:widowControl w:val="0"/>
              <w:spacing w:before="60" w:after="60"/>
              <w:ind w:left="429" w:hanging="450"/>
              <w:rPr>
                <w:i/>
                <w:iCs/>
              </w:rPr>
            </w:pPr>
            <w:r>
              <w:rPr>
                <w:b/>
                <w:bCs/>
              </w:rPr>
              <w:t>2</w:t>
            </w:r>
            <w:r w:rsidR="00C7566E" w:rsidRPr="0006195E">
              <w:rPr>
                <w:b/>
                <w:bCs/>
              </w:rPr>
              <w:t xml:space="preserve">.1   </w:t>
            </w:r>
            <w:r w:rsidR="00004E22" w:rsidRPr="00BA58AA">
              <w:t xml:space="preserve">The subjects are in a </w:t>
            </w:r>
            <w:r w:rsidR="00004E22" w:rsidRPr="002A61F6">
              <w:rPr>
                <w:b/>
                <w:bCs/>
              </w:rPr>
              <w:t>life-threatening situation</w:t>
            </w:r>
            <w:r w:rsidR="00004E22" w:rsidRPr="00BA58AA">
              <w:t xml:space="preserve"> which requires intervention.</w:t>
            </w:r>
            <w:r w:rsidR="00C7566E" w:rsidRPr="002A61F6">
              <w:rPr>
                <w:i/>
                <w:iCs/>
              </w:rPr>
              <w:t xml:space="preserve"> </w:t>
            </w:r>
          </w:p>
          <w:p w14:paraId="2E49377D" w14:textId="13DDCBDE" w:rsidR="00C7566E" w:rsidRPr="0006195E" w:rsidRDefault="00004E22" w:rsidP="00004E22">
            <w:pPr>
              <w:widowControl w:val="0"/>
              <w:spacing w:before="60" w:after="60"/>
              <w:ind w:left="429"/>
              <w:rPr>
                <w:i/>
                <w:iCs/>
              </w:rPr>
            </w:pPr>
            <w:r>
              <w:rPr>
                <w:i/>
                <w:iCs/>
              </w:rPr>
              <w:t>21 CFR 50.24(a)(1); 21 CFR 50.24(a)(3)(i); FDA-FAQ 22</w:t>
            </w:r>
          </w:p>
        </w:tc>
        <w:tc>
          <w:tcPr>
            <w:tcW w:w="1121" w:type="dxa"/>
            <w:tcBorders>
              <w:bottom w:val="single" w:sz="4" w:space="0" w:color="auto"/>
            </w:tcBorders>
            <w:vAlign w:val="center"/>
          </w:tcPr>
          <w:p w14:paraId="49E289A8" w14:textId="77777777" w:rsidR="00C7566E" w:rsidRDefault="00BA58AA" w:rsidP="00D12635">
            <w:pPr>
              <w:widowControl w:val="0"/>
              <w:jc w:val="center"/>
            </w:pPr>
            <w:sdt>
              <w:sdtPr>
                <w:id w:val="-1742706084"/>
                <w14:checkbox>
                  <w14:checked w14:val="0"/>
                  <w14:checkedState w14:val="2612" w14:font="MS Gothic"/>
                  <w14:uncheckedState w14:val="2610" w14:font="MS Gothic"/>
                </w14:checkbox>
              </w:sdtPr>
              <w:sdtEndPr/>
              <w:sdtContent>
                <w:r w:rsidR="00C7566E">
                  <w:rPr>
                    <w:rFonts w:ascii="MS Gothic" w:eastAsia="MS Gothic" w:hAnsi="MS Gothic" w:hint="eastAsia"/>
                  </w:rPr>
                  <w:t>☐</w:t>
                </w:r>
              </w:sdtContent>
            </w:sdt>
          </w:p>
        </w:tc>
      </w:tr>
      <w:tr w:rsidR="00F17884" w14:paraId="47229721" w14:textId="77777777" w:rsidTr="00F17884">
        <w:trPr>
          <w:trHeight w:val="323"/>
        </w:trPr>
        <w:tc>
          <w:tcPr>
            <w:tcW w:w="8809" w:type="dxa"/>
            <w:tcBorders>
              <w:right w:val="nil"/>
            </w:tcBorders>
            <w:shd w:val="clear" w:color="auto" w:fill="EBEBFF"/>
            <w:vAlign w:val="center"/>
          </w:tcPr>
          <w:p w14:paraId="1D4B38B0" w14:textId="77777777" w:rsidR="00F17884" w:rsidRDefault="00F17884" w:rsidP="00F17884">
            <w:pPr>
              <w:widowControl w:val="0"/>
              <w:spacing w:before="60"/>
              <w:rPr>
                <w:b/>
                <w:bCs/>
              </w:rPr>
            </w:pPr>
            <w:r w:rsidRPr="5C862695">
              <w:rPr>
                <w:b/>
                <w:bCs/>
              </w:rPr>
              <w:t>+ Guidance</w:t>
            </w:r>
          </w:p>
          <w:p w14:paraId="791C7441" w14:textId="1C804998" w:rsidR="00F17884" w:rsidRDefault="00F17884" w:rsidP="00F17884">
            <w:pPr>
              <w:widowControl w:val="0"/>
              <w:spacing w:before="60" w:after="60"/>
              <w:ind w:left="159"/>
            </w:pPr>
            <w:r>
              <w:t>“</w:t>
            </w:r>
            <w:bookmarkStart w:id="0" w:name="lifethreat"/>
            <w:bookmarkEnd w:id="0"/>
            <w:r>
              <w:t xml:space="preserve">Life-threatening” includes </w:t>
            </w:r>
            <w:r>
              <w:t xml:space="preserve">research that is evaluating </w:t>
            </w:r>
            <w:r>
              <w:t xml:space="preserve">conditions of severe morbidity that are closely associated with mortality. For example, patients with stroke or head injury are at risk of both death and severe disability. </w:t>
            </w:r>
          </w:p>
          <w:p w14:paraId="73554061" w14:textId="171216C4" w:rsidR="00F17884" w:rsidRPr="00F17884" w:rsidRDefault="00F17884" w:rsidP="00F17884">
            <w:pPr>
              <w:widowControl w:val="0"/>
              <w:spacing w:before="60" w:after="60"/>
              <w:ind w:left="159"/>
            </w:pPr>
          </w:p>
        </w:tc>
        <w:tc>
          <w:tcPr>
            <w:tcW w:w="1121" w:type="dxa"/>
            <w:tcBorders>
              <w:left w:val="nil"/>
            </w:tcBorders>
            <w:shd w:val="clear" w:color="auto" w:fill="EBEBFF"/>
            <w:vAlign w:val="center"/>
          </w:tcPr>
          <w:p w14:paraId="2893BF67" w14:textId="77777777" w:rsidR="00F17884" w:rsidRDefault="00F17884" w:rsidP="00D12635">
            <w:pPr>
              <w:widowControl w:val="0"/>
              <w:jc w:val="center"/>
            </w:pPr>
          </w:p>
        </w:tc>
      </w:tr>
      <w:tr w:rsidR="00004E22" w14:paraId="39232663" w14:textId="77777777" w:rsidTr="002A61F6">
        <w:trPr>
          <w:trHeight w:val="323"/>
        </w:trPr>
        <w:tc>
          <w:tcPr>
            <w:tcW w:w="8809" w:type="dxa"/>
            <w:vAlign w:val="center"/>
          </w:tcPr>
          <w:p w14:paraId="75174451" w14:textId="6E313EC8" w:rsidR="00004E22" w:rsidRDefault="007D045F" w:rsidP="00004E22">
            <w:pPr>
              <w:widowControl w:val="0"/>
              <w:spacing w:before="60" w:after="60"/>
              <w:ind w:left="429" w:hanging="450"/>
              <w:rPr>
                <w:b/>
                <w:bCs/>
              </w:rPr>
            </w:pPr>
            <w:r>
              <w:rPr>
                <w:b/>
                <w:bCs/>
              </w:rPr>
              <w:t>2</w:t>
            </w:r>
            <w:r w:rsidR="00004E22">
              <w:rPr>
                <w:b/>
                <w:bCs/>
              </w:rPr>
              <w:t>.2   Available treatments are unproven or unsatisfactory.</w:t>
            </w:r>
          </w:p>
          <w:p w14:paraId="1AA42B35" w14:textId="068F72BC" w:rsidR="00004E22" w:rsidRPr="00004E22" w:rsidRDefault="00004E22" w:rsidP="00004E22">
            <w:pPr>
              <w:widowControl w:val="0"/>
              <w:spacing w:before="60" w:after="60"/>
              <w:ind w:left="429"/>
              <w:rPr>
                <w:i/>
                <w:iCs/>
              </w:rPr>
            </w:pPr>
            <w:r>
              <w:rPr>
                <w:i/>
                <w:iCs/>
              </w:rPr>
              <w:t>21 CFR 50.24(a)(1); FDA-FAQ 23-25</w:t>
            </w:r>
          </w:p>
        </w:tc>
        <w:tc>
          <w:tcPr>
            <w:tcW w:w="1121" w:type="dxa"/>
            <w:tcBorders>
              <w:bottom w:val="single" w:sz="4" w:space="0" w:color="auto"/>
            </w:tcBorders>
            <w:vAlign w:val="center"/>
          </w:tcPr>
          <w:p w14:paraId="271A5B09" w14:textId="3303B136" w:rsidR="00004E22" w:rsidRDefault="00BA58AA" w:rsidP="00004E22">
            <w:pPr>
              <w:widowControl w:val="0"/>
              <w:jc w:val="center"/>
            </w:pPr>
            <w:sdt>
              <w:sdtPr>
                <w:id w:val="875431688"/>
                <w14:checkbox>
                  <w14:checked w14:val="0"/>
                  <w14:checkedState w14:val="2612" w14:font="MS Gothic"/>
                  <w14:uncheckedState w14:val="2610" w14:font="MS Gothic"/>
                </w14:checkbox>
              </w:sdtPr>
              <w:sdtEndPr/>
              <w:sdtContent>
                <w:r w:rsidR="00004E22" w:rsidRPr="003E72A2">
                  <w:rPr>
                    <w:rFonts w:ascii="MS Gothic" w:eastAsia="MS Gothic" w:hAnsi="MS Gothic" w:hint="eastAsia"/>
                  </w:rPr>
                  <w:t>☐</w:t>
                </w:r>
              </w:sdtContent>
            </w:sdt>
          </w:p>
        </w:tc>
      </w:tr>
      <w:tr w:rsidR="002A61F6" w14:paraId="1FC6A787" w14:textId="77777777" w:rsidTr="002A61F6">
        <w:trPr>
          <w:trHeight w:val="323"/>
        </w:trPr>
        <w:tc>
          <w:tcPr>
            <w:tcW w:w="8809" w:type="dxa"/>
            <w:tcBorders>
              <w:right w:val="nil"/>
            </w:tcBorders>
            <w:shd w:val="clear" w:color="auto" w:fill="EBEBFF"/>
            <w:vAlign w:val="center"/>
          </w:tcPr>
          <w:p w14:paraId="36C7905C" w14:textId="77777777" w:rsidR="002A61F6" w:rsidRDefault="002A61F6" w:rsidP="002A61F6">
            <w:pPr>
              <w:widowControl w:val="0"/>
              <w:spacing w:before="60"/>
              <w:rPr>
                <w:b/>
                <w:bCs/>
              </w:rPr>
            </w:pPr>
            <w:r w:rsidRPr="5C862695">
              <w:rPr>
                <w:b/>
                <w:bCs/>
              </w:rPr>
              <w:lastRenderedPageBreak/>
              <w:t>+ Guidance</w:t>
            </w:r>
          </w:p>
          <w:p w14:paraId="4F5C510E" w14:textId="77777777" w:rsidR="002A61F6" w:rsidRDefault="002A61F6" w:rsidP="002A61F6">
            <w:pPr>
              <w:widowControl w:val="0"/>
              <w:spacing w:before="60" w:after="60"/>
              <w:ind w:left="159"/>
            </w:pPr>
            <w:r>
              <w:t>“Available treatment” means (for FDA regulated products) treatment that is specified in the approved labeling of regulated products.</w:t>
            </w:r>
          </w:p>
          <w:p w14:paraId="1026DAD2" w14:textId="77777777" w:rsidR="002A61F6" w:rsidRDefault="002A61F6" w:rsidP="002A61F6">
            <w:pPr>
              <w:widowControl w:val="0"/>
              <w:spacing w:before="60" w:after="60"/>
              <w:ind w:left="159"/>
            </w:pPr>
            <w:r>
              <w:t xml:space="preserve">The IRB should consider these questions: </w:t>
            </w:r>
            <w:r>
              <w:rPr>
                <w:b/>
                <w:bCs/>
              </w:rPr>
              <w:t xml:space="preserve">(1) </w:t>
            </w:r>
            <w:r>
              <w:t xml:space="preserve">What is the current standard of care?; </w:t>
            </w:r>
            <w:r>
              <w:rPr>
                <w:b/>
                <w:bCs/>
              </w:rPr>
              <w:t xml:space="preserve">(2) </w:t>
            </w:r>
            <w:r>
              <w:t>What treatments are available?</w:t>
            </w:r>
          </w:p>
          <w:p w14:paraId="62802618" w14:textId="3C07CD0E" w:rsidR="0059580F" w:rsidRDefault="0059580F" w:rsidP="002A61F6">
            <w:pPr>
              <w:widowControl w:val="0"/>
              <w:spacing w:before="60" w:after="60"/>
              <w:ind w:left="159"/>
            </w:pPr>
            <w:r>
              <w:t xml:space="preserve">“Unproven” means that there is not substantial evidence that a treatment is effective for the condition. These may reflect the absence of any data or the absence of studies of acceptable quality. It includes: </w:t>
            </w:r>
            <w:r>
              <w:rPr>
                <w:b/>
                <w:bCs/>
              </w:rPr>
              <w:t>(1)</w:t>
            </w:r>
            <w:r>
              <w:t xml:space="preserve"> treatment that is considered “standard of care”</w:t>
            </w:r>
            <w:r w:rsidR="00BB5232">
              <w:t>,</w:t>
            </w:r>
            <w:r>
              <w:t xml:space="preserve"> but which has never been subjected to rigorous scientific testing or submitted to FDA for approval; </w:t>
            </w:r>
            <w:r>
              <w:rPr>
                <w:b/>
                <w:bCs/>
              </w:rPr>
              <w:t>(2)</w:t>
            </w:r>
            <w:r>
              <w:t xml:space="preserve"> treatment for which there are no or insufficient clinical or pre-clinical data to support safety or efficacy; </w:t>
            </w:r>
            <w:r>
              <w:rPr>
                <w:b/>
                <w:bCs/>
              </w:rPr>
              <w:t xml:space="preserve">(3) </w:t>
            </w:r>
            <w:r>
              <w:t>a product that is not approved for, nor does the labeling for the product contain, the specific indication or patient population under study.</w:t>
            </w:r>
          </w:p>
          <w:p w14:paraId="6A14180B" w14:textId="3D401EFD" w:rsidR="0059580F" w:rsidRPr="002A61F6" w:rsidRDefault="0059580F" w:rsidP="002A61F6">
            <w:pPr>
              <w:widowControl w:val="0"/>
              <w:spacing w:before="60" w:after="60"/>
              <w:ind w:left="159"/>
            </w:pPr>
            <w:r>
              <w:t xml:space="preserve">“Unsatisfactory” means that the available product or therapy is effective, but there are drawbacks to its use, such as: </w:t>
            </w:r>
            <w:r>
              <w:rPr>
                <w:b/>
                <w:bCs/>
              </w:rPr>
              <w:t xml:space="preserve">(1) </w:t>
            </w:r>
            <w:r>
              <w:t xml:space="preserve">safety issues (e.g., high incidence of adverse effects); </w:t>
            </w:r>
            <w:r>
              <w:rPr>
                <w:b/>
                <w:bCs/>
              </w:rPr>
              <w:t xml:space="preserve">(2) </w:t>
            </w:r>
            <w:r>
              <w:t xml:space="preserve">efficacy issues including poor survival rate, treatment is only partially effective, treatment fails to prevent a significant permanent disability, established efficacy is low; </w:t>
            </w:r>
            <w:r>
              <w:rPr>
                <w:b/>
                <w:bCs/>
              </w:rPr>
              <w:t xml:space="preserve">(3) </w:t>
            </w:r>
            <w:r>
              <w:t xml:space="preserve">the time for the treatment to be effective is too long; </w:t>
            </w:r>
            <w:r>
              <w:rPr>
                <w:b/>
                <w:bCs/>
              </w:rPr>
              <w:t xml:space="preserve">(4) </w:t>
            </w:r>
            <w:r>
              <w:t xml:space="preserve">the treatment has limitations related to the setting in which it is needed (e.g., should be administered in the field but needs refrigeration; it is not portable). </w:t>
            </w:r>
          </w:p>
        </w:tc>
        <w:tc>
          <w:tcPr>
            <w:tcW w:w="1121" w:type="dxa"/>
            <w:tcBorders>
              <w:left w:val="nil"/>
            </w:tcBorders>
            <w:shd w:val="clear" w:color="auto" w:fill="EBEBFF"/>
            <w:vAlign w:val="center"/>
          </w:tcPr>
          <w:p w14:paraId="1FEB451A" w14:textId="77777777" w:rsidR="002A61F6" w:rsidRDefault="002A61F6" w:rsidP="00004E22">
            <w:pPr>
              <w:widowControl w:val="0"/>
              <w:jc w:val="center"/>
            </w:pPr>
          </w:p>
        </w:tc>
      </w:tr>
      <w:tr w:rsidR="00004E22" w14:paraId="23905740" w14:textId="77777777" w:rsidTr="0063407B">
        <w:trPr>
          <w:trHeight w:val="323"/>
        </w:trPr>
        <w:tc>
          <w:tcPr>
            <w:tcW w:w="8809" w:type="dxa"/>
            <w:vAlign w:val="center"/>
          </w:tcPr>
          <w:p w14:paraId="04129C0B" w14:textId="78B6B5F2" w:rsidR="00004E22" w:rsidRDefault="007D045F" w:rsidP="00004E22">
            <w:pPr>
              <w:widowControl w:val="0"/>
              <w:spacing w:before="60" w:after="60"/>
              <w:ind w:left="429" w:hanging="450"/>
            </w:pPr>
            <w:r>
              <w:rPr>
                <w:b/>
                <w:bCs/>
              </w:rPr>
              <w:t>2</w:t>
            </w:r>
            <w:r w:rsidR="00004E22">
              <w:rPr>
                <w:b/>
                <w:bCs/>
              </w:rPr>
              <w:t xml:space="preserve">.3  </w:t>
            </w:r>
            <w:r w:rsidR="00004E22" w:rsidRPr="00BB5232">
              <w:t xml:space="preserve">The </w:t>
            </w:r>
            <w:r w:rsidR="00004E22">
              <w:rPr>
                <w:b/>
                <w:bCs/>
              </w:rPr>
              <w:t>collection of valid scientific evidence</w:t>
            </w:r>
            <w:r w:rsidR="00004E22" w:rsidRPr="0063407B">
              <w:t>, which may include evidence obtained through randomized placebo-controlled investigations, is necessary to determine the safety and effectiveness of particular interventions.</w:t>
            </w:r>
          </w:p>
          <w:p w14:paraId="27AFEC08" w14:textId="111ADE05" w:rsidR="00004E22" w:rsidRPr="00004E22" w:rsidRDefault="00004E22" w:rsidP="00004E22">
            <w:pPr>
              <w:widowControl w:val="0"/>
              <w:spacing w:before="60" w:after="60"/>
              <w:ind w:left="429"/>
              <w:rPr>
                <w:i/>
                <w:iCs/>
              </w:rPr>
            </w:pPr>
            <w:r>
              <w:rPr>
                <w:i/>
                <w:iCs/>
              </w:rPr>
              <w:t>21 CFR 50.24(a)(1); FDA-FAQ 27, 28</w:t>
            </w:r>
          </w:p>
        </w:tc>
        <w:tc>
          <w:tcPr>
            <w:tcW w:w="1121" w:type="dxa"/>
            <w:tcBorders>
              <w:bottom w:val="single" w:sz="4" w:space="0" w:color="auto"/>
            </w:tcBorders>
            <w:vAlign w:val="center"/>
          </w:tcPr>
          <w:p w14:paraId="22FEC9CC" w14:textId="3B93677B" w:rsidR="00004E22" w:rsidRDefault="00BA58AA" w:rsidP="00004E22">
            <w:pPr>
              <w:widowControl w:val="0"/>
              <w:jc w:val="center"/>
            </w:pPr>
            <w:sdt>
              <w:sdtPr>
                <w:id w:val="1600439529"/>
                <w14:checkbox>
                  <w14:checked w14:val="0"/>
                  <w14:checkedState w14:val="2612" w14:font="MS Gothic"/>
                  <w14:uncheckedState w14:val="2610" w14:font="MS Gothic"/>
                </w14:checkbox>
              </w:sdtPr>
              <w:sdtEndPr/>
              <w:sdtContent>
                <w:r w:rsidR="00004E22" w:rsidRPr="003E72A2">
                  <w:rPr>
                    <w:rFonts w:ascii="MS Gothic" w:eastAsia="MS Gothic" w:hAnsi="MS Gothic" w:hint="eastAsia"/>
                  </w:rPr>
                  <w:t>☐</w:t>
                </w:r>
              </w:sdtContent>
            </w:sdt>
          </w:p>
        </w:tc>
      </w:tr>
      <w:tr w:rsidR="0063407B" w14:paraId="1049B8BF" w14:textId="77777777" w:rsidTr="0063407B">
        <w:trPr>
          <w:trHeight w:val="323"/>
        </w:trPr>
        <w:tc>
          <w:tcPr>
            <w:tcW w:w="8809" w:type="dxa"/>
            <w:tcBorders>
              <w:right w:val="nil"/>
            </w:tcBorders>
            <w:shd w:val="clear" w:color="auto" w:fill="EBEBFF"/>
            <w:vAlign w:val="center"/>
          </w:tcPr>
          <w:p w14:paraId="4BA36EFF" w14:textId="77777777" w:rsidR="0063407B" w:rsidRDefault="0063407B" w:rsidP="00004E22">
            <w:pPr>
              <w:widowControl w:val="0"/>
              <w:spacing w:before="60" w:after="60"/>
              <w:ind w:left="429" w:hanging="450"/>
              <w:rPr>
                <w:b/>
                <w:bCs/>
              </w:rPr>
            </w:pPr>
            <w:r w:rsidRPr="5C862695">
              <w:rPr>
                <w:b/>
                <w:bCs/>
              </w:rPr>
              <w:t>+ Guidance</w:t>
            </w:r>
          </w:p>
          <w:p w14:paraId="30212EDF" w14:textId="77777777" w:rsidR="0063407B" w:rsidRDefault="0063407B" w:rsidP="0063407B">
            <w:pPr>
              <w:widowControl w:val="0"/>
              <w:spacing w:before="60" w:after="60"/>
              <w:ind w:left="159"/>
            </w:pPr>
            <w:r>
              <w:t xml:space="preserve">In virtually all studies, it is expected </w:t>
            </w:r>
            <w:r w:rsidR="007F38D3">
              <w:t xml:space="preserve">that when a placebo is used, standard of care (if any) would be given to all subjects, with subjects randomized additionally to </w:t>
            </w:r>
            <w:proofErr w:type="gramStart"/>
            <w:r w:rsidR="007F38D3">
              <w:t>receive</w:t>
            </w:r>
            <w:proofErr w:type="gramEnd"/>
            <w:r w:rsidR="007F38D3">
              <w:t xml:space="preserve"> either a test treatment or placebo. An exception to this would be the situation in which the study objective is to determine whether some </w:t>
            </w:r>
            <w:proofErr w:type="gramStart"/>
            <w:r w:rsidR="007F38D3">
              <w:t>aspect</w:t>
            </w:r>
            <w:proofErr w:type="gramEnd"/>
            <w:r w:rsidR="007F38D3">
              <w:t xml:space="preserve"> of the standard treatment is in fact useful. In that case, there would be a group that does not receive that aspect of the standard treatment.</w:t>
            </w:r>
          </w:p>
          <w:p w14:paraId="41082A7D" w14:textId="075A0F1B" w:rsidR="007F38D3" w:rsidRPr="0063407B" w:rsidRDefault="007F38D3" w:rsidP="0063407B">
            <w:pPr>
              <w:widowControl w:val="0"/>
              <w:spacing w:before="60" w:after="60"/>
              <w:ind w:left="159"/>
            </w:pPr>
            <w:r>
              <w:t>Non-inferiority trials are acceptable. This means that the study seeks to show that the test treatment is not materially worse that or inferior to the control treatment. For a non-inferiority trial to be informative, there needs to be clear data about the effectiveness of the control treatment (to make the study interpretable) and about known safety or other problems associated with the control treatment. Non-inferiority trials are generally used when a placebo-controlled trial would be unethical and where there are no data to suggest the new treatment would be more effective than the standard treatment.</w:t>
            </w:r>
          </w:p>
        </w:tc>
        <w:tc>
          <w:tcPr>
            <w:tcW w:w="1121" w:type="dxa"/>
            <w:tcBorders>
              <w:left w:val="nil"/>
            </w:tcBorders>
            <w:shd w:val="clear" w:color="auto" w:fill="EBEBFF"/>
            <w:vAlign w:val="center"/>
          </w:tcPr>
          <w:p w14:paraId="7152CB2F" w14:textId="77777777" w:rsidR="0063407B" w:rsidRDefault="0063407B" w:rsidP="00004E22">
            <w:pPr>
              <w:widowControl w:val="0"/>
              <w:jc w:val="center"/>
            </w:pPr>
          </w:p>
        </w:tc>
      </w:tr>
      <w:tr w:rsidR="00004E22" w14:paraId="7146D2F2" w14:textId="77777777" w:rsidTr="000D104E">
        <w:trPr>
          <w:trHeight w:val="323"/>
        </w:trPr>
        <w:tc>
          <w:tcPr>
            <w:tcW w:w="8809" w:type="dxa"/>
            <w:vAlign w:val="center"/>
          </w:tcPr>
          <w:p w14:paraId="59404AA7" w14:textId="01F623B8" w:rsidR="00004E22" w:rsidRDefault="007D045F" w:rsidP="00004E22">
            <w:pPr>
              <w:widowControl w:val="0"/>
              <w:spacing w:before="60" w:after="60"/>
              <w:ind w:left="429" w:hanging="450"/>
            </w:pPr>
            <w:r>
              <w:rPr>
                <w:b/>
                <w:bCs/>
              </w:rPr>
              <w:t>2</w:t>
            </w:r>
            <w:r w:rsidR="00004E22">
              <w:rPr>
                <w:b/>
                <w:bCs/>
              </w:rPr>
              <w:t xml:space="preserve">.4  </w:t>
            </w:r>
            <w:r w:rsidR="00004E22" w:rsidRPr="000D104E">
              <w:t>The research plan defines the</w:t>
            </w:r>
            <w:r w:rsidR="00004E22">
              <w:rPr>
                <w:b/>
                <w:bCs/>
              </w:rPr>
              <w:t xml:space="preserve"> length of the therapeutic window </w:t>
            </w:r>
            <w:r w:rsidR="00004E22" w:rsidRPr="000D104E">
              <w:t>based on scientific evidence.</w:t>
            </w:r>
          </w:p>
          <w:p w14:paraId="736FF84E" w14:textId="0EDFA073" w:rsidR="00004E22" w:rsidRPr="00004E22" w:rsidRDefault="00004E22" w:rsidP="00004E22">
            <w:pPr>
              <w:widowControl w:val="0"/>
              <w:spacing w:before="60" w:after="60"/>
              <w:ind w:left="429"/>
              <w:rPr>
                <w:i/>
                <w:iCs/>
              </w:rPr>
            </w:pPr>
            <w:r>
              <w:rPr>
                <w:i/>
                <w:iCs/>
              </w:rPr>
              <w:t>21 CFR 50.24(a)(5); FDA-FAQ 34-36, 43</w:t>
            </w:r>
          </w:p>
        </w:tc>
        <w:tc>
          <w:tcPr>
            <w:tcW w:w="1121" w:type="dxa"/>
            <w:tcBorders>
              <w:bottom w:val="single" w:sz="4" w:space="0" w:color="auto"/>
            </w:tcBorders>
            <w:vAlign w:val="center"/>
          </w:tcPr>
          <w:p w14:paraId="2995C22C" w14:textId="5A3E10CB" w:rsidR="00004E22" w:rsidRDefault="00BA58AA" w:rsidP="00004E22">
            <w:pPr>
              <w:widowControl w:val="0"/>
              <w:jc w:val="center"/>
            </w:pPr>
            <w:sdt>
              <w:sdtPr>
                <w:id w:val="1105927490"/>
                <w14:checkbox>
                  <w14:checked w14:val="0"/>
                  <w14:checkedState w14:val="2612" w14:font="MS Gothic"/>
                  <w14:uncheckedState w14:val="2610" w14:font="MS Gothic"/>
                </w14:checkbox>
              </w:sdtPr>
              <w:sdtEndPr/>
              <w:sdtContent>
                <w:r w:rsidR="00004E22" w:rsidRPr="003E72A2">
                  <w:rPr>
                    <w:rFonts w:ascii="MS Gothic" w:eastAsia="MS Gothic" w:hAnsi="MS Gothic" w:hint="eastAsia"/>
                  </w:rPr>
                  <w:t>☐</w:t>
                </w:r>
              </w:sdtContent>
            </w:sdt>
          </w:p>
        </w:tc>
      </w:tr>
      <w:tr w:rsidR="000D104E" w14:paraId="62F4FC5B" w14:textId="77777777" w:rsidTr="000D104E">
        <w:trPr>
          <w:trHeight w:val="323"/>
        </w:trPr>
        <w:tc>
          <w:tcPr>
            <w:tcW w:w="8809" w:type="dxa"/>
            <w:tcBorders>
              <w:right w:val="nil"/>
            </w:tcBorders>
            <w:shd w:val="clear" w:color="auto" w:fill="EBEBFF"/>
            <w:vAlign w:val="center"/>
          </w:tcPr>
          <w:p w14:paraId="7584C424" w14:textId="77777777" w:rsidR="000D104E" w:rsidRDefault="000D104E" w:rsidP="000D104E">
            <w:pPr>
              <w:widowControl w:val="0"/>
              <w:spacing w:before="60" w:after="60"/>
              <w:ind w:left="429" w:hanging="450"/>
              <w:rPr>
                <w:b/>
                <w:bCs/>
              </w:rPr>
            </w:pPr>
            <w:r w:rsidRPr="5C862695">
              <w:rPr>
                <w:b/>
                <w:bCs/>
              </w:rPr>
              <w:t>+ Guidance</w:t>
            </w:r>
          </w:p>
          <w:p w14:paraId="7F82CAE7" w14:textId="77777777" w:rsidR="000D104E" w:rsidRDefault="000D104E" w:rsidP="000D104E">
            <w:pPr>
              <w:widowControl w:val="0"/>
              <w:spacing w:before="60" w:after="60"/>
              <w:ind w:left="159"/>
            </w:pPr>
            <w:r>
              <w:t>“Therapeutic window” means the time period after onset of the event, based on available scientific evidence, within which the product or procedure must be used or administered to have its potential clinical effect (diagnostic or therapeutic).</w:t>
            </w:r>
          </w:p>
          <w:p w14:paraId="6C1DC38B" w14:textId="77777777" w:rsidR="000D104E" w:rsidRDefault="000D104E" w:rsidP="000D104E">
            <w:pPr>
              <w:widowControl w:val="0"/>
              <w:spacing w:before="60" w:after="60"/>
              <w:ind w:left="159"/>
            </w:pPr>
            <w:r>
              <w:t xml:space="preserve">The therapeutic window for some emergency research may be very brief, or, in some cases, </w:t>
            </w:r>
            <w:r>
              <w:lastRenderedPageBreak/>
              <w:t>almost non-existent.</w:t>
            </w:r>
          </w:p>
          <w:p w14:paraId="65063DC1" w14:textId="77777777" w:rsidR="000D104E" w:rsidRDefault="000D104E" w:rsidP="000D104E">
            <w:pPr>
              <w:widowControl w:val="0"/>
              <w:spacing w:before="60" w:after="60"/>
              <w:ind w:left="159"/>
            </w:pPr>
            <w:r>
              <w:t>The sponsor is required to determine the therapeutic window, to the extent possible, using available data (e.g., pathophysiological data, animal data).</w:t>
            </w:r>
          </w:p>
          <w:p w14:paraId="21C0EC2F" w14:textId="433806D6" w:rsidR="0021380F" w:rsidRPr="000D104E" w:rsidRDefault="0021380F" w:rsidP="000D104E">
            <w:pPr>
              <w:widowControl w:val="0"/>
              <w:spacing w:before="60" w:after="60"/>
              <w:ind w:left="159"/>
            </w:pPr>
            <w:r>
              <w:t xml:space="preserve">Review </w:t>
            </w:r>
            <w:hyperlink w:anchor="LARtherapeutic" w:history="1">
              <w:r w:rsidRPr="00BB5232">
                <w:rPr>
                  <w:rStyle w:val="Hyperlink"/>
                </w:rPr>
                <w:t>5.1</w:t>
              </w:r>
            </w:hyperlink>
            <w:r>
              <w:t xml:space="preserve"> for a discussion of the relationship between the length of the therapeutic window and the time spent on attempting to contact a LAR or family member.</w:t>
            </w:r>
          </w:p>
        </w:tc>
        <w:tc>
          <w:tcPr>
            <w:tcW w:w="1121" w:type="dxa"/>
            <w:tcBorders>
              <w:left w:val="nil"/>
            </w:tcBorders>
            <w:shd w:val="clear" w:color="auto" w:fill="EBEBFF"/>
            <w:vAlign w:val="center"/>
          </w:tcPr>
          <w:p w14:paraId="01317F80" w14:textId="77777777" w:rsidR="000D104E" w:rsidRDefault="000D104E" w:rsidP="00004E22">
            <w:pPr>
              <w:widowControl w:val="0"/>
              <w:jc w:val="center"/>
            </w:pPr>
          </w:p>
        </w:tc>
      </w:tr>
      <w:tr w:rsidR="007A21EB" w14:paraId="7A0768C1" w14:textId="77777777" w:rsidTr="00664350">
        <w:trPr>
          <w:trHeight w:val="323"/>
        </w:trPr>
        <w:tc>
          <w:tcPr>
            <w:tcW w:w="8809" w:type="dxa"/>
            <w:vAlign w:val="center"/>
          </w:tcPr>
          <w:p w14:paraId="7D157303" w14:textId="4FBFDD6C" w:rsidR="007A21EB" w:rsidRDefault="007D045F" w:rsidP="00004E22">
            <w:pPr>
              <w:widowControl w:val="0"/>
              <w:spacing w:before="60" w:after="60"/>
              <w:ind w:left="429" w:hanging="450"/>
            </w:pPr>
            <w:r>
              <w:rPr>
                <w:b/>
                <w:bCs/>
              </w:rPr>
              <w:t>2</w:t>
            </w:r>
            <w:r w:rsidR="007A21EB">
              <w:rPr>
                <w:b/>
                <w:bCs/>
              </w:rPr>
              <w:t xml:space="preserve">.5  </w:t>
            </w:r>
            <w:r w:rsidR="007A21EB" w:rsidRPr="009A33B3">
              <w:t>For research involving a drug or device: the researcher has obtained a separate</w:t>
            </w:r>
            <w:r w:rsidR="007A21EB">
              <w:rPr>
                <w:b/>
                <w:bCs/>
              </w:rPr>
              <w:t xml:space="preserve"> investigational new drug application (IND) or investigational device exemption (IDE)</w:t>
            </w:r>
            <w:r w:rsidR="007A21EB" w:rsidRPr="009A33B3">
              <w:t xml:space="preserve"> from the Food and Drug Administration that clearly identifies the research as a study that may include subjects who are unable to consent.</w:t>
            </w:r>
            <w:r w:rsidR="007A21EB">
              <w:rPr>
                <w:b/>
                <w:bCs/>
              </w:rPr>
              <w:t xml:space="preserve"> </w:t>
            </w:r>
            <w:r w:rsidR="009A33B3" w:rsidRPr="00BA58AA">
              <w:t>(check ‘met’ if n/a)</w:t>
            </w:r>
          </w:p>
          <w:p w14:paraId="07EB1D37" w14:textId="38235E0A" w:rsidR="007A21EB" w:rsidRPr="007A21EB" w:rsidRDefault="007A21EB" w:rsidP="007A21EB">
            <w:pPr>
              <w:widowControl w:val="0"/>
              <w:spacing w:before="60" w:after="60"/>
              <w:ind w:left="429"/>
              <w:rPr>
                <w:i/>
                <w:iCs/>
              </w:rPr>
            </w:pPr>
            <w:r>
              <w:rPr>
                <w:i/>
                <w:iCs/>
              </w:rPr>
              <w:t>21 CFR 50.24(d)</w:t>
            </w:r>
          </w:p>
        </w:tc>
        <w:tc>
          <w:tcPr>
            <w:tcW w:w="1121" w:type="dxa"/>
            <w:tcBorders>
              <w:bottom w:val="single" w:sz="4" w:space="0" w:color="auto"/>
            </w:tcBorders>
            <w:vAlign w:val="center"/>
          </w:tcPr>
          <w:p w14:paraId="61CC69E5" w14:textId="7E538DBC" w:rsidR="007A21EB" w:rsidRPr="003E72A2" w:rsidRDefault="00BA58AA" w:rsidP="00004E22">
            <w:pPr>
              <w:widowControl w:val="0"/>
              <w:jc w:val="center"/>
            </w:pPr>
            <w:sdt>
              <w:sdtPr>
                <w:id w:val="965237855"/>
                <w14:checkbox>
                  <w14:checked w14:val="0"/>
                  <w14:checkedState w14:val="2612" w14:font="MS Gothic"/>
                  <w14:uncheckedState w14:val="2610" w14:font="MS Gothic"/>
                </w14:checkbox>
              </w:sdtPr>
              <w:sdtEndPr/>
              <w:sdtContent>
                <w:r w:rsidR="00973998" w:rsidRPr="003E72A2">
                  <w:rPr>
                    <w:rFonts w:ascii="MS Gothic" w:eastAsia="MS Gothic" w:hAnsi="MS Gothic" w:hint="eastAsia"/>
                  </w:rPr>
                  <w:t>☐</w:t>
                </w:r>
              </w:sdtContent>
            </w:sdt>
          </w:p>
        </w:tc>
      </w:tr>
      <w:tr w:rsidR="00664350" w14:paraId="12574A00" w14:textId="77777777" w:rsidTr="00664350">
        <w:trPr>
          <w:trHeight w:val="323"/>
        </w:trPr>
        <w:tc>
          <w:tcPr>
            <w:tcW w:w="8809" w:type="dxa"/>
            <w:tcBorders>
              <w:right w:val="nil"/>
            </w:tcBorders>
            <w:shd w:val="clear" w:color="auto" w:fill="EBEBFF"/>
            <w:vAlign w:val="center"/>
          </w:tcPr>
          <w:p w14:paraId="358CBADF" w14:textId="77777777" w:rsidR="00664350" w:rsidRDefault="00664350" w:rsidP="00664350">
            <w:pPr>
              <w:widowControl w:val="0"/>
              <w:spacing w:before="60" w:after="60"/>
              <w:ind w:left="429" w:hanging="450"/>
              <w:rPr>
                <w:b/>
                <w:bCs/>
              </w:rPr>
            </w:pPr>
            <w:r w:rsidRPr="5C862695">
              <w:rPr>
                <w:b/>
                <w:bCs/>
              </w:rPr>
              <w:t>+ Guidance</w:t>
            </w:r>
          </w:p>
          <w:p w14:paraId="07AD2550" w14:textId="78B9E0AD" w:rsidR="00664350" w:rsidRPr="00664350" w:rsidRDefault="00664350" w:rsidP="00664350">
            <w:pPr>
              <w:widowControl w:val="0"/>
              <w:spacing w:before="60" w:after="60"/>
              <w:ind w:left="159"/>
            </w:pPr>
            <w:r>
              <w:t xml:space="preserve">This is required even if an IND for the same drug product or an IDE for the same device already exists. </w:t>
            </w:r>
          </w:p>
        </w:tc>
        <w:tc>
          <w:tcPr>
            <w:tcW w:w="1121" w:type="dxa"/>
            <w:tcBorders>
              <w:left w:val="nil"/>
            </w:tcBorders>
            <w:shd w:val="clear" w:color="auto" w:fill="EBEBFF"/>
            <w:vAlign w:val="center"/>
          </w:tcPr>
          <w:p w14:paraId="187D19E6" w14:textId="77777777" w:rsidR="00664350" w:rsidRDefault="00664350" w:rsidP="00004E22">
            <w:pPr>
              <w:widowControl w:val="0"/>
              <w:jc w:val="center"/>
            </w:pPr>
          </w:p>
        </w:tc>
      </w:tr>
    </w:tbl>
    <w:p w14:paraId="5D38EB65" w14:textId="77777777" w:rsidR="003B6472" w:rsidRDefault="003B6472" w:rsidP="003B6472">
      <w:pPr>
        <w:pStyle w:val="ListParagraph"/>
        <w:widowControl w:val="0"/>
        <w:ind w:left="90"/>
      </w:pPr>
    </w:p>
    <w:tbl>
      <w:tblPr>
        <w:tblStyle w:val="TableGrid"/>
        <w:tblW w:w="0" w:type="auto"/>
        <w:tblInd w:w="85" w:type="dxa"/>
        <w:tblLook w:val="04A0" w:firstRow="1" w:lastRow="0" w:firstColumn="1" w:lastColumn="0" w:noHBand="0" w:noVBand="1"/>
      </w:tblPr>
      <w:tblGrid>
        <w:gridCol w:w="8809"/>
        <w:gridCol w:w="1121"/>
      </w:tblGrid>
      <w:tr w:rsidR="003B6472" w14:paraId="14A39633" w14:textId="77777777" w:rsidTr="00597953">
        <w:trPr>
          <w:trHeight w:val="323"/>
        </w:trPr>
        <w:tc>
          <w:tcPr>
            <w:tcW w:w="8809" w:type="dxa"/>
            <w:shd w:val="clear" w:color="auto" w:fill="33006F"/>
            <w:vAlign w:val="center"/>
          </w:tcPr>
          <w:p w14:paraId="6BAB7A19" w14:textId="2952C2A9" w:rsidR="003B6472" w:rsidRPr="00C7566E" w:rsidRDefault="003B6472" w:rsidP="00D12635">
            <w:pPr>
              <w:pStyle w:val="ListParagraph"/>
              <w:widowControl w:val="0"/>
              <w:numPr>
                <w:ilvl w:val="0"/>
                <w:numId w:val="29"/>
              </w:numPr>
              <w:spacing w:before="60" w:after="60"/>
              <w:rPr>
                <w:b/>
                <w:bCs/>
                <w:color w:val="FFFFFF" w:themeColor="background1"/>
              </w:rPr>
            </w:pPr>
            <w:r>
              <w:rPr>
                <w:b/>
                <w:bCs/>
                <w:color w:val="FFFFFF" w:themeColor="background1"/>
              </w:rPr>
              <w:t>BENEFIT AND RISK</w:t>
            </w:r>
          </w:p>
        </w:tc>
        <w:tc>
          <w:tcPr>
            <w:tcW w:w="1121" w:type="dxa"/>
            <w:tcBorders>
              <w:bottom w:val="single" w:sz="4" w:space="0" w:color="auto"/>
            </w:tcBorders>
            <w:shd w:val="clear" w:color="auto" w:fill="33006F"/>
            <w:vAlign w:val="center"/>
          </w:tcPr>
          <w:p w14:paraId="2C780D51" w14:textId="77777777" w:rsidR="003B6472" w:rsidRPr="00C7566E" w:rsidRDefault="003B6472" w:rsidP="00D12635">
            <w:pPr>
              <w:widowControl w:val="0"/>
              <w:jc w:val="center"/>
              <w:rPr>
                <w:b/>
                <w:bCs/>
              </w:rPr>
            </w:pPr>
            <w:r>
              <w:rPr>
                <w:b/>
                <w:bCs/>
              </w:rPr>
              <w:t>Met</w:t>
            </w:r>
          </w:p>
        </w:tc>
      </w:tr>
      <w:tr w:rsidR="003B6472" w14:paraId="0DE96649" w14:textId="77777777" w:rsidTr="00597953">
        <w:trPr>
          <w:trHeight w:val="323"/>
        </w:trPr>
        <w:tc>
          <w:tcPr>
            <w:tcW w:w="8809" w:type="dxa"/>
            <w:tcBorders>
              <w:right w:val="nil"/>
            </w:tcBorders>
            <w:vAlign w:val="center"/>
          </w:tcPr>
          <w:p w14:paraId="5AF1D30F" w14:textId="30AC386C" w:rsidR="003B6472" w:rsidRPr="0006195E" w:rsidRDefault="003B6472" w:rsidP="003B6472">
            <w:pPr>
              <w:widowControl w:val="0"/>
              <w:spacing w:before="60" w:after="60"/>
              <w:ind w:left="429" w:hanging="450"/>
              <w:rPr>
                <w:i/>
                <w:iCs/>
              </w:rPr>
            </w:pPr>
            <w:r>
              <w:rPr>
                <w:b/>
                <w:bCs/>
              </w:rPr>
              <w:t>3</w:t>
            </w:r>
            <w:r w:rsidRPr="0006195E">
              <w:rPr>
                <w:b/>
                <w:bCs/>
              </w:rPr>
              <w:t xml:space="preserve">.1   </w:t>
            </w:r>
            <w:r w:rsidRPr="009A33B3">
              <w:t>Participation in the research holds out the</w:t>
            </w:r>
            <w:r>
              <w:rPr>
                <w:b/>
                <w:bCs/>
              </w:rPr>
              <w:t xml:space="preserve"> </w:t>
            </w:r>
            <w:hyperlink r:id="rId12" w:history="1">
              <w:r w:rsidRPr="009A33B3">
                <w:rPr>
                  <w:rStyle w:val="Hyperlink"/>
                  <w:b/>
                  <w:bCs/>
                </w:rPr>
                <w:t>prospect of direct benefit</w:t>
              </w:r>
            </w:hyperlink>
            <w:r>
              <w:rPr>
                <w:b/>
                <w:bCs/>
              </w:rPr>
              <w:t xml:space="preserve"> </w:t>
            </w:r>
            <w:r w:rsidRPr="009A33B3">
              <w:t>to the subject because</w:t>
            </w:r>
            <w:r w:rsidR="00FA585B">
              <w:t xml:space="preserve"> </w:t>
            </w:r>
            <w:r w:rsidR="00FA585B">
              <w:rPr>
                <w:b/>
                <w:bCs/>
              </w:rPr>
              <w:t>all of the following are true:</w:t>
            </w:r>
          </w:p>
        </w:tc>
        <w:tc>
          <w:tcPr>
            <w:tcW w:w="1121" w:type="dxa"/>
            <w:tcBorders>
              <w:left w:val="nil"/>
            </w:tcBorders>
            <w:vAlign w:val="center"/>
          </w:tcPr>
          <w:p w14:paraId="0A3AD426" w14:textId="3A44579C" w:rsidR="003B6472" w:rsidRDefault="003B6472" w:rsidP="00D12635">
            <w:pPr>
              <w:widowControl w:val="0"/>
              <w:jc w:val="center"/>
            </w:pPr>
          </w:p>
        </w:tc>
      </w:tr>
      <w:tr w:rsidR="003B6472" w14:paraId="691D93B8" w14:textId="77777777" w:rsidTr="009A33B3">
        <w:trPr>
          <w:trHeight w:val="323"/>
        </w:trPr>
        <w:tc>
          <w:tcPr>
            <w:tcW w:w="8809" w:type="dxa"/>
            <w:vAlign w:val="center"/>
          </w:tcPr>
          <w:p w14:paraId="4E05C600" w14:textId="5D58350B" w:rsidR="003B6472" w:rsidRPr="00796083" w:rsidRDefault="003B6472" w:rsidP="003B6472">
            <w:pPr>
              <w:widowControl w:val="0"/>
              <w:spacing w:before="60" w:after="60"/>
              <w:ind w:left="1059" w:hanging="450"/>
            </w:pPr>
            <w:r>
              <w:rPr>
                <w:b/>
                <w:bCs/>
              </w:rPr>
              <w:t xml:space="preserve">a.     </w:t>
            </w:r>
            <w:r w:rsidRPr="00796083">
              <w:t>Subjects are facing a</w:t>
            </w:r>
            <w:r>
              <w:rPr>
                <w:b/>
                <w:bCs/>
              </w:rPr>
              <w:t xml:space="preserve"> </w:t>
            </w:r>
            <w:hyperlink w:anchor="lifethreat" w:history="1">
              <w:r w:rsidRPr="00796083">
                <w:rPr>
                  <w:rStyle w:val="Hyperlink"/>
                  <w:b/>
                  <w:bCs/>
                </w:rPr>
                <w:t>life-threatening</w:t>
              </w:r>
            </w:hyperlink>
            <w:r>
              <w:rPr>
                <w:b/>
                <w:bCs/>
              </w:rPr>
              <w:t xml:space="preserve"> </w:t>
            </w:r>
            <w:r w:rsidRPr="00796083">
              <w:t>situation that necessitates intervention.</w:t>
            </w:r>
          </w:p>
          <w:p w14:paraId="4E89D2C7" w14:textId="78E92F6B" w:rsidR="003B6472" w:rsidRPr="00004E22" w:rsidRDefault="003B6472" w:rsidP="003B6472">
            <w:pPr>
              <w:widowControl w:val="0"/>
              <w:spacing w:before="60" w:after="60"/>
              <w:ind w:left="1059"/>
              <w:rPr>
                <w:i/>
                <w:iCs/>
              </w:rPr>
            </w:pPr>
            <w:r>
              <w:rPr>
                <w:i/>
                <w:iCs/>
              </w:rPr>
              <w:t>21 CFR 50.24(a)(1); 21 CFR 50.24(a)(3)(i)</w:t>
            </w:r>
          </w:p>
        </w:tc>
        <w:tc>
          <w:tcPr>
            <w:tcW w:w="1121" w:type="dxa"/>
            <w:tcBorders>
              <w:bottom w:val="single" w:sz="4" w:space="0" w:color="auto"/>
            </w:tcBorders>
            <w:vAlign w:val="center"/>
          </w:tcPr>
          <w:p w14:paraId="186801E6" w14:textId="77777777" w:rsidR="003B6472" w:rsidRDefault="00BA58AA" w:rsidP="00D12635">
            <w:pPr>
              <w:widowControl w:val="0"/>
              <w:jc w:val="center"/>
            </w:pPr>
            <w:sdt>
              <w:sdtPr>
                <w:id w:val="-621155244"/>
                <w14:checkbox>
                  <w14:checked w14:val="0"/>
                  <w14:checkedState w14:val="2612" w14:font="MS Gothic"/>
                  <w14:uncheckedState w14:val="2610" w14:font="MS Gothic"/>
                </w14:checkbox>
              </w:sdtPr>
              <w:sdtEndPr/>
              <w:sdtContent>
                <w:r w:rsidR="003B6472" w:rsidRPr="003E72A2">
                  <w:rPr>
                    <w:rFonts w:ascii="MS Gothic" w:eastAsia="MS Gothic" w:hAnsi="MS Gothic" w:hint="eastAsia"/>
                  </w:rPr>
                  <w:t>☐</w:t>
                </w:r>
              </w:sdtContent>
            </w:sdt>
          </w:p>
        </w:tc>
      </w:tr>
      <w:tr w:rsidR="003B6472" w14:paraId="222ED2CB" w14:textId="77777777" w:rsidTr="00796083">
        <w:trPr>
          <w:trHeight w:val="323"/>
        </w:trPr>
        <w:tc>
          <w:tcPr>
            <w:tcW w:w="8809" w:type="dxa"/>
            <w:vAlign w:val="center"/>
          </w:tcPr>
          <w:p w14:paraId="2EB8D868" w14:textId="50EA8106" w:rsidR="003B6472" w:rsidRDefault="003B6472" w:rsidP="003B6472">
            <w:pPr>
              <w:widowControl w:val="0"/>
              <w:spacing w:before="60" w:after="60"/>
              <w:ind w:left="1059" w:hanging="450"/>
            </w:pPr>
            <w:r>
              <w:rPr>
                <w:b/>
                <w:bCs/>
              </w:rPr>
              <w:t xml:space="preserve">b.     </w:t>
            </w:r>
            <w:r w:rsidRPr="00796083">
              <w:t xml:space="preserve">Appropriate </w:t>
            </w:r>
            <w:r>
              <w:rPr>
                <w:b/>
                <w:bCs/>
              </w:rPr>
              <w:t xml:space="preserve">animal studies and other pre-clinical studies </w:t>
            </w:r>
            <w:r w:rsidRPr="00796083">
              <w:t>have been conducted, and the information derived from those studies and other evidence supports the potential for intervention to provide direct benefit to the individual subjects.</w:t>
            </w:r>
          </w:p>
          <w:p w14:paraId="0452CA1A" w14:textId="282DDFA2" w:rsidR="003B6472" w:rsidRPr="00004E22" w:rsidRDefault="003B6472" w:rsidP="003B6472">
            <w:pPr>
              <w:widowControl w:val="0"/>
              <w:spacing w:before="60" w:after="60"/>
              <w:ind w:left="1059"/>
              <w:rPr>
                <w:i/>
                <w:iCs/>
              </w:rPr>
            </w:pPr>
            <w:r>
              <w:rPr>
                <w:i/>
                <w:iCs/>
              </w:rPr>
              <w:t>21 CFR 50.24(a)(3)(ii); FDA-FAQ 13, 14, 22</w:t>
            </w:r>
          </w:p>
        </w:tc>
        <w:tc>
          <w:tcPr>
            <w:tcW w:w="1121" w:type="dxa"/>
            <w:tcBorders>
              <w:bottom w:val="single" w:sz="4" w:space="0" w:color="auto"/>
            </w:tcBorders>
            <w:vAlign w:val="center"/>
          </w:tcPr>
          <w:p w14:paraId="77200363" w14:textId="77777777" w:rsidR="003B6472" w:rsidRDefault="00BA58AA" w:rsidP="00D12635">
            <w:pPr>
              <w:widowControl w:val="0"/>
              <w:jc w:val="center"/>
            </w:pPr>
            <w:sdt>
              <w:sdtPr>
                <w:id w:val="-1238321212"/>
                <w14:checkbox>
                  <w14:checked w14:val="0"/>
                  <w14:checkedState w14:val="2612" w14:font="MS Gothic"/>
                  <w14:uncheckedState w14:val="2610" w14:font="MS Gothic"/>
                </w14:checkbox>
              </w:sdtPr>
              <w:sdtEndPr/>
              <w:sdtContent>
                <w:r w:rsidR="003B6472" w:rsidRPr="003E72A2">
                  <w:rPr>
                    <w:rFonts w:ascii="MS Gothic" w:eastAsia="MS Gothic" w:hAnsi="MS Gothic" w:hint="eastAsia"/>
                  </w:rPr>
                  <w:t>☐</w:t>
                </w:r>
              </w:sdtContent>
            </w:sdt>
          </w:p>
        </w:tc>
      </w:tr>
      <w:tr w:rsidR="00796083" w14:paraId="49F12AF3" w14:textId="77777777" w:rsidTr="00796083">
        <w:trPr>
          <w:trHeight w:val="323"/>
        </w:trPr>
        <w:tc>
          <w:tcPr>
            <w:tcW w:w="8809" w:type="dxa"/>
            <w:tcBorders>
              <w:right w:val="nil"/>
            </w:tcBorders>
            <w:shd w:val="clear" w:color="auto" w:fill="EBEBFF"/>
            <w:vAlign w:val="center"/>
          </w:tcPr>
          <w:p w14:paraId="118019E1" w14:textId="77777777" w:rsidR="00796083" w:rsidRDefault="00796083" w:rsidP="009A33B3">
            <w:pPr>
              <w:widowControl w:val="0"/>
              <w:spacing w:before="60" w:after="60"/>
              <w:ind w:left="1059" w:hanging="450"/>
              <w:rPr>
                <w:b/>
                <w:bCs/>
              </w:rPr>
            </w:pPr>
            <w:r w:rsidRPr="5C862695">
              <w:rPr>
                <w:b/>
                <w:bCs/>
              </w:rPr>
              <w:t>+ Guidance</w:t>
            </w:r>
          </w:p>
          <w:p w14:paraId="0991F181" w14:textId="040538D4" w:rsidR="00796083" w:rsidRPr="00796083" w:rsidRDefault="00796083" w:rsidP="009A33B3">
            <w:pPr>
              <w:widowControl w:val="0"/>
              <w:spacing w:before="60" w:after="60"/>
              <w:ind w:left="789"/>
            </w:pPr>
            <w:r>
              <w:t xml:space="preserve">Note that there is no requirement that a study be a Phase 1, Phase 2, or Phase 3 study. However, most Phase 1 studies would not generally meet the criterion of direct benefit (review 3.1.c below). To establish potential benefits, Phase 2 trials in consenting subjects (if possible) may be needed to explore dose response for safety or biomarkers before research involving the consent exception. However, feasibility/pilot trial </w:t>
            </w:r>
            <w:r>
              <w:rPr>
                <w:b/>
                <w:bCs/>
              </w:rPr>
              <w:t>can</w:t>
            </w:r>
            <w:r>
              <w:t xml:space="preserve"> be conducted with devices, provided the study holds out the prospect of direct benefit. </w:t>
            </w:r>
          </w:p>
        </w:tc>
        <w:tc>
          <w:tcPr>
            <w:tcW w:w="1121" w:type="dxa"/>
            <w:tcBorders>
              <w:left w:val="nil"/>
            </w:tcBorders>
            <w:shd w:val="clear" w:color="auto" w:fill="EBEBFF"/>
            <w:vAlign w:val="center"/>
          </w:tcPr>
          <w:p w14:paraId="3EEA9F61" w14:textId="77777777" w:rsidR="00796083" w:rsidRDefault="00796083" w:rsidP="00D12635">
            <w:pPr>
              <w:widowControl w:val="0"/>
              <w:jc w:val="center"/>
            </w:pPr>
          </w:p>
        </w:tc>
      </w:tr>
      <w:tr w:rsidR="003B6472" w14:paraId="131A29F0" w14:textId="77777777" w:rsidTr="00D12635">
        <w:trPr>
          <w:trHeight w:val="323"/>
        </w:trPr>
        <w:tc>
          <w:tcPr>
            <w:tcW w:w="8809" w:type="dxa"/>
            <w:vAlign w:val="center"/>
          </w:tcPr>
          <w:p w14:paraId="795989E3" w14:textId="058223D0" w:rsidR="003B6472" w:rsidRDefault="003B6472" w:rsidP="003B6472">
            <w:pPr>
              <w:widowControl w:val="0"/>
              <w:spacing w:before="60" w:after="60"/>
              <w:ind w:left="1059" w:hanging="450"/>
            </w:pPr>
            <w:r>
              <w:rPr>
                <w:b/>
                <w:bCs/>
              </w:rPr>
              <w:t xml:space="preserve">c.      Risks associated with the research are reasonable </w:t>
            </w:r>
            <w:r w:rsidRPr="00794257">
              <w:t xml:space="preserve">in relation to what is known about the medical condition of the potential class of subjects, the </w:t>
            </w:r>
            <w:proofErr w:type="gramStart"/>
            <w:r w:rsidRPr="00794257">
              <w:t>risks</w:t>
            </w:r>
            <w:proofErr w:type="gramEnd"/>
            <w:r w:rsidRPr="00794257">
              <w:t xml:space="preserve"> and benefits of standard therapy, and what is known about the risks and benefits of the intervention.</w:t>
            </w:r>
          </w:p>
          <w:p w14:paraId="7B0BC8FD" w14:textId="5F1AF6CA" w:rsidR="003B6472" w:rsidRPr="00004E22" w:rsidRDefault="003B6472" w:rsidP="003B6472">
            <w:pPr>
              <w:widowControl w:val="0"/>
              <w:spacing w:before="60" w:after="60"/>
              <w:ind w:left="1059"/>
              <w:rPr>
                <w:i/>
                <w:iCs/>
              </w:rPr>
            </w:pPr>
            <w:r>
              <w:rPr>
                <w:i/>
                <w:iCs/>
              </w:rPr>
              <w:t>21 CFR 50.24(a)(3)(iii)</w:t>
            </w:r>
          </w:p>
        </w:tc>
        <w:tc>
          <w:tcPr>
            <w:tcW w:w="1121" w:type="dxa"/>
            <w:vAlign w:val="center"/>
          </w:tcPr>
          <w:p w14:paraId="0E2A981C" w14:textId="77777777" w:rsidR="003B6472" w:rsidRDefault="00BA58AA" w:rsidP="00D12635">
            <w:pPr>
              <w:widowControl w:val="0"/>
              <w:jc w:val="center"/>
            </w:pPr>
            <w:sdt>
              <w:sdtPr>
                <w:id w:val="1242215851"/>
                <w14:checkbox>
                  <w14:checked w14:val="0"/>
                  <w14:checkedState w14:val="2612" w14:font="MS Gothic"/>
                  <w14:uncheckedState w14:val="2610" w14:font="MS Gothic"/>
                </w14:checkbox>
              </w:sdtPr>
              <w:sdtEndPr/>
              <w:sdtContent>
                <w:r w:rsidR="003B6472" w:rsidRPr="003E72A2">
                  <w:rPr>
                    <w:rFonts w:ascii="MS Gothic" w:eastAsia="MS Gothic" w:hAnsi="MS Gothic" w:hint="eastAsia"/>
                  </w:rPr>
                  <w:t>☐</w:t>
                </w:r>
              </w:sdtContent>
            </w:sdt>
          </w:p>
        </w:tc>
      </w:tr>
      <w:tr w:rsidR="007D045F" w14:paraId="58854417" w14:textId="77777777" w:rsidTr="00D12635">
        <w:trPr>
          <w:trHeight w:val="323"/>
        </w:trPr>
        <w:tc>
          <w:tcPr>
            <w:tcW w:w="8809" w:type="dxa"/>
            <w:shd w:val="clear" w:color="auto" w:fill="33006F"/>
            <w:vAlign w:val="center"/>
          </w:tcPr>
          <w:p w14:paraId="1B9E1741" w14:textId="13CD9223" w:rsidR="007D045F" w:rsidRPr="00C7566E" w:rsidRDefault="007D045F" w:rsidP="00D12635">
            <w:pPr>
              <w:pStyle w:val="ListParagraph"/>
              <w:widowControl w:val="0"/>
              <w:numPr>
                <w:ilvl w:val="0"/>
                <w:numId w:val="29"/>
              </w:numPr>
              <w:spacing w:before="60" w:after="60"/>
              <w:rPr>
                <w:b/>
                <w:bCs/>
                <w:color w:val="FFFFFF" w:themeColor="background1"/>
              </w:rPr>
            </w:pPr>
            <w:r>
              <w:rPr>
                <w:b/>
                <w:bCs/>
                <w:color w:val="FFFFFF" w:themeColor="background1"/>
              </w:rPr>
              <w:t xml:space="preserve">CONSENT OR OBJECTION </w:t>
            </w:r>
            <w:r>
              <w:rPr>
                <w:color w:val="FFFFFF" w:themeColor="background1"/>
              </w:rPr>
              <w:t>(when it is obtained)</w:t>
            </w:r>
          </w:p>
        </w:tc>
        <w:tc>
          <w:tcPr>
            <w:tcW w:w="1121" w:type="dxa"/>
            <w:shd w:val="clear" w:color="auto" w:fill="33006F"/>
            <w:vAlign w:val="center"/>
          </w:tcPr>
          <w:p w14:paraId="1AEEDC47" w14:textId="77777777" w:rsidR="007D045F" w:rsidRPr="00C7566E" w:rsidRDefault="007D045F" w:rsidP="00D12635">
            <w:pPr>
              <w:widowControl w:val="0"/>
              <w:jc w:val="center"/>
              <w:rPr>
                <w:b/>
                <w:bCs/>
              </w:rPr>
            </w:pPr>
            <w:r>
              <w:rPr>
                <w:b/>
                <w:bCs/>
              </w:rPr>
              <w:t>Met</w:t>
            </w:r>
          </w:p>
        </w:tc>
      </w:tr>
      <w:tr w:rsidR="007D045F" w14:paraId="7F7BE62D" w14:textId="77777777" w:rsidTr="00BF7D9E">
        <w:trPr>
          <w:trHeight w:val="323"/>
        </w:trPr>
        <w:tc>
          <w:tcPr>
            <w:tcW w:w="8809" w:type="dxa"/>
            <w:vAlign w:val="center"/>
          </w:tcPr>
          <w:p w14:paraId="7E7A26BD" w14:textId="77777777" w:rsidR="007D045F" w:rsidRPr="00BF7D9E" w:rsidRDefault="007D045F" w:rsidP="00D12635">
            <w:pPr>
              <w:widowControl w:val="0"/>
              <w:spacing w:before="60" w:after="60"/>
              <w:ind w:left="429" w:hanging="450"/>
            </w:pPr>
            <w:r>
              <w:rPr>
                <w:b/>
                <w:bCs/>
              </w:rPr>
              <w:t>4</w:t>
            </w:r>
            <w:r w:rsidRPr="0006195E">
              <w:rPr>
                <w:b/>
                <w:bCs/>
              </w:rPr>
              <w:t xml:space="preserve">.1   </w:t>
            </w:r>
            <w:r>
              <w:rPr>
                <w:b/>
                <w:bCs/>
              </w:rPr>
              <w:t xml:space="preserve">The IRB has reviewed and approved informed consent procedures and an informed consent document </w:t>
            </w:r>
            <w:r w:rsidRPr="00BF7D9E">
              <w:t>consistent with standard human subjects regulatory requirements.</w:t>
            </w:r>
          </w:p>
          <w:p w14:paraId="0B921E52" w14:textId="26DC75A4" w:rsidR="007D045F" w:rsidRPr="007D045F" w:rsidRDefault="007D045F" w:rsidP="007D045F">
            <w:pPr>
              <w:widowControl w:val="0"/>
              <w:spacing w:before="60" w:after="60"/>
              <w:ind w:left="429" w:firstLine="90"/>
              <w:rPr>
                <w:i/>
                <w:iCs/>
              </w:rPr>
            </w:pPr>
            <w:r>
              <w:rPr>
                <w:i/>
                <w:iCs/>
              </w:rPr>
              <w:t>21 CFR 50.24(a)(6); FDA-FAQ 97</w:t>
            </w:r>
          </w:p>
        </w:tc>
        <w:tc>
          <w:tcPr>
            <w:tcW w:w="1121" w:type="dxa"/>
            <w:tcBorders>
              <w:bottom w:val="single" w:sz="4" w:space="0" w:color="auto"/>
            </w:tcBorders>
            <w:vAlign w:val="center"/>
          </w:tcPr>
          <w:p w14:paraId="7FA1DBD8" w14:textId="43C5845F" w:rsidR="007D045F" w:rsidRDefault="00BA58AA" w:rsidP="00D12635">
            <w:pPr>
              <w:widowControl w:val="0"/>
              <w:jc w:val="center"/>
            </w:pPr>
            <w:sdt>
              <w:sdtPr>
                <w:id w:val="-862969158"/>
                <w14:checkbox>
                  <w14:checked w14:val="0"/>
                  <w14:checkedState w14:val="2612" w14:font="MS Gothic"/>
                  <w14:uncheckedState w14:val="2610" w14:font="MS Gothic"/>
                </w14:checkbox>
              </w:sdtPr>
              <w:sdtEndPr/>
              <w:sdtContent>
                <w:r w:rsidR="00597953" w:rsidRPr="003E72A2">
                  <w:rPr>
                    <w:rFonts w:ascii="MS Gothic" w:eastAsia="MS Gothic" w:hAnsi="MS Gothic" w:hint="eastAsia"/>
                  </w:rPr>
                  <w:t>☐</w:t>
                </w:r>
              </w:sdtContent>
            </w:sdt>
          </w:p>
        </w:tc>
      </w:tr>
      <w:tr w:rsidR="00BF7D9E" w14:paraId="473980DB" w14:textId="77777777" w:rsidTr="00BF7D9E">
        <w:trPr>
          <w:trHeight w:val="323"/>
        </w:trPr>
        <w:tc>
          <w:tcPr>
            <w:tcW w:w="8809" w:type="dxa"/>
            <w:tcBorders>
              <w:right w:val="nil"/>
            </w:tcBorders>
            <w:shd w:val="clear" w:color="auto" w:fill="EBEBFF"/>
            <w:vAlign w:val="center"/>
          </w:tcPr>
          <w:p w14:paraId="7F81C2E9" w14:textId="77777777" w:rsidR="00BF7D9E" w:rsidRDefault="00BF7D9E" w:rsidP="00BF7D9E">
            <w:pPr>
              <w:widowControl w:val="0"/>
              <w:spacing w:before="60" w:after="60"/>
              <w:ind w:left="429" w:hanging="450"/>
              <w:rPr>
                <w:b/>
                <w:bCs/>
              </w:rPr>
            </w:pPr>
            <w:r w:rsidRPr="5C862695">
              <w:rPr>
                <w:b/>
                <w:bCs/>
              </w:rPr>
              <w:t>+ Guidance</w:t>
            </w:r>
          </w:p>
          <w:p w14:paraId="44F60D40" w14:textId="26B68CBC" w:rsidR="00BF7D9E" w:rsidRPr="00BF7D9E" w:rsidRDefault="00BF7D9E" w:rsidP="00BF7D9E">
            <w:pPr>
              <w:widowControl w:val="0"/>
              <w:spacing w:before="60" w:after="60"/>
              <w:ind w:left="159"/>
            </w:pPr>
            <w:r>
              <w:t xml:space="preserve">A consent form must be prepared and approved even if all subjects will not be able to give consent because it may be possible to use it: </w:t>
            </w:r>
            <w:r>
              <w:rPr>
                <w:b/>
                <w:bCs/>
              </w:rPr>
              <w:t>(1)</w:t>
            </w:r>
            <w:r>
              <w:t xml:space="preserve"> to obtain consent from LARs; </w:t>
            </w:r>
            <w:r>
              <w:rPr>
                <w:b/>
                <w:bCs/>
              </w:rPr>
              <w:t xml:space="preserve">(2) </w:t>
            </w:r>
            <w:r>
              <w:t xml:space="preserve">when </w:t>
            </w:r>
            <w:r>
              <w:lastRenderedPageBreak/>
              <w:t xml:space="preserve">providing an opportunity for a family member to object to a subject’s participation; </w:t>
            </w:r>
            <w:r>
              <w:rPr>
                <w:b/>
                <w:bCs/>
              </w:rPr>
              <w:t xml:space="preserve"> or (3) </w:t>
            </w:r>
            <w:r>
              <w:t>to inform subjects, LARs, or family members afterwards.</w:t>
            </w:r>
          </w:p>
        </w:tc>
        <w:tc>
          <w:tcPr>
            <w:tcW w:w="1121" w:type="dxa"/>
            <w:tcBorders>
              <w:left w:val="nil"/>
            </w:tcBorders>
            <w:shd w:val="clear" w:color="auto" w:fill="EBEBFF"/>
            <w:vAlign w:val="center"/>
          </w:tcPr>
          <w:p w14:paraId="2E672D16" w14:textId="77777777" w:rsidR="00BF7D9E" w:rsidRDefault="00BF7D9E" w:rsidP="00D12635">
            <w:pPr>
              <w:widowControl w:val="0"/>
              <w:jc w:val="center"/>
            </w:pPr>
          </w:p>
        </w:tc>
      </w:tr>
      <w:tr w:rsidR="007D045F" w14:paraId="17602551" w14:textId="77777777" w:rsidTr="00046456">
        <w:trPr>
          <w:trHeight w:val="323"/>
        </w:trPr>
        <w:tc>
          <w:tcPr>
            <w:tcW w:w="8809" w:type="dxa"/>
            <w:vAlign w:val="center"/>
          </w:tcPr>
          <w:p w14:paraId="4F3A3E2A" w14:textId="2DF253AD" w:rsidR="007D045F" w:rsidRDefault="007D045F" w:rsidP="007D045F">
            <w:pPr>
              <w:widowControl w:val="0"/>
              <w:spacing w:before="60" w:after="60"/>
              <w:ind w:left="429" w:hanging="450"/>
              <w:rPr>
                <w:b/>
                <w:bCs/>
              </w:rPr>
            </w:pPr>
            <w:r>
              <w:rPr>
                <w:b/>
                <w:bCs/>
              </w:rPr>
              <w:t xml:space="preserve">4.2   </w:t>
            </w:r>
            <w:r w:rsidRPr="00046456">
              <w:t xml:space="preserve">These </w:t>
            </w:r>
            <w:r>
              <w:rPr>
                <w:b/>
                <w:bCs/>
              </w:rPr>
              <w:t xml:space="preserve">procedures and the informed consent document will be used </w:t>
            </w:r>
            <w:r w:rsidRPr="00046456">
              <w:t>with subjects or their legally authorized representatives (LARs) in situations where use of such procedures and documents is feasible.</w:t>
            </w:r>
          </w:p>
          <w:p w14:paraId="086FA7CE" w14:textId="54A158AB" w:rsidR="007D045F" w:rsidRPr="00004E22" w:rsidRDefault="007D045F" w:rsidP="007D045F">
            <w:pPr>
              <w:widowControl w:val="0"/>
              <w:spacing w:before="60" w:after="60"/>
              <w:ind w:left="429"/>
              <w:rPr>
                <w:i/>
                <w:iCs/>
              </w:rPr>
            </w:pPr>
            <w:r>
              <w:rPr>
                <w:i/>
                <w:iCs/>
              </w:rPr>
              <w:t>21 CFR 50.24(a)(6)</w:t>
            </w:r>
          </w:p>
        </w:tc>
        <w:tc>
          <w:tcPr>
            <w:tcW w:w="1121" w:type="dxa"/>
            <w:tcBorders>
              <w:bottom w:val="single" w:sz="4" w:space="0" w:color="auto"/>
            </w:tcBorders>
            <w:vAlign w:val="center"/>
          </w:tcPr>
          <w:p w14:paraId="3E853572" w14:textId="77777777" w:rsidR="007D045F" w:rsidRDefault="00BA58AA" w:rsidP="00D12635">
            <w:pPr>
              <w:widowControl w:val="0"/>
              <w:jc w:val="center"/>
            </w:pPr>
            <w:sdt>
              <w:sdtPr>
                <w:id w:val="939262041"/>
                <w14:checkbox>
                  <w14:checked w14:val="0"/>
                  <w14:checkedState w14:val="2612" w14:font="MS Gothic"/>
                  <w14:uncheckedState w14:val="2610" w14:font="MS Gothic"/>
                </w14:checkbox>
              </w:sdtPr>
              <w:sdtEndPr/>
              <w:sdtContent>
                <w:r w:rsidR="007D045F" w:rsidRPr="003E72A2">
                  <w:rPr>
                    <w:rFonts w:ascii="MS Gothic" w:eastAsia="MS Gothic" w:hAnsi="MS Gothic" w:hint="eastAsia"/>
                  </w:rPr>
                  <w:t>☐</w:t>
                </w:r>
              </w:sdtContent>
            </w:sdt>
          </w:p>
        </w:tc>
      </w:tr>
      <w:tr w:rsidR="00046456" w14:paraId="1CCF643B" w14:textId="77777777" w:rsidTr="00046456">
        <w:trPr>
          <w:trHeight w:val="323"/>
        </w:trPr>
        <w:tc>
          <w:tcPr>
            <w:tcW w:w="8809" w:type="dxa"/>
            <w:tcBorders>
              <w:right w:val="nil"/>
            </w:tcBorders>
            <w:shd w:val="clear" w:color="auto" w:fill="EBEBFF"/>
            <w:vAlign w:val="center"/>
          </w:tcPr>
          <w:p w14:paraId="538B1F63" w14:textId="77777777" w:rsidR="00046456" w:rsidRDefault="00046456" w:rsidP="00046456">
            <w:pPr>
              <w:widowControl w:val="0"/>
              <w:spacing w:before="60" w:after="60"/>
              <w:ind w:left="429" w:hanging="450"/>
              <w:rPr>
                <w:b/>
                <w:bCs/>
              </w:rPr>
            </w:pPr>
            <w:r w:rsidRPr="5C862695">
              <w:rPr>
                <w:b/>
                <w:bCs/>
              </w:rPr>
              <w:t>+ Guidance</w:t>
            </w:r>
          </w:p>
          <w:p w14:paraId="24394251" w14:textId="63A07681" w:rsidR="00046456" w:rsidRPr="00046456" w:rsidRDefault="00046456" w:rsidP="00046456">
            <w:pPr>
              <w:widowControl w:val="0"/>
              <w:spacing w:before="60" w:after="60"/>
              <w:ind w:left="159"/>
            </w:pPr>
            <w:r>
              <w:t>The consent exception can be granted even if there will be some subjects who are able to provide consent. The UW IRB has historically interpreted circumstances in which subjects are conscious and able to communicate but full consent is very difficult or impossible, to be circumstances in which true informed consent is neither feasible nor practicable.</w:t>
            </w:r>
          </w:p>
        </w:tc>
        <w:tc>
          <w:tcPr>
            <w:tcW w:w="1121" w:type="dxa"/>
            <w:tcBorders>
              <w:left w:val="nil"/>
            </w:tcBorders>
            <w:shd w:val="clear" w:color="auto" w:fill="EBEBFF"/>
            <w:vAlign w:val="center"/>
          </w:tcPr>
          <w:p w14:paraId="43B1F34B" w14:textId="77777777" w:rsidR="00046456" w:rsidRDefault="00046456" w:rsidP="00D12635">
            <w:pPr>
              <w:widowControl w:val="0"/>
              <w:jc w:val="center"/>
            </w:pPr>
          </w:p>
        </w:tc>
      </w:tr>
      <w:tr w:rsidR="007D045F" w14:paraId="622B06E4" w14:textId="77777777" w:rsidTr="00D12635">
        <w:trPr>
          <w:trHeight w:val="323"/>
        </w:trPr>
        <w:tc>
          <w:tcPr>
            <w:tcW w:w="8809" w:type="dxa"/>
            <w:vAlign w:val="center"/>
          </w:tcPr>
          <w:p w14:paraId="5E84522A" w14:textId="5A2996A8" w:rsidR="007D045F" w:rsidRDefault="007D045F" w:rsidP="007D045F">
            <w:pPr>
              <w:widowControl w:val="0"/>
              <w:spacing w:before="60" w:after="60"/>
              <w:ind w:left="429" w:hanging="450"/>
            </w:pPr>
            <w:r>
              <w:rPr>
                <w:b/>
                <w:bCs/>
              </w:rPr>
              <w:t xml:space="preserve">4.3   </w:t>
            </w:r>
            <w:r w:rsidRPr="00046456">
              <w:t>The IRB has reviewed and approved procedures and information to be used when providing</w:t>
            </w:r>
            <w:r>
              <w:rPr>
                <w:b/>
                <w:bCs/>
              </w:rPr>
              <w:t xml:space="preserve"> an opportunity for a family member to object </w:t>
            </w:r>
            <w:r w:rsidRPr="00046456">
              <w:t>to a subject’s participation in research.</w:t>
            </w:r>
          </w:p>
          <w:p w14:paraId="155108E0" w14:textId="6BD68C46" w:rsidR="007D045F" w:rsidRPr="00004E22" w:rsidRDefault="007D045F" w:rsidP="007D045F">
            <w:pPr>
              <w:widowControl w:val="0"/>
              <w:spacing w:before="60" w:after="60"/>
              <w:ind w:left="429"/>
              <w:rPr>
                <w:i/>
                <w:iCs/>
              </w:rPr>
            </w:pPr>
            <w:r>
              <w:rPr>
                <w:i/>
                <w:iCs/>
              </w:rPr>
              <w:t>21 CFR 50.24(a)(6)</w:t>
            </w:r>
          </w:p>
        </w:tc>
        <w:tc>
          <w:tcPr>
            <w:tcW w:w="1121" w:type="dxa"/>
            <w:vAlign w:val="center"/>
          </w:tcPr>
          <w:p w14:paraId="60CE3744" w14:textId="77777777" w:rsidR="007D045F" w:rsidRDefault="00BA58AA" w:rsidP="00D12635">
            <w:pPr>
              <w:widowControl w:val="0"/>
              <w:jc w:val="center"/>
            </w:pPr>
            <w:sdt>
              <w:sdtPr>
                <w:id w:val="-1662149877"/>
                <w14:checkbox>
                  <w14:checked w14:val="0"/>
                  <w14:checkedState w14:val="2612" w14:font="MS Gothic"/>
                  <w14:uncheckedState w14:val="2610" w14:font="MS Gothic"/>
                </w14:checkbox>
              </w:sdtPr>
              <w:sdtEndPr/>
              <w:sdtContent>
                <w:r w:rsidR="007D045F" w:rsidRPr="003E72A2">
                  <w:rPr>
                    <w:rFonts w:ascii="MS Gothic" w:eastAsia="MS Gothic" w:hAnsi="MS Gothic" w:hint="eastAsia"/>
                  </w:rPr>
                  <w:t>☐</w:t>
                </w:r>
              </w:sdtContent>
            </w:sdt>
          </w:p>
        </w:tc>
      </w:tr>
    </w:tbl>
    <w:p w14:paraId="2F91933E" w14:textId="77777777" w:rsidR="00597953" w:rsidRDefault="00597953" w:rsidP="00597953">
      <w:pPr>
        <w:pStyle w:val="ListParagraph"/>
        <w:widowControl w:val="0"/>
        <w:ind w:left="90"/>
      </w:pPr>
    </w:p>
    <w:tbl>
      <w:tblPr>
        <w:tblStyle w:val="TableGrid"/>
        <w:tblW w:w="0" w:type="auto"/>
        <w:tblInd w:w="85" w:type="dxa"/>
        <w:tblLook w:val="04A0" w:firstRow="1" w:lastRow="0" w:firstColumn="1" w:lastColumn="0" w:noHBand="0" w:noVBand="1"/>
      </w:tblPr>
      <w:tblGrid>
        <w:gridCol w:w="8809"/>
        <w:gridCol w:w="1121"/>
      </w:tblGrid>
      <w:tr w:rsidR="00597953" w14:paraId="1BC77A5C" w14:textId="77777777" w:rsidTr="00D12635">
        <w:trPr>
          <w:trHeight w:val="323"/>
        </w:trPr>
        <w:tc>
          <w:tcPr>
            <w:tcW w:w="8809" w:type="dxa"/>
            <w:shd w:val="clear" w:color="auto" w:fill="33006F"/>
            <w:vAlign w:val="center"/>
          </w:tcPr>
          <w:p w14:paraId="7ECA82D1" w14:textId="476530AD" w:rsidR="00597953" w:rsidRPr="00C7566E" w:rsidRDefault="00597953" w:rsidP="00D12635">
            <w:pPr>
              <w:pStyle w:val="ListParagraph"/>
              <w:widowControl w:val="0"/>
              <w:numPr>
                <w:ilvl w:val="0"/>
                <w:numId w:val="29"/>
              </w:numPr>
              <w:spacing w:before="60" w:after="60"/>
              <w:rPr>
                <w:b/>
                <w:bCs/>
                <w:color w:val="FFFFFF" w:themeColor="background1"/>
              </w:rPr>
            </w:pPr>
            <w:r>
              <w:rPr>
                <w:b/>
                <w:bCs/>
                <w:color w:val="FFFFFF" w:themeColor="background1"/>
              </w:rPr>
              <w:t>ATTEMPTS TO OBTAIN CONSENT OR OBJECTION</w:t>
            </w:r>
          </w:p>
        </w:tc>
        <w:tc>
          <w:tcPr>
            <w:tcW w:w="1121" w:type="dxa"/>
            <w:shd w:val="clear" w:color="auto" w:fill="33006F"/>
            <w:vAlign w:val="center"/>
          </w:tcPr>
          <w:p w14:paraId="3A098F33" w14:textId="77777777" w:rsidR="00597953" w:rsidRPr="00C7566E" w:rsidRDefault="00597953" w:rsidP="00D12635">
            <w:pPr>
              <w:widowControl w:val="0"/>
              <w:jc w:val="center"/>
              <w:rPr>
                <w:b/>
                <w:bCs/>
              </w:rPr>
            </w:pPr>
            <w:r>
              <w:rPr>
                <w:b/>
                <w:bCs/>
              </w:rPr>
              <w:t>Met</w:t>
            </w:r>
          </w:p>
        </w:tc>
      </w:tr>
      <w:tr w:rsidR="00597953" w14:paraId="52E9A2B8" w14:textId="77777777" w:rsidTr="00423EB2">
        <w:trPr>
          <w:trHeight w:val="323"/>
        </w:trPr>
        <w:tc>
          <w:tcPr>
            <w:tcW w:w="8809" w:type="dxa"/>
            <w:vAlign w:val="center"/>
          </w:tcPr>
          <w:p w14:paraId="4EADE54D" w14:textId="3E38D0E4" w:rsidR="00597953" w:rsidRPr="00423EB2" w:rsidRDefault="00597953" w:rsidP="00D12635">
            <w:pPr>
              <w:widowControl w:val="0"/>
              <w:spacing w:before="60" w:after="60"/>
              <w:ind w:left="429" w:hanging="450"/>
            </w:pPr>
            <w:r>
              <w:rPr>
                <w:b/>
                <w:bCs/>
              </w:rPr>
              <w:t>5</w:t>
            </w:r>
            <w:bookmarkStart w:id="1" w:name="LARtherapeutic"/>
            <w:bookmarkEnd w:id="1"/>
            <w:r w:rsidRPr="0006195E">
              <w:rPr>
                <w:b/>
                <w:bCs/>
              </w:rPr>
              <w:t xml:space="preserve">.1   </w:t>
            </w:r>
            <w:r w:rsidRPr="00423EB2">
              <w:t xml:space="preserve">The researcher has committed to </w:t>
            </w:r>
            <w:r w:rsidRPr="00DA08DB">
              <w:rPr>
                <w:b/>
                <w:bCs/>
              </w:rPr>
              <w:t xml:space="preserve">attempting to contact a LAR for each subject within the therapeutic window </w:t>
            </w:r>
            <w:r w:rsidRPr="00423EB2">
              <w:t>and, if feasible, to</w:t>
            </w:r>
            <w:r>
              <w:rPr>
                <w:b/>
                <w:bCs/>
              </w:rPr>
              <w:t xml:space="preserve"> </w:t>
            </w:r>
            <w:r w:rsidRPr="00DA08DB">
              <w:t>ask the LAR for consent</w:t>
            </w:r>
            <w:r>
              <w:rPr>
                <w:b/>
                <w:bCs/>
              </w:rPr>
              <w:t xml:space="preserve"> </w:t>
            </w:r>
            <w:r w:rsidRPr="00423EB2">
              <w:t>within that window rather than proceeding without consent.</w:t>
            </w:r>
          </w:p>
          <w:p w14:paraId="00429890" w14:textId="312A15CC" w:rsidR="00597953" w:rsidRPr="007D045F" w:rsidRDefault="00597953" w:rsidP="00D12635">
            <w:pPr>
              <w:widowControl w:val="0"/>
              <w:spacing w:before="60" w:after="60"/>
              <w:ind w:left="429" w:firstLine="90"/>
              <w:rPr>
                <w:i/>
                <w:iCs/>
              </w:rPr>
            </w:pPr>
            <w:r>
              <w:rPr>
                <w:i/>
                <w:iCs/>
              </w:rPr>
              <w:t>21 CFR 50.24(a)(5); FDA-FAQ 43, 95-102</w:t>
            </w:r>
          </w:p>
        </w:tc>
        <w:tc>
          <w:tcPr>
            <w:tcW w:w="1121" w:type="dxa"/>
            <w:tcBorders>
              <w:bottom w:val="single" w:sz="4" w:space="0" w:color="auto"/>
            </w:tcBorders>
            <w:vAlign w:val="center"/>
          </w:tcPr>
          <w:p w14:paraId="15E37AC5" w14:textId="36228B5A" w:rsidR="00597953" w:rsidRDefault="00BA58AA" w:rsidP="00D12635">
            <w:pPr>
              <w:widowControl w:val="0"/>
              <w:jc w:val="center"/>
            </w:pPr>
            <w:sdt>
              <w:sdtPr>
                <w:id w:val="2092116546"/>
                <w14:checkbox>
                  <w14:checked w14:val="0"/>
                  <w14:checkedState w14:val="2612" w14:font="MS Gothic"/>
                  <w14:uncheckedState w14:val="2610" w14:font="MS Gothic"/>
                </w14:checkbox>
              </w:sdtPr>
              <w:sdtEndPr/>
              <w:sdtContent>
                <w:r w:rsidR="00597953" w:rsidRPr="003E72A2">
                  <w:rPr>
                    <w:rFonts w:ascii="MS Gothic" w:eastAsia="MS Gothic" w:hAnsi="MS Gothic" w:hint="eastAsia"/>
                  </w:rPr>
                  <w:t>☐</w:t>
                </w:r>
              </w:sdtContent>
            </w:sdt>
          </w:p>
        </w:tc>
      </w:tr>
      <w:tr w:rsidR="00423EB2" w14:paraId="2C6BA42D" w14:textId="77777777" w:rsidTr="00423EB2">
        <w:trPr>
          <w:trHeight w:val="323"/>
        </w:trPr>
        <w:tc>
          <w:tcPr>
            <w:tcW w:w="8809" w:type="dxa"/>
            <w:tcBorders>
              <w:right w:val="nil"/>
            </w:tcBorders>
            <w:shd w:val="clear" w:color="auto" w:fill="EBEBFF"/>
            <w:vAlign w:val="center"/>
          </w:tcPr>
          <w:p w14:paraId="6074A571" w14:textId="77777777" w:rsidR="00423EB2" w:rsidRDefault="00423EB2" w:rsidP="00423EB2">
            <w:pPr>
              <w:widowControl w:val="0"/>
              <w:spacing w:before="60" w:after="60"/>
              <w:ind w:left="429" w:hanging="450"/>
              <w:rPr>
                <w:b/>
                <w:bCs/>
              </w:rPr>
            </w:pPr>
            <w:r w:rsidRPr="5C862695">
              <w:rPr>
                <w:b/>
                <w:bCs/>
              </w:rPr>
              <w:t>+ Guidance</w:t>
            </w:r>
          </w:p>
          <w:p w14:paraId="7CBD748E" w14:textId="77777777" w:rsidR="00423EB2" w:rsidRDefault="00423EB2" w:rsidP="00423EB2">
            <w:pPr>
              <w:widowControl w:val="0"/>
              <w:spacing w:before="60" w:after="60"/>
              <w:ind w:left="159"/>
            </w:pPr>
            <w:r>
              <w:t xml:space="preserve">Researchers are not required to exhaust the entire therapeutic window attempting to contact a LAR or family member before the intervention is administered. It is expected that in most cases the potential benefit of the intervention will decrease as the delay in delivering the intervention increases. Thus, the effect of delaying the intervention should be </w:t>
            </w:r>
            <w:proofErr w:type="gramStart"/>
            <w:r>
              <w:t>taken into account</w:t>
            </w:r>
            <w:proofErr w:type="gramEnd"/>
            <w:r>
              <w:t xml:space="preserve"> when determining the portion of the therapeutic window to be devoted to obtaining consent from a LAR or providing the opportunity for a family member to object.</w:t>
            </w:r>
          </w:p>
          <w:p w14:paraId="78702795" w14:textId="3AD8A958" w:rsidR="00204DF0" w:rsidRPr="00423EB2" w:rsidRDefault="00204DF0" w:rsidP="00423EB2">
            <w:pPr>
              <w:widowControl w:val="0"/>
              <w:spacing w:before="60" w:after="60"/>
              <w:ind w:left="159"/>
            </w:pPr>
            <w:r>
              <w:t xml:space="preserve">Researchers should specify the amount of time that will be devoted to these efforts, within the therapeutic window. </w:t>
            </w:r>
          </w:p>
        </w:tc>
        <w:tc>
          <w:tcPr>
            <w:tcW w:w="1121" w:type="dxa"/>
            <w:tcBorders>
              <w:left w:val="nil"/>
            </w:tcBorders>
            <w:shd w:val="clear" w:color="auto" w:fill="EBEBFF"/>
            <w:vAlign w:val="center"/>
          </w:tcPr>
          <w:p w14:paraId="01AB8721" w14:textId="77777777" w:rsidR="00423EB2" w:rsidRDefault="00423EB2" w:rsidP="00D12635">
            <w:pPr>
              <w:widowControl w:val="0"/>
              <w:jc w:val="center"/>
            </w:pPr>
          </w:p>
        </w:tc>
      </w:tr>
      <w:tr w:rsidR="00597953" w14:paraId="5954C5B5" w14:textId="77777777" w:rsidTr="00D12635">
        <w:trPr>
          <w:trHeight w:val="323"/>
        </w:trPr>
        <w:tc>
          <w:tcPr>
            <w:tcW w:w="8809" w:type="dxa"/>
            <w:vAlign w:val="center"/>
          </w:tcPr>
          <w:p w14:paraId="68145C2B" w14:textId="32DE4E2F" w:rsidR="00597953" w:rsidRDefault="00597953" w:rsidP="00D12635">
            <w:pPr>
              <w:widowControl w:val="0"/>
              <w:spacing w:before="60" w:after="60"/>
              <w:ind w:left="429" w:hanging="450"/>
              <w:rPr>
                <w:b/>
                <w:bCs/>
              </w:rPr>
            </w:pPr>
            <w:r>
              <w:rPr>
                <w:b/>
                <w:bCs/>
              </w:rPr>
              <w:t xml:space="preserve">5.2   The researcher will summarize efforts made to contact the LARs </w:t>
            </w:r>
            <w:r w:rsidRPr="00204DF0">
              <w:t>and will make this information available to the IRB at the time of continuing review.</w:t>
            </w:r>
            <w:r>
              <w:rPr>
                <w:b/>
                <w:bCs/>
              </w:rPr>
              <w:t xml:space="preserve"> </w:t>
            </w:r>
          </w:p>
          <w:p w14:paraId="7020BC2E" w14:textId="2806CD4F" w:rsidR="00597953" w:rsidRPr="00004E22" w:rsidRDefault="00597953" w:rsidP="00D12635">
            <w:pPr>
              <w:widowControl w:val="0"/>
              <w:spacing w:before="60" w:after="60"/>
              <w:ind w:left="429"/>
              <w:rPr>
                <w:i/>
                <w:iCs/>
              </w:rPr>
            </w:pPr>
            <w:r>
              <w:rPr>
                <w:i/>
                <w:iCs/>
              </w:rPr>
              <w:t>21 CFR 50.24(a)(5)</w:t>
            </w:r>
          </w:p>
        </w:tc>
        <w:tc>
          <w:tcPr>
            <w:tcW w:w="1121" w:type="dxa"/>
            <w:vAlign w:val="center"/>
          </w:tcPr>
          <w:p w14:paraId="32E01365" w14:textId="77777777" w:rsidR="00597953" w:rsidRDefault="00BA58AA" w:rsidP="00D12635">
            <w:pPr>
              <w:widowControl w:val="0"/>
              <w:jc w:val="center"/>
            </w:pPr>
            <w:sdt>
              <w:sdtPr>
                <w:id w:val="2069757913"/>
                <w14:checkbox>
                  <w14:checked w14:val="0"/>
                  <w14:checkedState w14:val="2612" w14:font="MS Gothic"/>
                  <w14:uncheckedState w14:val="2610" w14:font="MS Gothic"/>
                </w14:checkbox>
              </w:sdtPr>
              <w:sdtEndPr/>
              <w:sdtContent>
                <w:r w:rsidR="00597953" w:rsidRPr="003E72A2">
                  <w:rPr>
                    <w:rFonts w:ascii="MS Gothic" w:eastAsia="MS Gothic" w:hAnsi="MS Gothic" w:hint="eastAsia"/>
                  </w:rPr>
                  <w:t>☐</w:t>
                </w:r>
              </w:sdtContent>
            </w:sdt>
          </w:p>
        </w:tc>
      </w:tr>
      <w:tr w:rsidR="00597953" w14:paraId="5D1EF3DE" w14:textId="77777777" w:rsidTr="00204DF0">
        <w:trPr>
          <w:trHeight w:val="323"/>
        </w:trPr>
        <w:tc>
          <w:tcPr>
            <w:tcW w:w="8809" w:type="dxa"/>
            <w:vAlign w:val="center"/>
          </w:tcPr>
          <w:p w14:paraId="24319D8D" w14:textId="52433160" w:rsidR="00597953" w:rsidRPr="00204DF0" w:rsidRDefault="000977F9" w:rsidP="00D12635">
            <w:pPr>
              <w:widowControl w:val="0"/>
              <w:spacing w:before="60" w:after="60"/>
              <w:ind w:left="429" w:hanging="450"/>
            </w:pPr>
            <w:r>
              <w:rPr>
                <w:b/>
                <w:bCs/>
              </w:rPr>
              <w:t>5</w:t>
            </w:r>
            <w:r w:rsidR="00597953">
              <w:rPr>
                <w:b/>
                <w:bCs/>
              </w:rPr>
              <w:t xml:space="preserve">.3   </w:t>
            </w:r>
            <w:r w:rsidRPr="00204DF0">
              <w:t>If obtaining informed consent is not feasible and a LAR is not re</w:t>
            </w:r>
            <w:r w:rsidR="00204DF0" w:rsidRPr="00204DF0">
              <w:t>asonabl</w:t>
            </w:r>
            <w:r w:rsidRPr="00204DF0">
              <w:t>y available, the investigator has committed, if feasible, to</w:t>
            </w:r>
            <w:r>
              <w:rPr>
                <w:b/>
                <w:bCs/>
              </w:rPr>
              <w:t xml:space="preserve"> attempting to contact with</w:t>
            </w:r>
            <w:r w:rsidR="00DA08DB">
              <w:rPr>
                <w:b/>
                <w:bCs/>
              </w:rPr>
              <w:t>in</w:t>
            </w:r>
            <w:r>
              <w:rPr>
                <w:b/>
                <w:bCs/>
              </w:rPr>
              <w:t xml:space="preserve"> the therapeutic window </w:t>
            </w:r>
            <w:r w:rsidRPr="00204DF0">
              <w:t xml:space="preserve">the subject’s family member who is not a LAR, and asking whether </w:t>
            </w:r>
            <w:r w:rsidRPr="00204DF0">
              <w:t>they</w:t>
            </w:r>
            <w:r w:rsidRPr="00204DF0">
              <w:t xml:space="preserve"> object to the subject’s participation in the research.</w:t>
            </w:r>
          </w:p>
          <w:p w14:paraId="1E75FA2C" w14:textId="23A36D7E" w:rsidR="00597953" w:rsidRPr="00004E22" w:rsidRDefault="00597953" w:rsidP="00D12635">
            <w:pPr>
              <w:widowControl w:val="0"/>
              <w:spacing w:before="60" w:after="60"/>
              <w:ind w:left="429"/>
              <w:rPr>
                <w:i/>
                <w:iCs/>
              </w:rPr>
            </w:pPr>
            <w:r>
              <w:rPr>
                <w:i/>
                <w:iCs/>
              </w:rPr>
              <w:t>21 CFR 50.24(a)(</w:t>
            </w:r>
            <w:r w:rsidR="000977F9">
              <w:rPr>
                <w:i/>
                <w:iCs/>
              </w:rPr>
              <w:t>7</w:t>
            </w:r>
            <w:r>
              <w:rPr>
                <w:i/>
                <w:iCs/>
              </w:rPr>
              <w:t>)</w:t>
            </w:r>
            <w:r w:rsidR="000977F9">
              <w:rPr>
                <w:i/>
                <w:iCs/>
              </w:rPr>
              <w:t>(v); FDA-FAQ 42, 43, 96-102</w:t>
            </w:r>
          </w:p>
        </w:tc>
        <w:tc>
          <w:tcPr>
            <w:tcW w:w="1121" w:type="dxa"/>
            <w:tcBorders>
              <w:bottom w:val="single" w:sz="4" w:space="0" w:color="auto"/>
            </w:tcBorders>
            <w:vAlign w:val="center"/>
          </w:tcPr>
          <w:p w14:paraId="2F0B3C8F" w14:textId="77777777" w:rsidR="00597953" w:rsidRDefault="00BA58AA" w:rsidP="00D12635">
            <w:pPr>
              <w:widowControl w:val="0"/>
              <w:jc w:val="center"/>
            </w:pPr>
            <w:sdt>
              <w:sdtPr>
                <w:id w:val="-1754742896"/>
                <w14:checkbox>
                  <w14:checked w14:val="0"/>
                  <w14:checkedState w14:val="2612" w14:font="MS Gothic"/>
                  <w14:uncheckedState w14:val="2610" w14:font="MS Gothic"/>
                </w14:checkbox>
              </w:sdtPr>
              <w:sdtEndPr/>
              <w:sdtContent>
                <w:r w:rsidR="00597953" w:rsidRPr="003E72A2">
                  <w:rPr>
                    <w:rFonts w:ascii="MS Gothic" w:eastAsia="MS Gothic" w:hAnsi="MS Gothic" w:hint="eastAsia"/>
                  </w:rPr>
                  <w:t>☐</w:t>
                </w:r>
              </w:sdtContent>
            </w:sdt>
          </w:p>
        </w:tc>
      </w:tr>
      <w:tr w:rsidR="00204DF0" w14:paraId="55A98865" w14:textId="77777777" w:rsidTr="00204DF0">
        <w:trPr>
          <w:trHeight w:val="323"/>
        </w:trPr>
        <w:tc>
          <w:tcPr>
            <w:tcW w:w="8809" w:type="dxa"/>
            <w:tcBorders>
              <w:right w:val="nil"/>
            </w:tcBorders>
            <w:shd w:val="clear" w:color="auto" w:fill="EBEBFF"/>
            <w:vAlign w:val="center"/>
          </w:tcPr>
          <w:p w14:paraId="7C30CD23" w14:textId="77777777" w:rsidR="00204DF0" w:rsidRDefault="00204DF0" w:rsidP="00204DF0">
            <w:pPr>
              <w:widowControl w:val="0"/>
              <w:spacing w:before="60" w:after="60"/>
              <w:ind w:left="429" w:hanging="450"/>
              <w:rPr>
                <w:b/>
                <w:bCs/>
              </w:rPr>
            </w:pPr>
            <w:r w:rsidRPr="5C862695">
              <w:rPr>
                <w:b/>
                <w:bCs/>
              </w:rPr>
              <w:t>+ Guidance</w:t>
            </w:r>
          </w:p>
          <w:p w14:paraId="5FFD51D8" w14:textId="77777777" w:rsidR="00204DF0" w:rsidRDefault="00204DF0" w:rsidP="00204DF0">
            <w:pPr>
              <w:widowControl w:val="0"/>
              <w:spacing w:before="60" w:after="60"/>
              <w:ind w:left="159"/>
            </w:pPr>
            <w:r>
              <w:t xml:space="preserve">This criterion applies to situations where the family member is not LAR for the subject (and therefore cannot legally provide consent). This would be rare in Washington State. The purpose of contacting a family member who is not a LAR is to provide the opportunity for the family member to object to </w:t>
            </w:r>
            <w:proofErr w:type="gramStart"/>
            <w:r>
              <w:t>enrolling</w:t>
            </w:r>
            <w:proofErr w:type="gramEnd"/>
            <w:r>
              <w:t xml:space="preserve"> the subject in the study.</w:t>
            </w:r>
          </w:p>
          <w:p w14:paraId="3071A5AB" w14:textId="77777777" w:rsidR="00204DF0" w:rsidRDefault="00204DF0" w:rsidP="00204DF0">
            <w:pPr>
              <w:widowControl w:val="0"/>
              <w:spacing w:before="60" w:after="60"/>
              <w:ind w:left="159"/>
            </w:pPr>
            <w:r>
              <w:lastRenderedPageBreak/>
              <w:t>If the non-LAR family member is present or accompanying the subject to the emergency room, the healthcare professionals or researchers must ask their family member immediately if there is any objection to enrolling the subject in the study.</w:t>
            </w:r>
          </w:p>
          <w:p w14:paraId="46600F06" w14:textId="26C9854B" w:rsidR="00204DF0" w:rsidRPr="00204DF0" w:rsidRDefault="00204DF0" w:rsidP="00204DF0">
            <w:pPr>
              <w:widowControl w:val="0"/>
              <w:spacing w:before="60" w:after="60"/>
              <w:ind w:left="159"/>
            </w:pPr>
            <w:r>
              <w:t xml:space="preserve">Researchers are not required to exhaust the therapeutic window attempting to contact a LAR or family member before the intervention is administered. It is expected that in most cases the potential benefit of the intervention will decrease as the delay in delivering the intervention increases. Thus, the effect of delaying the intervention should be </w:t>
            </w:r>
            <w:proofErr w:type="gramStart"/>
            <w:r>
              <w:t>taken into account</w:t>
            </w:r>
            <w:proofErr w:type="gramEnd"/>
            <w:r>
              <w:t xml:space="preserve"> when determining the portion of the therapeutic window to be devoted to obtaining consent from a LAR or providing the opportunity for a family member to object.</w:t>
            </w:r>
          </w:p>
        </w:tc>
        <w:tc>
          <w:tcPr>
            <w:tcW w:w="1121" w:type="dxa"/>
            <w:tcBorders>
              <w:left w:val="nil"/>
            </w:tcBorders>
            <w:shd w:val="clear" w:color="auto" w:fill="EBEBFF"/>
            <w:vAlign w:val="center"/>
          </w:tcPr>
          <w:p w14:paraId="6E2D29CD" w14:textId="77777777" w:rsidR="00204DF0" w:rsidRDefault="00204DF0" w:rsidP="00D12635">
            <w:pPr>
              <w:widowControl w:val="0"/>
              <w:jc w:val="center"/>
            </w:pPr>
          </w:p>
        </w:tc>
      </w:tr>
      <w:tr w:rsidR="000977F9" w14:paraId="188730F6" w14:textId="77777777" w:rsidTr="00D12635">
        <w:trPr>
          <w:trHeight w:val="323"/>
        </w:trPr>
        <w:tc>
          <w:tcPr>
            <w:tcW w:w="8809" w:type="dxa"/>
            <w:vAlign w:val="center"/>
          </w:tcPr>
          <w:p w14:paraId="244A99C4" w14:textId="77777777" w:rsidR="000977F9" w:rsidRDefault="000977F9" w:rsidP="00D12635">
            <w:pPr>
              <w:widowControl w:val="0"/>
              <w:spacing w:before="60" w:after="60"/>
              <w:ind w:left="429" w:hanging="450"/>
              <w:rPr>
                <w:b/>
                <w:bCs/>
              </w:rPr>
            </w:pPr>
            <w:r>
              <w:rPr>
                <w:b/>
                <w:bCs/>
              </w:rPr>
              <w:t xml:space="preserve">5.4   </w:t>
            </w:r>
            <w:r w:rsidRPr="00DA08DB">
              <w:t>The</w:t>
            </w:r>
            <w:r>
              <w:rPr>
                <w:b/>
                <w:bCs/>
              </w:rPr>
              <w:t xml:space="preserve"> researcher will summarize efforts made to contact family members</w:t>
            </w:r>
            <w:r w:rsidRPr="00F54D4C">
              <w:t xml:space="preserve"> and make this information available to the IRB at the time of continuing review. </w:t>
            </w:r>
          </w:p>
          <w:p w14:paraId="618C48EF" w14:textId="667C058A" w:rsidR="000977F9" w:rsidRPr="000977F9" w:rsidRDefault="000977F9" w:rsidP="000977F9">
            <w:pPr>
              <w:widowControl w:val="0"/>
              <w:spacing w:before="60" w:after="60"/>
              <w:ind w:left="429"/>
              <w:rPr>
                <w:i/>
                <w:iCs/>
              </w:rPr>
            </w:pPr>
            <w:r>
              <w:rPr>
                <w:i/>
                <w:iCs/>
              </w:rPr>
              <w:t>21 CFR 50.24(a)(7)(v)</w:t>
            </w:r>
          </w:p>
        </w:tc>
        <w:tc>
          <w:tcPr>
            <w:tcW w:w="1121" w:type="dxa"/>
            <w:vAlign w:val="center"/>
          </w:tcPr>
          <w:p w14:paraId="5DD6E7CB" w14:textId="60256667" w:rsidR="000977F9" w:rsidRPr="003E72A2" w:rsidRDefault="00BA58AA" w:rsidP="00D12635">
            <w:pPr>
              <w:widowControl w:val="0"/>
              <w:jc w:val="center"/>
            </w:pPr>
            <w:sdt>
              <w:sdtPr>
                <w:id w:val="634074182"/>
                <w14:checkbox>
                  <w14:checked w14:val="0"/>
                  <w14:checkedState w14:val="2612" w14:font="MS Gothic"/>
                  <w14:uncheckedState w14:val="2610" w14:font="MS Gothic"/>
                </w14:checkbox>
              </w:sdtPr>
              <w:sdtEndPr/>
              <w:sdtContent>
                <w:r w:rsidR="000977F9" w:rsidRPr="003E72A2">
                  <w:rPr>
                    <w:rFonts w:ascii="MS Gothic" w:eastAsia="MS Gothic" w:hAnsi="MS Gothic" w:hint="eastAsia"/>
                  </w:rPr>
                  <w:t>☐</w:t>
                </w:r>
              </w:sdtContent>
            </w:sdt>
          </w:p>
        </w:tc>
      </w:tr>
    </w:tbl>
    <w:p w14:paraId="4458539E" w14:textId="77777777" w:rsidR="008124C2" w:rsidRDefault="008124C2" w:rsidP="008124C2">
      <w:pPr>
        <w:pStyle w:val="ListParagraph"/>
        <w:widowControl w:val="0"/>
        <w:ind w:left="90"/>
      </w:pPr>
    </w:p>
    <w:tbl>
      <w:tblPr>
        <w:tblStyle w:val="TableGrid"/>
        <w:tblW w:w="0" w:type="auto"/>
        <w:tblInd w:w="85" w:type="dxa"/>
        <w:tblLook w:val="04A0" w:firstRow="1" w:lastRow="0" w:firstColumn="1" w:lastColumn="0" w:noHBand="0" w:noVBand="1"/>
      </w:tblPr>
      <w:tblGrid>
        <w:gridCol w:w="8809"/>
        <w:gridCol w:w="1121"/>
      </w:tblGrid>
      <w:tr w:rsidR="008124C2" w14:paraId="473B8904" w14:textId="77777777" w:rsidTr="008124C2">
        <w:trPr>
          <w:trHeight w:val="323"/>
        </w:trPr>
        <w:tc>
          <w:tcPr>
            <w:tcW w:w="8809" w:type="dxa"/>
            <w:shd w:val="clear" w:color="auto" w:fill="33006F"/>
            <w:vAlign w:val="center"/>
          </w:tcPr>
          <w:p w14:paraId="0B8CAAA5" w14:textId="17E334B1" w:rsidR="008124C2" w:rsidRPr="00C7566E" w:rsidRDefault="008124C2" w:rsidP="00D12635">
            <w:pPr>
              <w:pStyle w:val="ListParagraph"/>
              <w:widowControl w:val="0"/>
              <w:numPr>
                <w:ilvl w:val="0"/>
                <w:numId w:val="29"/>
              </w:numPr>
              <w:spacing w:before="60" w:after="60"/>
              <w:rPr>
                <w:b/>
                <w:bCs/>
                <w:color w:val="FFFFFF" w:themeColor="background1"/>
              </w:rPr>
            </w:pPr>
            <w:r>
              <w:rPr>
                <w:b/>
                <w:bCs/>
                <w:color w:val="FFFFFF" w:themeColor="background1"/>
              </w:rPr>
              <w:t>FEASIBILITY AND PRACTICABILITY OF OBTAINING CONSENT</w:t>
            </w:r>
          </w:p>
        </w:tc>
        <w:tc>
          <w:tcPr>
            <w:tcW w:w="1121" w:type="dxa"/>
            <w:tcBorders>
              <w:bottom w:val="single" w:sz="4" w:space="0" w:color="auto"/>
            </w:tcBorders>
            <w:shd w:val="clear" w:color="auto" w:fill="33006F"/>
            <w:vAlign w:val="center"/>
          </w:tcPr>
          <w:p w14:paraId="2E7B320B" w14:textId="77777777" w:rsidR="008124C2" w:rsidRPr="00C7566E" w:rsidRDefault="008124C2" w:rsidP="00D12635">
            <w:pPr>
              <w:widowControl w:val="0"/>
              <w:jc w:val="center"/>
              <w:rPr>
                <w:b/>
                <w:bCs/>
              </w:rPr>
            </w:pPr>
            <w:r>
              <w:rPr>
                <w:b/>
                <w:bCs/>
              </w:rPr>
              <w:t>Met</w:t>
            </w:r>
          </w:p>
        </w:tc>
      </w:tr>
      <w:tr w:rsidR="008124C2" w14:paraId="27EE94CA" w14:textId="77777777" w:rsidTr="008124C2">
        <w:trPr>
          <w:trHeight w:val="323"/>
        </w:trPr>
        <w:tc>
          <w:tcPr>
            <w:tcW w:w="8809" w:type="dxa"/>
            <w:tcBorders>
              <w:right w:val="nil"/>
            </w:tcBorders>
            <w:vAlign w:val="center"/>
          </w:tcPr>
          <w:p w14:paraId="0840B7CA" w14:textId="7ED94743" w:rsidR="008124C2" w:rsidRPr="00F54D4C" w:rsidRDefault="008124C2" w:rsidP="00F54D4C">
            <w:pPr>
              <w:widowControl w:val="0"/>
              <w:spacing w:before="60" w:after="60"/>
              <w:ind w:left="429" w:hanging="450"/>
            </w:pPr>
            <w:r>
              <w:rPr>
                <w:b/>
                <w:bCs/>
              </w:rPr>
              <w:t>6</w:t>
            </w:r>
            <w:r w:rsidRPr="0006195E">
              <w:rPr>
                <w:b/>
                <w:bCs/>
              </w:rPr>
              <w:t xml:space="preserve">.1   </w:t>
            </w:r>
            <w:r w:rsidRPr="00F54D4C">
              <w:t>Obtaining consent is not feasible because</w:t>
            </w:r>
            <w:r>
              <w:rPr>
                <w:b/>
                <w:bCs/>
              </w:rPr>
              <w:t xml:space="preserve"> all of the following are true:</w:t>
            </w:r>
          </w:p>
        </w:tc>
        <w:tc>
          <w:tcPr>
            <w:tcW w:w="1121" w:type="dxa"/>
            <w:tcBorders>
              <w:left w:val="nil"/>
            </w:tcBorders>
            <w:vAlign w:val="center"/>
          </w:tcPr>
          <w:p w14:paraId="35D783F8" w14:textId="63E510B0" w:rsidR="008124C2" w:rsidRDefault="008124C2" w:rsidP="00D12635">
            <w:pPr>
              <w:widowControl w:val="0"/>
              <w:jc w:val="center"/>
            </w:pPr>
          </w:p>
        </w:tc>
      </w:tr>
      <w:tr w:rsidR="008124C2" w14:paraId="5851F88F" w14:textId="77777777" w:rsidTr="00D12635">
        <w:trPr>
          <w:trHeight w:val="323"/>
        </w:trPr>
        <w:tc>
          <w:tcPr>
            <w:tcW w:w="8809" w:type="dxa"/>
            <w:vAlign w:val="center"/>
          </w:tcPr>
          <w:p w14:paraId="06CEDF1B" w14:textId="2FFEFC15" w:rsidR="008124C2" w:rsidRDefault="008124C2" w:rsidP="008124C2">
            <w:pPr>
              <w:widowControl w:val="0"/>
              <w:spacing w:before="60" w:after="60"/>
              <w:ind w:left="1059" w:hanging="450"/>
              <w:rPr>
                <w:b/>
                <w:bCs/>
              </w:rPr>
            </w:pPr>
            <w:r>
              <w:rPr>
                <w:b/>
                <w:bCs/>
              </w:rPr>
              <w:t xml:space="preserve">a.     </w:t>
            </w:r>
            <w:r w:rsidRPr="00F54D4C">
              <w:t>Subjects cannot give consent as a result of their</w:t>
            </w:r>
            <w:r>
              <w:rPr>
                <w:b/>
                <w:bCs/>
              </w:rPr>
              <w:t xml:space="preserve"> </w:t>
            </w:r>
            <w:r w:rsidRPr="00F54D4C">
              <w:t>medical condition.</w:t>
            </w:r>
            <w:r>
              <w:rPr>
                <w:b/>
                <w:bCs/>
              </w:rPr>
              <w:t xml:space="preserve"> </w:t>
            </w:r>
          </w:p>
          <w:p w14:paraId="4951BA7E" w14:textId="2D2E4A4C" w:rsidR="008124C2" w:rsidRPr="00004E22" w:rsidRDefault="008124C2" w:rsidP="008124C2">
            <w:pPr>
              <w:widowControl w:val="0"/>
              <w:spacing w:before="60" w:after="60"/>
              <w:ind w:left="1059"/>
              <w:rPr>
                <w:i/>
                <w:iCs/>
              </w:rPr>
            </w:pPr>
            <w:r>
              <w:rPr>
                <w:i/>
                <w:iCs/>
              </w:rPr>
              <w:t>21 CFR 50.24(a)(2)(i)</w:t>
            </w:r>
          </w:p>
        </w:tc>
        <w:tc>
          <w:tcPr>
            <w:tcW w:w="1121" w:type="dxa"/>
            <w:vAlign w:val="center"/>
          </w:tcPr>
          <w:p w14:paraId="5F6C49A4" w14:textId="77777777" w:rsidR="008124C2" w:rsidRDefault="00BA58AA" w:rsidP="00D12635">
            <w:pPr>
              <w:widowControl w:val="0"/>
              <w:jc w:val="center"/>
            </w:pPr>
            <w:sdt>
              <w:sdtPr>
                <w:id w:val="-667471513"/>
                <w14:checkbox>
                  <w14:checked w14:val="0"/>
                  <w14:checkedState w14:val="2612" w14:font="MS Gothic"/>
                  <w14:uncheckedState w14:val="2610" w14:font="MS Gothic"/>
                </w14:checkbox>
              </w:sdtPr>
              <w:sdtEndPr/>
              <w:sdtContent>
                <w:r w:rsidR="008124C2" w:rsidRPr="003E72A2">
                  <w:rPr>
                    <w:rFonts w:ascii="MS Gothic" w:eastAsia="MS Gothic" w:hAnsi="MS Gothic" w:hint="eastAsia"/>
                  </w:rPr>
                  <w:t>☐</w:t>
                </w:r>
              </w:sdtContent>
            </w:sdt>
          </w:p>
        </w:tc>
      </w:tr>
      <w:tr w:rsidR="008124C2" w14:paraId="5E294176" w14:textId="77777777" w:rsidTr="00D12635">
        <w:trPr>
          <w:trHeight w:val="323"/>
        </w:trPr>
        <w:tc>
          <w:tcPr>
            <w:tcW w:w="8809" w:type="dxa"/>
            <w:vAlign w:val="center"/>
          </w:tcPr>
          <w:p w14:paraId="5BB979F0" w14:textId="58152732" w:rsidR="008124C2" w:rsidRPr="00F54D4C" w:rsidRDefault="008124C2" w:rsidP="008124C2">
            <w:pPr>
              <w:widowControl w:val="0"/>
              <w:spacing w:before="60" w:after="60"/>
              <w:ind w:left="1059" w:hanging="450"/>
            </w:pPr>
            <w:r>
              <w:rPr>
                <w:b/>
                <w:bCs/>
              </w:rPr>
              <w:t xml:space="preserve">b.      </w:t>
            </w:r>
            <w:r w:rsidRPr="00F54D4C">
              <w:t>The intervention must be administered</w:t>
            </w:r>
            <w:r>
              <w:rPr>
                <w:b/>
                <w:bCs/>
              </w:rPr>
              <w:t xml:space="preserve"> </w:t>
            </w:r>
            <w:r w:rsidRPr="00F54D4C">
              <w:t>before consent from the subject’s LAR is feasible.</w:t>
            </w:r>
          </w:p>
          <w:p w14:paraId="7587CCEB" w14:textId="35EF17B1" w:rsidR="008124C2" w:rsidRPr="00004E22" w:rsidRDefault="008124C2" w:rsidP="008124C2">
            <w:pPr>
              <w:widowControl w:val="0"/>
              <w:spacing w:before="60" w:after="60"/>
              <w:ind w:left="1059"/>
              <w:rPr>
                <w:i/>
                <w:iCs/>
              </w:rPr>
            </w:pPr>
            <w:r>
              <w:rPr>
                <w:i/>
                <w:iCs/>
              </w:rPr>
              <w:t>21 CFR 50.24(a)(2)(ii)</w:t>
            </w:r>
          </w:p>
        </w:tc>
        <w:tc>
          <w:tcPr>
            <w:tcW w:w="1121" w:type="dxa"/>
            <w:vAlign w:val="center"/>
          </w:tcPr>
          <w:p w14:paraId="75CD4050" w14:textId="77777777" w:rsidR="008124C2" w:rsidRDefault="00BA58AA" w:rsidP="00D12635">
            <w:pPr>
              <w:widowControl w:val="0"/>
              <w:jc w:val="center"/>
            </w:pPr>
            <w:sdt>
              <w:sdtPr>
                <w:id w:val="-1867431830"/>
                <w14:checkbox>
                  <w14:checked w14:val="0"/>
                  <w14:checkedState w14:val="2612" w14:font="MS Gothic"/>
                  <w14:uncheckedState w14:val="2610" w14:font="MS Gothic"/>
                </w14:checkbox>
              </w:sdtPr>
              <w:sdtEndPr/>
              <w:sdtContent>
                <w:r w:rsidR="008124C2" w:rsidRPr="003E72A2">
                  <w:rPr>
                    <w:rFonts w:ascii="MS Gothic" w:eastAsia="MS Gothic" w:hAnsi="MS Gothic" w:hint="eastAsia"/>
                  </w:rPr>
                  <w:t>☐</w:t>
                </w:r>
              </w:sdtContent>
            </w:sdt>
          </w:p>
        </w:tc>
      </w:tr>
      <w:tr w:rsidR="008124C2" w14:paraId="38A6DBD2" w14:textId="77777777" w:rsidTr="00D12635">
        <w:trPr>
          <w:trHeight w:val="323"/>
        </w:trPr>
        <w:tc>
          <w:tcPr>
            <w:tcW w:w="8809" w:type="dxa"/>
            <w:vAlign w:val="center"/>
          </w:tcPr>
          <w:p w14:paraId="6FC12434" w14:textId="6816A584" w:rsidR="008124C2" w:rsidRDefault="008124C2" w:rsidP="008124C2">
            <w:pPr>
              <w:widowControl w:val="0"/>
              <w:spacing w:before="60" w:after="60"/>
              <w:ind w:left="1059" w:hanging="450"/>
              <w:rPr>
                <w:b/>
                <w:bCs/>
              </w:rPr>
            </w:pPr>
            <w:r>
              <w:rPr>
                <w:b/>
                <w:bCs/>
              </w:rPr>
              <w:t xml:space="preserve">c.     </w:t>
            </w:r>
            <w:r w:rsidRPr="00F54D4C">
              <w:t>There is no reasonable way to identify prospectively the individuals likely to become eligible f</w:t>
            </w:r>
            <w:r w:rsidR="00F54D4C" w:rsidRPr="00F54D4C">
              <w:t>or</w:t>
            </w:r>
            <w:r w:rsidRPr="00F54D4C">
              <w:t xml:space="preserve"> participation in the investigation.</w:t>
            </w:r>
            <w:r>
              <w:rPr>
                <w:b/>
                <w:bCs/>
              </w:rPr>
              <w:t xml:space="preserve"> </w:t>
            </w:r>
          </w:p>
          <w:p w14:paraId="5F96E503" w14:textId="57A23FEA" w:rsidR="008124C2" w:rsidRPr="000977F9" w:rsidRDefault="008124C2" w:rsidP="008124C2">
            <w:pPr>
              <w:widowControl w:val="0"/>
              <w:spacing w:before="60" w:after="60"/>
              <w:ind w:left="1059"/>
              <w:rPr>
                <w:i/>
                <w:iCs/>
              </w:rPr>
            </w:pPr>
            <w:r>
              <w:rPr>
                <w:i/>
                <w:iCs/>
              </w:rPr>
              <w:t>21 CFR 50.24(a)(2)(iii)</w:t>
            </w:r>
          </w:p>
        </w:tc>
        <w:tc>
          <w:tcPr>
            <w:tcW w:w="1121" w:type="dxa"/>
            <w:vAlign w:val="center"/>
          </w:tcPr>
          <w:p w14:paraId="3ADC8353" w14:textId="77777777" w:rsidR="008124C2" w:rsidRPr="003E72A2" w:rsidRDefault="00BA58AA" w:rsidP="00D12635">
            <w:pPr>
              <w:widowControl w:val="0"/>
              <w:jc w:val="center"/>
            </w:pPr>
            <w:sdt>
              <w:sdtPr>
                <w:id w:val="1678307374"/>
                <w14:checkbox>
                  <w14:checked w14:val="0"/>
                  <w14:checkedState w14:val="2612" w14:font="MS Gothic"/>
                  <w14:uncheckedState w14:val="2610" w14:font="MS Gothic"/>
                </w14:checkbox>
              </w:sdtPr>
              <w:sdtEndPr/>
              <w:sdtContent>
                <w:r w:rsidR="008124C2" w:rsidRPr="003E72A2">
                  <w:rPr>
                    <w:rFonts w:ascii="MS Gothic" w:eastAsia="MS Gothic" w:hAnsi="MS Gothic" w:hint="eastAsia"/>
                  </w:rPr>
                  <w:t>☐</w:t>
                </w:r>
              </w:sdtContent>
            </w:sdt>
          </w:p>
        </w:tc>
      </w:tr>
      <w:tr w:rsidR="008124C2" w14:paraId="52BBD57A" w14:textId="77777777" w:rsidTr="00F54D4C">
        <w:trPr>
          <w:trHeight w:val="323"/>
        </w:trPr>
        <w:tc>
          <w:tcPr>
            <w:tcW w:w="8809" w:type="dxa"/>
            <w:vAlign w:val="center"/>
          </w:tcPr>
          <w:p w14:paraId="7E807418" w14:textId="77777777" w:rsidR="008124C2" w:rsidRPr="00050BFC" w:rsidRDefault="008124C2" w:rsidP="008124C2">
            <w:pPr>
              <w:widowControl w:val="0"/>
              <w:spacing w:before="60" w:after="60"/>
              <w:ind w:left="429" w:hanging="450"/>
            </w:pPr>
            <w:r>
              <w:rPr>
                <w:b/>
                <w:bCs/>
              </w:rPr>
              <w:t xml:space="preserve">6.2   </w:t>
            </w:r>
            <w:r w:rsidRPr="00050BFC">
              <w:t>The research</w:t>
            </w:r>
            <w:r>
              <w:rPr>
                <w:b/>
                <w:bCs/>
              </w:rPr>
              <w:t xml:space="preserve"> could not practicably be carried out </w:t>
            </w:r>
            <w:r w:rsidRPr="00050BFC">
              <w:t>without the waiver.</w:t>
            </w:r>
          </w:p>
          <w:p w14:paraId="072A33D0" w14:textId="0C826A71" w:rsidR="008124C2" w:rsidRPr="008124C2" w:rsidRDefault="008124C2" w:rsidP="008124C2">
            <w:pPr>
              <w:widowControl w:val="0"/>
              <w:spacing w:before="60" w:after="60"/>
              <w:ind w:left="429"/>
              <w:rPr>
                <w:i/>
                <w:iCs/>
              </w:rPr>
            </w:pPr>
            <w:r>
              <w:rPr>
                <w:i/>
                <w:iCs/>
              </w:rPr>
              <w:t>21 CFR 50.24(a)(4); FDA-FAQ 29</w:t>
            </w:r>
          </w:p>
        </w:tc>
        <w:tc>
          <w:tcPr>
            <w:tcW w:w="1121" w:type="dxa"/>
            <w:tcBorders>
              <w:bottom w:val="single" w:sz="4" w:space="0" w:color="auto"/>
            </w:tcBorders>
            <w:vAlign w:val="center"/>
          </w:tcPr>
          <w:p w14:paraId="79126BBB" w14:textId="7385856E" w:rsidR="008124C2" w:rsidRPr="003E72A2" w:rsidRDefault="00BA58AA" w:rsidP="00D12635">
            <w:pPr>
              <w:widowControl w:val="0"/>
              <w:jc w:val="center"/>
            </w:pPr>
            <w:sdt>
              <w:sdtPr>
                <w:id w:val="-1136097646"/>
                <w14:checkbox>
                  <w14:checked w14:val="0"/>
                  <w14:checkedState w14:val="2612" w14:font="MS Gothic"/>
                  <w14:uncheckedState w14:val="2610" w14:font="MS Gothic"/>
                </w14:checkbox>
              </w:sdtPr>
              <w:sdtEndPr/>
              <w:sdtContent>
                <w:r w:rsidR="0017788F" w:rsidRPr="003E72A2">
                  <w:rPr>
                    <w:rFonts w:ascii="MS Gothic" w:eastAsia="MS Gothic" w:hAnsi="MS Gothic" w:hint="eastAsia"/>
                  </w:rPr>
                  <w:t>☐</w:t>
                </w:r>
              </w:sdtContent>
            </w:sdt>
          </w:p>
        </w:tc>
      </w:tr>
      <w:tr w:rsidR="00F54D4C" w14:paraId="303FF7AE" w14:textId="77777777" w:rsidTr="00F54D4C">
        <w:trPr>
          <w:trHeight w:val="323"/>
        </w:trPr>
        <w:tc>
          <w:tcPr>
            <w:tcW w:w="8809" w:type="dxa"/>
            <w:tcBorders>
              <w:right w:val="nil"/>
            </w:tcBorders>
            <w:shd w:val="clear" w:color="auto" w:fill="EBEBFF"/>
            <w:vAlign w:val="center"/>
          </w:tcPr>
          <w:p w14:paraId="67650FD7" w14:textId="77777777" w:rsidR="00F54D4C" w:rsidRDefault="00F54D4C" w:rsidP="00F54D4C">
            <w:pPr>
              <w:widowControl w:val="0"/>
              <w:spacing w:before="60" w:after="60"/>
              <w:ind w:left="429" w:hanging="450"/>
              <w:rPr>
                <w:b/>
                <w:bCs/>
              </w:rPr>
            </w:pPr>
            <w:r w:rsidRPr="5C862695">
              <w:rPr>
                <w:b/>
                <w:bCs/>
              </w:rPr>
              <w:t>+ Guidance</w:t>
            </w:r>
          </w:p>
          <w:p w14:paraId="44D06949" w14:textId="13BF5C5E" w:rsidR="00F54D4C" w:rsidRDefault="00F54D4C" w:rsidP="00F54D4C">
            <w:pPr>
              <w:widowControl w:val="0"/>
              <w:spacing w:before="60" w:after="60"/>
              <w:ind w:left="159"/>
            </w:pPr>
            <w:r>
              <w:t>This means that</w:t>
            </w:r>
            <w:r w:rsidR="00050BFC">
              <w:t>:</w:t>
            </w:r>
            <w:r>
              <w:t xml:space="preserve"> </w:t>
            </w:r>
            <w:r>
              <w:rPr>
                <w:b/>
                <w:bCs/>
              </w:rPr>
              <w:t>(1)</w:t>
            </w:r>
            <w:r>
              <w:t xml:space="preserve"> the results obtained in consenting subjects could not be generalizable to subjects who are unable to provide consent; </w:t>
            </w:r>
            <w:r>
              <w:rPr>
                <w:b/>
                <w:bCs/>
              </w:rPr>
              <w:t xml:space="preserve">or (2) </w:t>
            </w:r>
            <w:r>
              <w:t>the research would be unduly del</w:t>
            </w:r>
            <w:r w:rsidR="00050BFC">
              <w:t>ay</w:t>
            </w:r>
            <w:r>
              <w:t xml:space="preserve">ed by restricting it to consenting subjects. </w:t>
            </w:r>
          </w:p>
          <w:p w14:paraId="0993EE36" w14:textId="5E26965F" w:rsidR="000B3FF3" w:rsidRDefault="000B3FF3" w:rsidP="00F54D4C">
            <w:pPr>
              <w:widowControl w:val="0"/>
              <w:spacing w:before="60" w:after="60"/>
              <w:ind w:left="159"/>
            </w:pPr>
            <w:r>
              <w:t>For example, it may or may not be reasonable to generalize results from a less ill population (that was able to provide consent) to a more ill population that is unable to consent. Subjects who are not able to provide consent may have better prospects for full recovery than subjects who are unable to consent or may be less susceptible to the risks of the treatment.</w:t>
            </w:r>
          </w:p>
          <w:p w14:paraId="50521970" w14:textId="4D09583F" w:rsidR="000B3FF3" w:rsidRPr="00F54D4C" w:rsidRDefault="000B3FF3" w:rsidP="00F54D4C">
            <w:pPr>
              <w:widowControl w:val="0"/>
              <w:spacing w:before="60" w:after="60"/>
              <w:ind w:left="159"/>
            </w:pPr>
            <w:r>
              <w:t>Even if the population at risk can be identified in advance (e.g., cardiac patients entering a hospital who may be at risk for cardiac arrest), it may be impracticable to obtain consent from all of them because the event (cardiac arrest) may occur in a very small fraction of those patients; therefore, subject enrollment would take too long to conduct the study in a reasonable time.</w:t>
            </w:r>
          </w:p>
        </w:tc>
        <w:tc>
          <w:tcPr>
            <w:tcW w:w="1121" w:type="dxa"/>
            <w:tcBorders>
              <w:left w:val="nil"/>
            </w:tcBorders>
            <w:shd w:val="clear" w:color="auto" w:fill="EBEBFF"/>
            <w:vAlign w:val="center"/>
          </w:tcPr>
          <w:p w14:paraId="78A6C0D1" w14:textId="77777777" w:rsidR="00F54D4C" w:rsidRDefault="00F54D4C" w:rsidP="00D12635">
            <w:pPr>
              <w:widowControl w:val="0"/>
              <w:jc w:val="center"/>
            </w:pPr>
          </w:p>
        </w:tc>
      </w:tr>
    </w:tbl>
    <w:p w14:paraId="15004953" w14:textId="77777777" w:rsidR="0017788F" w:rsidRDefault="0017788F" w:rsidP="0017788F">
      <w:pPr>
        <w:pStyle w:val="ListParagraph"/>
        <w:widowControl w:val="0"/>
        <w:ind w:left="90"/>
      </w:pPr>
    </w:p>
    <w:tbl>
      <w:tblPr>
        <w:tblStyle w:val="TableGrid"/>
        <w:tblW w:w="0" w:type="auto"/>
        <w:tblInd w:w="85" w:type="dxa"/>
        <w:tblLook w:val="04A0" w:firstRow="1" w:lastRow="0" w:firstColumn="1" w:lastColumn="0" w:noHBand="0" w:noVBand="1"/>
      </w:tblPr>
      <w:tblGrid>
        <w:gridCol w:w="8809"/>
        <w:gridCol w:w="1121"/>
      </w:tblGrid>
      <w:tr w:rsidR="0017788F" w14:paraId="75E22660" w14:textId="77777777" w:rsidTr="0017788F">
        <w:trPr>
          <w:trHeight w:val="323"/>
        </w:trPr>
        <w:tc>
          <w:tcPr>
            <w:tcW w:w="8809" w:type="dxa"/>
            <w:shd w:val="clear" w:color="auto" w:fill="33006F"/>
            <w:vAlign w:val="center"/>
          </w:tcPr>
          <w:p w14:paraId="4709ACAD" w14:textId="2C8BFB20" w:rsidR="0017788F" w:rsidRPr="00C7566E" w:rsidRDefault="0017788F" w:rsidP="00D12635">
            <w:pPr>
              <w:pStyle w:val="ListParagraph"/>
              <w:widowControl w:val="0"/>
              <w:numPr>
                <w:ilvl w:val="0"/>
                <w:numId w:val="29"/>
              </w:numPr>
              <w:spacing w:before="60" w:after="60"/>
              <w:rPr>
                <w:b/>
                <w:bCs/>
                <w:color w:val="FFFFFF" w:themeColor="background1"/>
              </w:rPr>
            </w:pPr>
            <w:r>
              <w:rPr>
                <w:b/>
                <w:bCs/>
                <w:color w:val="FFFFFF" w:themeColor="background1"/>
              </w:rPr>
              <w:t xml:space="preserve">AFTER ENROLLMENT </w:t>
            </w:r>
            <w:r>
              <w:rPr>
                <w:color w:val="FFFFFF" w:themeColor="background1"/>
              </w:rPr>
              <w:t>(when consent was not obtained)</w:t>
            </w:r>
          </w:p>
        </w:tc>
        <w:tc>
          <w:tcPr>
            <w:tcW w:w="1121" w:type="dxa"/>
            <w:tcBorders>
              <w:bottom w:val="single" w:sz="4" w:space="0" w:color="auto"/>
            </w:tcBorders>
            <w:shd w:val="clear" w:color="auto" w:fill="33006F"/>
            <w:vAlign w:val="center"/>
          </w:tcPr>
          <w:p w14:paraId="5932332D" w14:textId="77777777" w:rsidR="0017788F" w:rsidRPr="00C7566E" w:rsidRDefault="0017788F" w:rsidP="00D12635">
            <w:pPr>
              <w:widowControl w:val="0"/>
              <w:jc w:val="center"/>
              <w:rPr>
                <w:b/>
                <w:bCs/>
              </w:rPr>
            </w:pPr>
            <w:r>
              <w:rPr>
                <w:b/>
                <w:bCs/>
              </w:rPr>
              <w:t>Met</w:t>
            </w:r>
          </w:p>
        </w:tc>
      </w:tr>
      <w:tr w:rsidR="0017788F" w14:paraId="2F5C8BF6" w14:textId="77777777" w:rsidTr="0017788F">
        <w:trPr>
          <w:trHeight w:val="323"/>
        </w:trPr>
        <w:tc>
          <w:tcPr>
            <w:tcW w:w="8809" w:type="dxa"/>
            <w:tcBorders>
              <w:right w:val="single" w:sz="4" w:space="0" w:color="auto"/>
            </w:tcBorders>
            <w:vAlign w:val="center"/>
          </w:tcPr>
          <w:p w14:paraId="7FE739B1" w14:textId="50B51774" w:rsidR="0017788F" w:rsidRDefault="0017788F" w:rsidP="00D12635">
            <w:pPr>
              <w:widowControl w:val="0"/>
              <w:spacing w:before="60" w:after="60"/>
              <w:ind w:left="429" w:hanging="450"/>
            </w:pPr>
            <w:r>
              <w:rPr>
                <w:b/>
                <w:bCs/>
              </w:rPr>
              <w:t>7</w:t>
            </w:r>
            <w:r w:rsidRPr="0006195E">
              <w:rPr>
                <w:b/>
                <w:bCs/>
              </w:rPr>
              <w:t xml:space="preserve">.1   </w:t>
            </w:r>
            <w:r w:rsidRPr="00F76F56">
              <w:t>There are procedures for</w:t>
            </w:r>
            <w:r>
              <w:rPr>
                <w:b/>
                <w:bCs/>
              </w:rPr>
              <w:t xml:space="preserve"> informing</w:t>
            </w:r>
            <w:r w:rsidR="00050BFC">
              <w:rPr>
                <w:b/>
                <w:bCs/>
              </w:rPr>
              <w:t xml:space="preserve"> each subject</w:t>
            </w:r>
            <w:r>
              <w:rPr>
                <w:b/>
                <w:bCs/>
              </w:rPr>
              <w:t>, at the earliest feasible opportunity</w:t>
            </w:r>
            <w:r w:rsidRPr="00F76F56">
              <w:t xml:space="preserve"> or</w:t>
            </w:r>
            <w:r w:rsidR="00050BFC">
              <w:t>,</w:t>
            </w:r>
            <w:r w:rsidRPr="00F76F56">
              <w:t xml:space="preserve"> if the subject remains incapacitated, a LAR, or if a LAR is not reasonably available, a family member, of the subject’s inclusion in the research, the details of the research, and other </w:t>
            </w:r>
            <w:r w:rsidRPr="00F76F56">
              <w:lastRenderedPageBreak/>
              <w:t>information contained in the consent document.</w:t>
            </w:r>
          </w:p>
          <w:p w14:paraId="649D2F37" w14:textId="0F5C7F36" w:rsidR="0017788F" w:rsidRPr="007D045F" w:rsidRDefault="0017788F" w:rsidP="00D12635">
            <w:pPr>
              <w:widowControl w:val="0"/>
              <w:spacing w:before="60" w:after="60"/>
              <w:ind w:left="429" w:firstLine="90"/>
              <w:rPr>
                <w:i/>
                <w:iCs/>
              </w:rPr>
            </w:pPr>
            <w:r>
              <w:rPr>
                <w:i/>
                <w:iCs/>
              </w:rPr>
              <w:t>21 CFR 50.24(b); FDA-FAQ 103-114</w:t>
            </w:r>
          </w:p>
        </w:tc>
        <w:tc>
          <w:tcPr>
            <w:tcW w:w="1121" w:type="dxa"/>
            <w:tcBorders>
              <w:left w:val="single" w:sz="4" w:space="0" w:color="auto"/>
            </w:tcBorders>
            <w:vAlign w:val="center"/>
          </w:tcPr>
          <w:p w14:paraId="7D292AD1" w14:textId="5F5A402E" w:rsidR="0017788F" w:rsidRDefault="00BA58AA" w:rsidP="00D12635">
            <w:pPr>
              <w:widowControl w:val="0"/>
              <w:jc w:val="center"/>
            </w:pPr>
            <w:sdt>
              <w:sdtPr>
                <w:id w:val="479815491"/>
                <w14:checkbox>
                  <w14:checked w14:val="0"/>
                  <w14:checkedState w14:val="2612" w14:font="MS Gothic"/>
                  <w14:uncheckedState w14:val="2610" w14:font="MS Gothic"/>
                </w14:checkbox>
              </w:sdtPr>
              <w:sdtEndPr/>
              <w:sdtContent>
                <w:r w:rsidR="0017788F" w:rsidRPr="003E72A2">
                  <w:rPr>
                    <w:rFonts w:ascii="MS Gothic" w:eastAsia="MS Gothic" w:hAnsi="MS Gothic" w:hint="eastAsia"/>
                  </w:rPr>
                  <w:t>☐</w:t>
                </w:r>
              </w:sdtContent>
            </w:sdt>
          </w:p>
        </w:tc>
      </w:tr>
      <w:tr w:rsidR="0017788F" w14:paraId="6B3F71D2" w14:textId="77777777" w:rsidTr="00D12635">
        <w:trPr>
          <w:trHeight w:val="323"/>
        </w:trPr>
        <w:tc>
          <w:tcPr>
            <w:tcW w:w="8809" w:type="dxa"/>
            <w:vAlign w:val="center"/>
          </w:tcPr>
          <w:p w14:paraId="0C7235E9" w14:textId="40B0B0C6" w:rsidR="0017788F" w:rsidRDefault="0017788F" w:rsidP="0017788F">
            <w:pPr>
              <w:widowControl w:val="0"/>
              <w:spacing w:before="60" w:after="60"/>
              <w:ind w:left="429" w:hanging="450"/>
              <w:rPr>
                <w:b/>
                <w:bCs/>
              </w:rPr>
            </w:pPr>
            <w:r>
              <w:rPr>
                <w:b/>
                <w:bCs/>
              </w:rPr>
              <w:t xml:space="preserve">7.2    </w:t>
            </w:r>
            <w:r w:rsidRPr="00F76F56">
              <w:t>If a</w:t>
            </w:r>
            <w:r>
              <w:rPr>
                <w:b/>
                <w:bCs/>
              </w:rPr>
              <w:t xml:space="preserve"> subject is enrolled in the study without consent and dies </w:t>
            </w:r>
            <w:r w:rsidRPr="00F76F56">
              <w:t xml:space="preserve">before a LAR or family member can be contacted, information about the research is to be provided to the LAR or family member, if feasible. </w:t>
            </w:r>
          </w:p>
          <w:p w14:paraId="148AE172" w14:textId="61CB5C5D" w:rsidR="0017788F" w:rsidRPr="00004E22" w:rsidRDefault="0017788F" w:rsidP="0017788F">
            <w:pPr>
              <w:widowControl w:val="0"/>
              <w:spacing w:before="60" w:after="60"/>
              <w:ind w:left="429"/>
              <w:rPr>
                <w:i/>
                <w:iCs/>
              </w:rPr>
            </w:pPr>
            <w:r>
              <w:rPr>
                <w:i/>
                <w:iCs/>
              </w:rPr>
              <w:t>21 CFR 50.24(b); FDA-FAQ 107</w:t>
            </w:r>
          </w:p>
        </w:tc>
        <w:tc>
          <w:tcPr>
            <w:tcW w:w="1121" w:type="dxa"/>
            <w:vAlign w:val="center"/>
          </w:tcPr>
          <w:p w14:paraId="2EF795ED" w14:textId="77777777" w:rsidR="0017788F" w:rsidRDefault="00BA58AA" w:rsidP="00D12635">
            <w:pPr>
              <w:widowControl w:val="0"/>
              <w:jc w:val="center"/>
            </w:pPr>
            <w:sdt>
              <w:sdtPr>
                <w:id w:val="-1533573477"/>
                <w14:checkbox>
                  <w14:checked w14:val="0"/>
                  <w14:checkedState w14:val="2612" w14:font="MS Gothic"/>
                  <w14:uncheckedState w14:val="2610" w14:font="MS Gothic"/>
                </w14:checkbox>
              </w:sdtPr>
              <w:sdtEndPr/>
              <w:sdtContent>
                <w:r w:rsidR="0017788F" w:rsidRPr="003E72A2">
                  <w:rPr>
                    <w:rFonts w:ascii="MS Gothic" w:eastAsia="MS Gothic" w:hAnsi="MS Gothic" w:hint="eastAsia"/>
                  </w:rPr>
                  <w:t>☐</w:t>
                </w:r>
              </w:sdtContent>
            </w:sdt>
          </w:p>
        </w:tc>
      </w:tr>
      <w:tr w:rsidR="0017788F" w14:paraId="779390E5" w14:textId="77777777" w:rsidTr="00D12635">
        <w:trPr>
          <w:trHeight w:val="323"/>
        </w:trPr>
        <w:tc>
          <w:tcPr>
            <w:tcW w:w="8809" w:type="dxa"/>
            <w:vAlign w:val="center"/>
          </w:tcPr>
          <w:p w14:paraId="7BFE857D" w14:textId="5A49C789" w:rsidR="0017788F" w:rsidRPr="00F76F56" w:rsidRDefault="0017788F" w:rsidP="0017788F">
            <w:pPr>
              <w:widowControl w:val="0"/>
              <w:spacing w:before="60" w:after="60"/>
              <w:ind w:left="429" w:hanging="450"/>
            </w:pPr>
            <w:r>
              <w:rPr>
                <w:b/>
                <w:bCs/>
              </w:rPr>
              <w:t xml:space="preserve">7.3   </w:t>
            </w:r>
            <w:r w:rsidRPr="00F76F56">
              <w:t>If a LAR or family member is told about the research and</w:t>
            </w:r>
            <w:r>
              <w:rPr>
                <w:b/>
                <w:bCs/>
              </w:rPr>
              <w:t xml:space="preserve"> the subject’s condition improves, </w:t>
            </w:r>
            <w:r w:rsidRPr="00F76F56">
              <w:t>the subject will be informed as soon as</w:t>
            </w:r>
            <w:r w:rsidR="00050BFC">
              <w:t xml:space="preserve"> is</w:t>
            </w:r>
            <w:r w:rsidRPr="00F76F56">
              <w:t xml:space="preserve"> feasible about the subject’s inclusion in the research, the details of the research, and other information contained in the consent document.</w:t>
            </w:r>
          </w:p>
          <w:p w14:paraId="6E540485" w14:textId="763B26C6" w:rsidR="0017788F" w:rsidRPr="00004E22" w:rsidRDefault="0017788F" w:rsidP="0017788F">
            <w:pPr>
              <w:widowControl w:val="0"/>
              <w:spacing w:before="60" w:after="60"/>
              <w:ind w:left="429"/>
              <w:rPr>
                <w:i/>
                <w:iCs/>
              </w:rPr>
            </w:pPr>
            <w:r>
              <w:rPr>
                <w:i/>
                <w:iCs/>
              </w:rPr>
              <w:t>21 CFR 50.24(b)</w:t>
            </w:r>
          </w:p>
        </w:tc>
        <w:tc>
          <w:tcPr>
            <w:tcW w:w="1121" w:type="dxa"/>
            <w:vAlign w:val="center"/>
          </w:tcPr>
          <w:p w14:paraId="283E42C0" w14:textId="77777777" w:rsidR="0017788F" w:rsidRDefault="00BA58AA" w:rsidP="00D12635">
            <w:pPr>
              <w:widowControl w:val="0"/>
              <w:jc w:val="center"/>
            </w:pPr>
            <w:sdt>
              <w:sdtPr>
                <w:id w:val="874125483"/>
                <w14:checkbox>
                  <w14:checked w14:val="0"/>
                  <w14:checkedState w14:val="2612" w14:font="MS Gothic"/>
                  <w14:uncheckedState w14:val="2610" w14:font="MS Gothic"/>
                </w14:checkbox>
              </w:sdtPr>
              <w:sdtEndPr/>
              <w:sdtContent>
                <w:r w:rsidR="0017788F" w:rsidRPr="003E72A2">
                  <w:rPr>
                    <w:rFonts w:ascii="MS Gothic" w:eastAsia="MS Gothic" w:hAnsi="MS Gothic" w:hint="eastAsia"/>
                  </w:rPr>
                  <w:t>☐</w:t>
                </w:r>
              </w:sdtContent>
            </w:sdt>
          </w:p>
        </w:tc>
      </w:tr>
      <w:tr w:rsidR="0017788F" w14:paraId="24AE90D3" w14:textId="77777777" w:rsidTr="00D12635">
        <w:trPr>
          <w:trHeight w:val="323"/>
        </w:trPr>
        <w:tc>
          <w:tcPr>
            <w:tcW w:w="8809" w:type="dxa"/>
            <w:vAlign w:val="center"/>
          </w:tcPr>
          <w:p w14:paraId="732A9687" w14:textId="29444F5A" w:rsidR="0017788F" w:rsidRPr="00F76F56" w:rsidRDefault="0017788F" w:rsidP="0017788F">
            <w:pPr>
              <w:widowControl w:val="0"/>
              <w:spacing w:before="60" w:after="60"/>
              <w:ind w:left="429" w:hanging="450"/>
            </w:pPr>
            <w:r>
              <w:rPr>
                <w:b/>
                <w:bCs/>
              </w:rPr>
              <w:t xml:space="preserve">7.4   </w:t>
            </w:r>
            <w:r w:rsidRPr="00F76F56">
              <w:t xml:space="preserve">There is a procedure to inform the subject, or if the subject remains incapacitated, a LAR, or if a LAR is not reasonably available, a family member, that </w:t>
            </w:r>
            <w:r w:rsidRPr="00F76F56">
              <w:t>they</w:t>
            </w:r>
            <w:r w:rsidRPr="00F76F56">
              <w:t xml:space="preserve"> may</w:t>
            </w:r>
            <w:r>
              <w:rPr>
                <w:b/>
                <w:bCs/>
              </w:rPr>
              <w:t xml:space="preserve"> discontinue the subject’s participation </w:t>
            </w:r>
            <w:r w:rsidRPr="00F76F56">
              <w:t xml:space="preserve">at any time without penalty or loss of benefits to which the subject is otherwise entitled. </w:t>
            </w:r>
          </w:p>
          <w:p w14:paraId="43DDA444" w14:textId="19FEAF08" w:rsidR="0017788F" w:rsidRPr="000977F9" w:rsidRDefault="0017788F" w:rsidP="0017788F">
            <w:pPr>
              <w:widowControl w:val="0"/>
              <w:spacing w:before="60" w:after="60"/>
              <w:ind w:left="429"/>
              <w:rPr>
                <w:i/>
                <w:iCs/>
              </w:rPr>
            </w:pPr>
            <w:r>
              <w:rPr>
                <w:i/>
                <w:iCs/>
              </w:rPr>
              <w:t>21 CFR 50.24(b)</w:t>
            </w:r>
          </w:p>
        </w:tc>
        <w:tc>
          <w:tcPr>
            <w:tcW w:w="1121" w:type="dxa"/>
            <w:vAlign w:val="center"/>
          </w:tcPr>
          <w:p w14:paraId="28F39BD9" w14:textId="77777777" w:rsidR="0017788F" w:rsidRPr="003E72A2" w:rsidRDefault="00BA58AA" w:rsidP="00D12635">
            <w:pPr>
              <w:widowControl w:val="0"/>
              <w:jc w:val="center"/>
            </w:pPr>
            <w:sdt>
              <w:sdtPr>
                <w:id w:val="-1333904884"/>
                <w14:checkbox>
                  <w14:checked w14:val="0"/>
                  <w14:checkedState w14:val="2612" w14:font="MS Gothic"/>
                  <w14:uncheckedState w14:val="2610" w14:font="MS Gothic"/>
                </w14:checkbox>
              </w:sdtPr>
              <w:sdtEndPr/>
              <w:sdtContent>
                <w:r w:rsidR="0017788F" w:rsidRPr="003E72A2">
                  <w:rPr>
                    <w:rFonts w:ascii="MS Gothic" w:eastAsia="MS Gothic" w:hAnsi="MS Gothic" w:hint="eastAsia"/>
                  </w:rPr>
                  <w:t>☐</w:t>
                </w:r>
              </w:sdtContent>
            </w:sdt>
          </w:p>
        </w:tc>
      </w:tr>
    </w:tbl>
    <w:p w14:paraId="077E7527" w14:textId="77777777" w:rsidR="00597953" w:rsidRDefault="00597953" w:rsidP="00597953">
      <w:pPr>
        <w:pStyle w:val="ListParagraph"/>
        <w:widowControl w:val="0"/>
        <w:spacing w:before="120" w:after="120"/>
        <w:ind w:left="90"/>
      </w:pPr>
    </w:p>
    <w:tbl>
      <w:tblPr>
        <w:tblStyle w:val="TableGrid"/>
        <w:tblW w:w="0" w:type="auto"/>
        <w:tblInd w:w="85" w:type="dxa"/>
        <w:tblLook w:val="04A0" w:firstRow="1" w:lastRow="0" w:firstColumn="1" w:lastColumn="0" w:noHBand="0" w:noVBand="1"/>
      </w:tblPr>
      <w:tblGrid>
        <w:gridCol w:w="8809"/>
        <w:gridCol w:w="1121"/>
      </w:tblGrid>
      <w:tr w:rsidR="00B7777E" w14:paraId="625E8110" w14:textId="77777777" w:rsidTr="00D12635">
        <w:trPr>
          <w:trHeight w:val="323"/>
        </w:trPr>
        <w:tc>
          <w:tcPr>
            <w:tcW w:w="8809" w:type="dxa"/>
            <w:shd w:val="clear" w:color="auto" w:fill="33006F"/>
            <w:vAlign w:val="center"/>
          </w:tcPr>
          <w:p w14:paraId="2E92E1FD" w14:textId="089441A0" w:rsidR="00B7777E" w:rsidRPr="00C7566E" w:rsidRDefault="00B7777E" w:rsidP="00D12635">
            <w:pPr>
              <w:pStyle w:val="ListParagraph"/>
              <w:widowControl w:val="0"/>
              <w:numPr>
                <w:ilvl w:val="0"/>
                <w:numId w:val="29"/>
              </w:numPr>
              <w:spacing w:before="60" w:after="60"/>
              <w:rPr>
                <w:b/>
                <w:bCs/>
                <w:color w:val="FFFFFF" w:themeColor="background1"/>
              </w:rPr>
            </w:pPr>
            <w:r>
              <w:rPr>
                <w:b/>
                <w:bCs/>
                <w:color w:val="FFFFFF" w:themeColor="background1"/>
              </w:rPr>
              <w:t>ADDITIONAL PROTECTIONS</w:t>
            </w:r>
          </w:p>
        </w:tc>
        <w:tc>
          <w:tcPr>
            <w:tcW w:w="1121" w:type="dxa"/>
            <w:tcBorders>
              <w:bottom w:val="single" w:sz="4" w:space="0" w:color="auto"/>
            </w:tcBorders>
            <w:shd w:val="clear" w:color="auto" w:fill="33006F"/>
            <w:vAlign w:val="center"/>
          </w:tcPr>
          <w:p w14:paraId="53F4689F" w14:textId="77777777" w:rsidR="00B7777E" w:rsidRPr="00C7566E" w:rsidRDefault="00B7777E" w:rsidP="00D12635">
            <w:pPr>
              <w:widowControl w:val="0"/>
              <w:jc w:val="center"/>
              <w:rPr>
                <w:b/>
                <w:bCs/>
              </w:rPr>
            </w:pPr>
            <w:r>
              <w:rPr>
                <w:b/>
                <w:bCs/>
              </w:rPr>
              <w:t>Met</w:t>
            </w:r>
          </w:p>
        </w:tc>
      </w:tr>
      <w:tr w:rsidR="00B7777E" w14:paraId="5723FEF4" w14:textId="77777777" w:rsidTr="003006DA">
        <w:trPr>
          <w:trHeight w:val="323"/>
        </w:trPr>
        <w:tc>
          <w:tcPr>
            <w:tcW w:w="8809" w:type="dxa"/>
            <w:tcBorders>
              <w:right w:val="single" w:sz="4" w:space="0" w:color="auto"/>
            </w:tcBorders>
            <w:vAlign w:val="center"/>
          </w:tcPr>
          <w:p w14:paraId="5E8A32D4" w14:textId="777C3FA9" w:rsidR="00B7777E" w:rsidRPr="00B7777E" w:rsidRDefault="00B7777E" w:rsidP="00D12635">
            <w:pPr>
              <w:widowControl w:val="0"/>
              <w:spacing w:before="60" w:after="60"/>
              <w:ind w:left="429" w:hanging="450"/>
              <w:rPr>
                <w:b/>
                <w:bCs/>
              </w:rPr>
            </w:pPr>
            <w:r>
              <w:rPr>
                <w:b/>
                <w:bCs/>
              </w:rPr>
              <w:t>8</w:t>
            </w:r>
            <w:r w:rsidRPr="0006195E">
              <w:rPr>
                <w:b/>
                <w:bCs/>
              </w:rPr>
              <w:t xml:space="preserve">.1   </w:t>
            </w:r>
            <w:r>
              <w:rPr>
                <w:b/>
                <w:bCs/>
              </w:rPr>
              <w:t xml:space="preserve">Community consultation, type 1 </w:t>
            </w:r>
            <w:r>
              <w:t xml:space="preserve">(including, where appropriate, consultation carried out by the IRB) </w:t>
            </w:r>
            <w:r w:rsidRPr="00B7777E">
              <w:t xml:space="preserve">will occur with representatives of the </w:t>
            </w:r>
            <w:r w:rsidRPr="00B7777E">
              <w:rPr>
                <w:i/>
                <w:iCs/>
              </w:rPr>
              <w:t>communities in which the research will be conducted</w:t>
            </w:r>
            <w:r w:rsidRPr="00B7777E">
              <w:t>.</w:t>
            </w:r>
            <w:r>
              <w:rPr>
                <w:b/>
                <w:bCs/>
              </w:rPr>
              <w:t xml:space="preserve"> </w:t>
            </w:r>
          </w:p>
          <w:p w14:paraId="76CCDE0E" w14:textId="56439B68" w:rsidR="00B7777E" w:rsidRPr="007D045F" w:rsidRDefault="00B7777E" w:rsidP="00D12635">
            <w:pPr>
              <w:widowControl w:val="0"/>
              <w:spacing w:before="60" w:after="60"/>
              <w:ind w:left="429" w:firstLine="90"/>
              <w:rPr>
                <w:i/>
                <w:iCs/>
              </w:rPr>
            </w:pPr>
            <w:r>
              <w:rPr>
                <w:i/>
                <w:iCs/>
              </w:rPr>
              <w:t>21 CFR 50.24(b)(7)(i); FDA-FAQ 47, 48, 54-77</w:t>
            </w:r>
          </w:p>
        </w:tc>
        <w:tc>
          <w:tcPr>
            <w:tcW w:w="1121" w:type="dxa"/>
            <w:tcBorders>
              <w:left w:val="single" w:sz="4" w:space="0" w:color="auto"/>
              <w:bottom w:val="single" w:sz="4" w:space="0" w:color="auto"/>
            </w:tcBorders>
            <w:vAlign w:val="center"/>
          </w:tcPr>
          <w:p w14:paraId="2C6FC6A2" w14:textId="77777777" w:rsidR="00B7777E" w:rsidRDefault="00BA58AA" w:rsidP="00D12635">
            <w:pPr>
              <w:widowControl w:val="0"/>
              <w:jc w:val="center"/>
            </w:pPr>
            <w:sdt>
              <w:sdtPr>
                <w:id w:val="-977136347"/>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3006DA" w14:paraId="1F484242" w14:textId="77777777" w:rsidTr="003006DA">
        <w:trPr>
          <w:trHeight w:val="323"/>
        </w:trPr>
        <w:tc>
          <w:tcPr>
            <w:tcW w:w="8809" w:type="dxa"/>
            <w:tcBorders>
              <w:right w:val="nil"/>
            </w:tcBorders>
            <w:shd w:val="clear" w:color="auto" w:fill="EBEBFF"/>
            <w:vAlign w:val="center"/>
          </w:tcPr>
          <w:p w14:paraId="16576DBC" w14:textId="77777777" w:rsidR="003006DA" w:rsidRDefault="003006DA" w:rsidP="003006DA">
            <w:pPr>
              <w:widowControl w:val="0"/>
              <w:spacing w:before="60" w:after="60"/>
              <w:ind w:left="429" w:hanging="450"/>
              <w:rPr>
                <w:b/>
                <w:bCs/>
              </w:rPr>
            </w:pPr>
            <w:r w:rsidRPr="5C862695">
              <w:rPr>
                <w:b/>
                <w:bCs/>
              </w:rPr>
              <w:t>+ Guidance</w:t>
            </w:r>
          </w:p>
          <w:p w14:paraId="688DE861" w14:textId="77777777" w:rsidR="003006DA" w:rsidRDefault="003006DA" w:rsidP="003006DA">
            <w:pPr>
              <w:widowControl w:val="0"/>
              <w:spacing w:before="60" w:after="60"/>
              <w:ind w:left="159"/>
            </w:pPr>
            <w:r>
              <w:t>“Communities in which the research will be conducted” means the geographic area (e.g., hospital or other facility or city or region) where the research will be conducted.</w:t>
            </w:r>
          </w:p>
          <w:p w14:paraId="39D456D0" w14:textId="77777777" w:rsidR="003006DA" w:rsidRDefault="00BB52AB" w:rsidP="003006DA">
            <w:pPr>
              <w:widowControl w:val="0"/>
              <w:spacing w:before="60" w:after="60"/>
              <w:ind w:left="159"/>
            </w:pPr>
            <w:r>
              <w:t xml:space="preserve">The IRB must review and approve the plans for community consultation and public disclosure before the plans are implemented. </w:t>
            </w:r>
          </w:p>
          <w:p w14:paraId="64CBACB0" w14:textId="03E3F72C" w:rsidR="00BB52AB" w:rsidRDefault="00BB52AB" w:rsidP="003006DA">
            <w:pPr>
              <w:widowControl w:val="0"/>
              <w:spacing w:before="60" w:after="60"/>
              <w:ind w:left="159"/>
            </w:pPr>
            <w:r>
              <w:t>Though not required, it is considered best practice to review the study protocol together with the plans for community consultation and public disclosure</w:t>
            </w:r>
            <w:r w:rsidR="00910DD9">
              <w:t>.</w:t>
            </w:r>
          </w:p>
          <w:p w14:paraId="7DAC6198" w14:textId="77777777" w:rsidR="00BB52AB" w:rsidRDefault="00BB52AB" w:rsidP="003006DA">
            <w:pPr>
              <w:widowControl w:val="0"/>
              <w:spacing w:before="60" w:after="60"/>
              <w:ind w:left="159"/>
            </w:pPr>
            <w:r>
              <w:t>There is no single acceptable way to accomplish community consultation, nor will all studies require the same amount, type, or extent of community consultation. More or less consultation may be appropriate, depending on the study. For example, a study involving a novel treatment that is being compared with placebo may require extensive consultation. Less extensive consultation may be appropriate for a study comparing an available treatment that is considered unsatisfactory with another product about which much is known (e.g., an approved product that is not approved for the specific indication that is the subject of the emergency research).</w:t>
            </w:r>
          </w:p>
          <w:p w14:paraId="6BC43BDF" w14:textId="77777777" w:rsidR="00BB52AB" w:rsidRDefault="00BB52AB" w:rsidP="003006DA">
            <w:pPr>
              <w:widowControl w:val="0"/>
              <w:spacing w:before="60" w:after="60"/>
              <w:ind w:left="159"/>
            </w:pPr>
            <w:r>
              <w:t xml:space="preserve">The IRB is expected to consider the concerns and objections raised during community consultation activities before completing its review of the initial application. </w:t>
            </w:r>
          </w:p>
          <w:p w14:paraId="5FD2A9C5" w14:textId="77777777" w:rsidR="00BB52AB" w:rsidRDefault="00BB52AB" w:rsidP="003006DA">
            <w:pPr>
              <w:widowControl w:val="0"/>
              <w:spacing w:before="60" w:after="60"/>
              <w:ind w:left="159"/>
            </w:pPr>
            <w:r>
              <w:t>There is no requirement to evaluate the effectiveness of the community consultation and public disclosure processes.</w:t>
            </w:r>
          </w:p>
          <w:p w14:paraId="44DB80D0" w14:textId="26405CDA" w:rsidR="00BB52AB" w:rsidRPr="003006DA" w:rsidRDefault="00BB52AB" w:rsidP="003006DA">
            <w:pPr>
              <w:widowControl w:val="0"/>
              <w:spacing w:before="60" w:after="60"/>
              <w:ind w:left="159"/>
            </w:pPr>
            <w:r>
              <w:t>The FDA guidance document provides extensive discussion and guidance about community consultation (FDA-FAQ 47, 48, 54-77).</w:t>
            </w:r>
          </w:p>
        </w:tc>
        <w:tc>
          <w:tcPr>
            <w:tcW w:w="1121" w:type="dxa"/>
            <w:tcBorders>
              <w:left w:val="nil"/>
            </w:tcBorders>
            <w:shd w:val="clear" w:color="auto" w:fill="EBEBFF"/>
            <w:vAlign w:val="center"/>
          </w:tcPr>
          <w:p w14:paraId="33E97C09" w14:textId="77777777" w:rsidR="003006DA" w:rsidRDefault="003006DA" w:rsidP="00D12635">
            <w:pPr>
              <w:widowControl w:val="0"/>
              <w:jc w:val="center"/>
            </w:pPr>
          </w:p>
        </w:tc>
      </w:tr>
      <w:tr w:rsidR="00B7777E" w14:paraId="1D5CD8B7" w14:textId="77777777" w:rsidTr="00E74EDA">
        <w:trPr>
          <w:trHeight w:val="323"/>
        </w:trPr>
        <w:tc>
          <w:tcPr>
            <w:tcW w:w="8809" w:type="dxa"/>
            <w:vAlign w:val="center"/>
          </w:tcPr>
          <w:p w14:paraId="1AF8C922" w14:textId="45E8CBF1" w:rsidR="00B7777E" w:rsidRDefault="00B7777E" w:rsidP="00D12635">
            <w:pPr>
              <w:widowControl w:val="0"/>
              <w:spacing w:before="60" w:after="60"/>
              <w:ind w:left="429" w:hanging="450"/>
              <w:rPr>
                <w:b/>
                <w:bCs/>
              </w:rPr>
            </w:pPr>
            <w:r>
              <w:rPr>
                <w:b/>
                <w:bCs/>
              </w:rPr>
              <w:lastRenderedPageBreak/>
              <w:t xml:space="preserve">8.2    Community consultation, type 2. </w:t>
            </w:r>
            <w:r>
              <w:t xml:space="preserve">Consultation, (including, where appropriate, consultation by the IRB) will occur with representatives of the </w:t>
            </w:r>
            <w:r>
              <w:rPr>
                <w:i/>
                <w:iCs/>
              </w:rPr>
              <w:t>communities from which the subjects will be drawn</w:t>
            </w:r>
            <w:r>
              <w:t>.</w:t>
            </w:r>
            <w:r>
              <w:rPr>
                <w:b/>
                <w:bCs/>
              </w:rPr>
              <w:t xml:space="preserve"> </w:t>
            </w:r>
          </w:p>
          <w:p w14:paraId="5548E5CE" w14:textId="6D51356A" w:rsidR="00B7777E" w:rsidRPr="00004E22" w:rsidRDefault="00B7777E" w:rsidP="00D12635">
            <w:pPr>
              <w:widowControl w:val="0"/>
              <w:spacing w:before="60" w:after="60"/>
              <w:ind w:left="429"/>
              <w:rPr>
                <w:i/>
                <w:iCs/>
              </w:rPr>
            </w:pPr>
            <w:r>
              <w:rPr>
                <w:i/>
                <w:iCs/>
              </w:rPr>
              <w:t>21 CFR 50.24(b)(7)(i)</w:t>
            </w:r>
          </w:p>
        </w:tc>
        <w:tc>
          <w:tcPr>
            <w:tcW w:w="1121" w:type="dxa"/>
            <w:tcBorders>
              <w:bottom w:val="single" w:sz="4" w:space="0" w:color="auto"/>
            </w:tcBorders>
            <w:vAlign w:val="center"/>
          </w:tcPr>
          <w:p w14:paraId="68A50279" w14:textId="77777777" w:rsidR="00B7777E" w:rsidRDefault="00BA58AA" w:rsidP="00D12635">
            <w:pPr>
              <w:widowControl w:val="0"/>
              <w:jc w:val="center"/>
            </w:pPr>
            <w:sdt>
              <w:sdtPr>
                <w:id w:val="-2010900099"/>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E74EDA" w14:paraId="0B328E69" w14:textId="77777777" w:rsidTr="00E74EDA">
        <w:trPr>
          <w:trHeight w:val="323"/>
        </w:trPr>
        <w:tc>
          <w:tcPr>
            <w:tcW w:w="8809" w:type="dxa"/>
            <w:tcBorders>
              <w:right w:val="nil"/>
            </w:tcBorders>
            <w:shd w:val="clear" w:color="auto" w:fill="EBEBFF"/>
            <w:vAlign w:val="center"/>
          </w:tcPr>
          <w:p w14:paraId="1E1A90F6" w14:textId="77777777" w:rsidR="0012129D" w:rsidRDefault="0012129D" w:rsidP="0012129D">
            <w:pPr>
              <w:widowControl w:val="0"/>
              <w:spacing w:before="60" w:after="60"/>
              <w:ind w:left="429" w:hanging="450"/>
              <w:rPr>
                <w:b/>
                <w:bCs/>
              </w:rPr>
            </w:pPr>
            <w:r w:rsidRPr="5C862695">
              <w:rPr>
                <w:b/>
                <w:bCs/>
              </w:rPr>
              <w:t>+ Guidance</w:t>
            </w:r>
          </w:p>
          <w:p w14:paraId="736F3434" w14:textId="069F979E" w:rsidR="00E74EDA" w:rsidRDefault="0012129D" w:rsidP="0012129D">
            <w:pPr>
              <w:widowControl w:val="0"/>
              <w:spacing w:before="60" w:after="60"/>
              <w:ind w:left="159"/>
              <w:rPr>
                <w:b/>
                <w:bCs/>
              </w:rPr>
            </w:pPr>
            <w:r>
              <w:t>“Communities from which the subjects will be drawn” means the group of patients who share a particular medical or other characteristic that increases the likelihood that they (or a family member) may be enrolled in the study.</w:t>
            </w:r>
          </w:p>
        </w:tc>
        <w:tc>
          <w:tcPr>
            <w:tcW w:w="1121" w:type="dxa"/>
            <w:tcBorders>
              <w:left w:val="nil"/>
            </w:tcBorders>
            <w:shd w:val="clear" w:color="auto" w:fill="EBEBFF"/>
            <w:vAlign w:val="center"/>
          </w:tcPr>
          <w:p w14:paraId="0C3292B3" w14:textId="77777777" w:rsidR="00E74EDA" w:rsidRDefault="00E74EDA" w:rsidP="00D12635">
            <w:pPr>
              <w:widowControl w:val="0"/>
              <w:jc w:val="center"/>
            </w:pPr>
          </w:p>
        </w:tc>
      </w:tr>
      <w:tr w:rsidR="00B7777E" w14:paraId="3671D833" w14:textId="77777777" w:rsidTr="00E74EDA">
        <w:trPr>
          <w:trHeight w:val="323"/>
        </w:trPr>
        <w:tc>
          <w:tcPr>
            <w:tcW w:w="8809" w:type="dxa"/>
            <w:vAlign w:val="center"/>
          </w:tcPr>
          <w:p w14:paraId="0DF2A885" w14:textId="1660D5FB" w:rsidR="00B7777E" w:rsidRPr="00B7777E" w:rsidRDefault="00CF329A" w:rsidP="00D12635">
            <w:pPr>
              <w:widowControl w:val="0"/>
              <w:spacing w:before="60" w:after="60"/>
              <w:ind w:left="429" w:hanging="450"/>
            </w:pPr>
            <w:r>
              <w:rPr>
                <w:b/>
                <w:bCs/>
              </w:rPr>
              <w:t>8</w:t>
            </w:r>
            <w:r w:rsidR="00B7777E">
              <w:rPr>
                <w:b/>
                <w:bCs/>
              </w:rPr>
              <w:t>.3   Public disclosure,</w:t>
            </w:r>
            <w:r w:rsidR="0012129D">
              <w:rPr>
                <w:b/>
                <w:bCs/>
              </w:rPr>
              <w:t xml:space="preserve"> </w:t>
            </w:r>
            <w:r w:rsidR="00B7777E">
              <w:rPr>
                <w:b/>
                <w:bCs/>
              </w:rPr>
              <w:t xml:space="preserve">type 1. </w:t>
            </w:r>
            <w:r w:rsidR="00B7777E">
              <w:t>Public disclosure of the plans for the investigation and its risks and expected benefits will be made prior to the initiation of the research, to the communities in which the research will be conducted and from which the subjects will be drawn.</w:t>
            </w:r>
          </w:p>
          <w:p w14:paraId="3137A719" w14:textId="67082B8E" w:rsidR="00B7777E" w:rsidRPr="00004E22" w:rsidRDefault="00B7777E" w:rsidP="00D12635">
            <w:pPr>
              <w:widowControl w:val="0"/>
              <w:spacing w:before="60" w:after="60"/>
              <w:ind w:left="429"/>
              <w:rPr>
                <w:i/>
                <w:iCs/>
              </w:rPr>
            </w:pPr>
            <w:r>
              <w:rPr>
                <w:i/>
                <w:iCs/>
              </w:rPr>
              <w:t>21 CFR 50.24(b)(7)(iii); FDA-FAQ 46, 47, 78-84</w:t>
            </w:r>
          </w:p>
        </w:tc>
        <w:tc>
          <w:tcPr>
            <w:tcW w:w="1121" w:type="dxa"/>
            <w:tcBorders>
              <w:bottom w:val="single" w:sz="4" w:space="0" w:color="auto"/>
            </w:tcBorders>
            <w:vAlign w:val="center"/>
          </w:tcPr>
          <w:p w14:paraId="3F122713" w14:textId="77777777" w:rsidR="00B7777E" w:rsidRDefault="00BA58AA" w:rsidP="00D12635">
            <w:pPr>
              <w:widowControl w:val="0"/>
              <w:jc w:val="center"/>
            </w:pPr>
            <w:sdt>
              <w:sdtPr>
                <w:id w:val="442044083"/>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E74EDA" w14:paraId="115E6EBB" w14:textId="77777777" w:rsidTr="00E74EDA">
        <w:trPr>
          <w:trHeight w:val="323"/>
        </w:trPr>
        <w:tc>
          <w:tcPr>
            <w:tcW w:w="8809" w:type="dxa"/>
            <w:tcBorders>
              <w:right w:val="nil"/>
            </w:tcBorders>
            <w:shd w:val="clear" w:color="auto" w:fill="EBEBFF"/>
            <w:vAlign w:val="center"/>
          </w:tcPr>
          <w:p w14:paraId="7E8282BC" w14:textId="77777777" w:rsidR="0012129D" w:rsidRDefault="0012129D" w:rsidP="0012129D">
            <w:pPr>
              <w:widowControl w:val="0"/>
              <w:spacing w:before="60" w:after="60"/>
              <w:ind w:left="429" w:hanging="450"/>
              <w:rPr>
                <w:b/>
                <w:bCs/>
              </w:rPr>
            </w:pPr>
            <w:r w:rsidRPr="5C862695">
              <w:rPr>
                <w:b/>
                <w:bCs/>
              </w:rPr>
              <w:t>+ Guidance</w:t>
            </w:r>
          </w:p>
          <w:p w14:paraId="42E6C647" w14:textId="2EEF851E" w:rsidR="00E74EDA" w:rsidRPr="0012129D" w:rsidRDefault="0012129D" w:rsidP="0012129D">
            <w:pPr>
              <w:widowControl w:val="0"/>
              <w:spacing w:before="60" w:after="60"/>
              <w:ind w:left="159"/>
            </w:pPr>
            <w:r>
              <w:t>The IRB must find that the public disclosure will have or has taken place prior to the study.</w:t>
            </w:r>
          </w:p>
        </w:tc>
        <w:tc>
          <w:tcPr>
            <w:tcW w:w="1121" w:type="dxa"/>
            <w:tcBorders>
              <w:left w:val="nil"/>
            </w:tcBorders>
            <w:shd w:val="clear" w:color="auto" w:fill="EBEBFF"/>
            <w:vAlign w:val="center"/>
          </w:tcPr>
          <w:p w14:paraId="2A5170BB" w14:textId="77777777" w:rsidR="00E74EDA" w:rsidRDefault="00E74EDA" w:rsidP="00D12635">
            <w:pPr>
              <w:widowControl w:val="0"/>
              <w:jc w:val="center"/>
            </w:pPr>
          </w:p>
        </w:tc>
      </w:tr>
      <w:tr w:rsidR="00B7777E" w14:paraId="5FC387A8" w14:textId="77777777" w:rsidTr="00E74EDA">
        <w:trPr>
          <w:trHeight w:val="323"/>
        </w:trPr>
        <w:tc>
          <w:tcPr>
            <w:tcW w:w="8809" w:type="dxa"/>
            <w:vAlign w:val="center"/>
          </w:tcPr>
          <w:p w14:paraId="3D8FB67A" w14:textId="6083C743" w:rsidR="00B7777E" w:rsidRPr="00B7777E" w:rsidRDefault="00CF329A" w:rsidP="00B7777E">
            <w:pPr>
              <w:widowControl w:val="0"/>
              <w:spacing w:before="60" w:after="60"/>
              <w:ind w:left="429" w:hanging="450"/>
            </w:pPr>
            <w:r>
              <w:rPr>
                <w:b/>
                <w:bCs/>
              </w:rPr>
              <w:t>8</w:t>
            </w:r>
            <w:r w:rsidR="00B7777E">
              <w:rPr>
                <w:b/>
                <w:bCs/>
              </w:rPr>
              <w:t>.4   Public disclosure</w:t>
            </w:r>
            <w:r w:rsidR="0012129D">
              <w:rPr>
                <w:b/>
                <w:bCs/>
              </w:rPr>
              <w:t xml:space="preserve">, </w:t>
            </w:r>
            <w:r w:rsidR="00B7777E">
              <w:rPr>
                <w:b/>
                <w:bCs/>
              </w:rPr>
              <w:t xml:space="preserve">type 2. </w:t>
            </w:r>
            <w:r w:rsidR="00B7777E">
              <w:t xml:space="preserve">Public disclosure of sufficient information following the completion of the research will be conducted, to apprise the community and researchers of the study, its results, and the demographic characteristics of the research population. </w:t>
            </w:r>
          </w:p>
          <w:p w14:paraId="6C585124" w14:textId="678B0D01" w:rsidR="00B7777E" w:rsidRPr="000977F9" w:rsidRDefault="00B7777E" w:rsidP="00B7777E">
            <w:pPr>
              <w:widowControl w:val="0"/>
              <w:spacing w:before="60" w:after="60"/>
              <w:ind w:left="429"/>
              <w:rPr>
                <w:i/>
                <w:iCs/>
              </w:rPr>
            </w:pPr>
            <w:r>
              <w:rPr>
                <w:i/>
                <w:iCs/>
              </w:rPr>
              <w:t>21 CFR 50.24(b)(7)(iii); FDA-FAQ 85-94</w:t>
            </w:r>
          </w:p>
        </w:tc>
        <w:tc>
          <w:tcPr>
            <w:tcW w:w="1121" w:type="dxa"/>
            <w:tcBorders>
              <w:bottom w:val="single" w:sz="4" w:space="0" w:color="auto"/>
            </w:tcBorders>
            <w:vAlign w:val="center"/>
          </w:tcPr>
          <w:p w14:paraId="132DD14F" w14:textId="77777777" w:rsidR="00B7777E" w:rsidRPr="003E72A2" w:rsidRDefault="00BA58AA" w:rsidP="00D12635">
            <w:pPr>
              <w:widowControl w:val="0"/>
              <w:jc w:val="center"/>
            </w:pPr>
            <w:sdt>
              <w:sdtPr>
                <w:id w:val="773125449"/>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B7777E" w14:paraId="6367FA38" w14:textId="77777777" w:rsidTr="00E74EDA">
        <w:trPr>
          <w:trHeight w:val="323"/>
        </w:trPr>
        <w:tc>
          <w:tcPr>
            <w:tcW w:w="8809" w:type="dxa"/>
            <w:vAlign w:val="center"/>
          </w:tcPr>
          <w:p w14:paraId="5DA931D8" w14:textId="38C769A3" w:rsidR="00B7777E" w:rsidRDefault="00CF329A" w:rsidP="00B7777E">
            <w:pPr>
              <w:widowControl w:val="0"/>
              <w:spacing w:before="60" w:after="60"/>
              <w:ind w:left="429" w:hanging="450"/>
              <w:rPr>
                <w:b/>
                <w:bCs/>
              </w:rPr>
            </w:pPr>
            <w:r>
              <w:rPr>
                <w:b/>
                <w:bCs/>
              </w:rPr>
              <w:t>8</w:t>
            </w:r>
            <w:r w:rsidR="00B7777E">
              <w:rPr>
                <w:b/>
                <w:bCs/>
              </w:rPr>
              <w:t xml:space="preserve">.5   An independent data monitoring committee will be established to exercise oversight </w:t>
            </w:r>
            <w:proofErr w:type="gramStart"/>
            <w:r w:rsidR="00B7777E">
              <w:rPr>
                <w:b/>
                <w:bCs/>
              </w:rPr>
              <w:t>over</w:t>
            </w:r>
            <w:proofErr w:type="gramEnd"/>
            <w:r w:rsidR="00B7777E">
              <w:rPr>
                <w:b/>
                <w:bCs/>
              </w:rPr>
              <w:t xml:space="preserve"> the research.</w:t>
            </w:r>
          </w:p>
          <w:p w14:paraId="6C153558" w14:textId="77FA191A" w:rsidR="00B7777E" w:rsidRPr="00B7777E" w:rsidRDefault="00B7777E" w:rsidP="00B7777E">
            <w:pPr>
              <w:widowControl w:val="0"/>
              <w:spacing w:before="60" w:after="60"/>
              <w:ind w:left="429"/>
              <w:rPr>
                <w:i/>
                <w:iCs/>
              </w:rPr>
            </w:pPr>
            <w:r>
              <w:rPr>
                <w:i/>
                <w:iCs/>
              </w:rPr>
              <w:t>21 CFR 50.24(b)(7)(iii); FDA-FAQ 46</w:t>
            </w:r>
          </w:p>
        </w:tc>
        <w:tc>
          <w:tcPr>
            <w:tcW w:w="1121" w:type="dxa"/>
            <w:tcBorders>
              <w:bottom w:val="single" w:sz="4" w:space="0" w:color="auto"/>
            </w:tcBorders>
            <w:vAlign w:val="center"/>
          </w:tcPr>
          <w:p w14:paraId="04AC5C92" w14:textId="10611CF8" w:rsidR="00B7777E" w:rsidRPr="003E72A2" w:rsidRDefault="00BA58AA" w:rsidP="00D12635">
            <w:pPr>
              <w:widowControl w:val="0"/>
              <w:jc w:val="center"/>
            </w:pPr>
            <w:sdt>
              <w:sdtPr>
                <w:id w:val="-1959409757"/>
                <w14:checkbox>
                  <w14:checked w14:val="0"/>
                  <w14:checkedState w14:val="2612" w14:font="MS Gothic"/>
                  <w14:uncheckedState w14:val="2610" w14:font="MS Gothic"/>
                </w14:checkbox>
              </w:sdtPr>
              <w:sdtEndPr/>
              <w:sdtContent>
                <w:r w:rsidR="007932EF" w:rsidRPr="003E72A2">
                  <w:rPr>
                    <w:rFonts w:ascii="MS Gothic" w:eastAsia="MS Gothic" w:hAnsi="MS Gothic" w:hint="eastAsia"/>
                  </w:rPr>
                  <w:t>☐</w:t>
                </w:r>
              </w:sdtContent>
            </w:sdt>
          </w:p>
        </w:tc>
      </w:tr>
      <w:tr w:rsidR="00E74EDA" w14:paraId="6DD38B29" w14:textId="77777777" w:rsidTr="00E74EDA">
        <w:trPr>
          <w:trHeight w:val="323"/>
        </w:trPr>
        <w:tc>
          <w:tcPr>
            <w:tcW w:w="8809" w:type="dxa"/>
            <w:tcBorders>
              <w:right w:val="nil"/>
            </w:tcBorders>
            <w:shd w:val="clear" w:color="auto" w:fill="EBEBFF"/>
            <w:vAlign w:val="center"/>
          </w:tcPr>
          <w:p w14:paraId="73EC04BF" w14:textId="77777777" w:rsidR="00E74EDA" w:rsidRDefault="0012129D" w:rsidP="00B7777E">
            <w:pPr>
              <w:widowControl w:val="0"/>
              <w:spacing w:before="60" w:after="60"/>
              <w:ind w:left="429" w:hanging="450"/>
              <w:rPr>
                <w:b/>
                <w:bCs/>
              </w:rPr>
            </w:pPr>
            <w:r w:rsidRPr="5C862695">
              <w:rPr>
                <w:b/>
                <w:bCs/>
              </w:rPr>
              <w:t>+ Guidance</w:t>
            </w:r>
          </w:p>
          <w:p w14:paraId="59B01B59" w14:textId="05AD1686" w:rsidR="0012129D" w:rsidRPr="0012129D" w:rsidRDefault="0012129D" w:rsidP="0012129D">
            <w:pPr>
              <w:widowControl w:val="0"/>
              <w:spacing w:before="60" w:after="60"/>
              <w:ind w:left="159"/>
            </w:pPr>
            <w:r>
              <w:t>The IRB cannot grant full approval until it has been documented that the DMC has been arranged.</w:t>
            </w:r>
          </w:p>
        </w:tc>
        <w:tc>
          <w:tcPr>
            <w:tcW w:w="1121" w:type="dxa"/>
            <w:tcBorders>
              <w:left w:val="nil"/>
            </w:tcBorders>
            <w:shd w:val="clear" w:color="auto" w:fill="EBEBFF"/>
            <w:vAlign w:val="center"/>
          </w:tcPr>
          <w:p w14:paraId="54161294" w14:textId="77777777" w:rsidR="00E74EDA" w:rsidRDefault="00E74EDA" w:rsidP="00D12635">
            <w:pPr>
              <w:widowControl w:val="0"/>
              <w:jc w:val="center"/>
            </w:pPr>
          </w:p>
        </w:tc>
      </w:tr>
    </w:tbl>
    <w:p w14:paraId="1F379992" w14:textId="77777777" w:rsidR="00E74EDA" w:rsidRDefault="00E74EDA"/>
    <w:tbl>
      <w:tblPr>
        <w:tblStyle w:val="TableGrid"/>
        <w:tblW w:w="0" w:type="auto"/>
        <w:tblInd w:w="85" w:type="dxa"/>
        <w:tblLook w:val="04A0" w:firstRow="1" w:lastRow="0" w:firstColumn="1" w:lastColumn="0" w:noHBand="0" w:noVBand="1"/>
      </w:tblPr>
      <w:tblGrid>
        <w:gridCol w:w="8809"/>
        <w:gridCol w:w="1121"/>
      </w:tblGrid>
      <w:tr w:rsidR="00B7777E" w14:paraId="6930A920" w14:textId="77777777" w:rsidTr="00D12635">
        <w:trPr>
          <w:trHeight w:val="323"/>
        </w:trPr>
        <w:tc>
          <w:tcPr>
            <w:tcW w:w="8809" w:type="dxa"/>
            <w:shd w:val="clear" w:color="auto" w:fill="33006F"/>
            <w:vAlign w:val="center"/>
          </w:tcPr>
          <w:p w14:paraId="515A0A7B" w14:textId="418BAC48" w:rsidR="00B7777E" w:rsidRPr="00C7566E" w:rsidRDefault="00B7777E" w:rsidP="00D12635">
            <w:pPr>
              <w:pStyle w:val="ListParagraph"/>
              <w:widowControl w:val="0"/>
              <w:numPr>
                <w:ilvl w:val="0"/>
                <w:numId w:val="29"/>
              </w:numPr>
              <w:spacing w:before="60" w:after="60"/>
              <w:rPr>
                <w:b/>
                <w:bCs/>
                <w:color w:val="FFFFFF" w:themeColor="background1"/>
              </w:rPr>
            </w:pPr>
            <w:r>
              <w:rPr>
                <w:b/>
                <w:bCs/>
                <w:color w:val="FFFFFF" w:themeColor="background1"/>
              </w:rPr>
              <w:t>ADDITIONAL CONSIDERATIONS</w:t>
            </w:r>
          </w:p>
        </w:tc>
        <w:tc>
          <w:tcPr>
            <w:tcW w:w="1121" w:type="dxa"/>
            <w:tcBorders>
              <w:bottom w:val="single" w:sz="4" w:space="0" w:color="auto"/>
            </w:tcBorders>
            <w:shd w:val="clear" w:color="auto" w:fill="33006F"/>
            <w:vAlign w:val="center"/>
          </w:tcPr>
          <w:p w14:paraId="0650EA14" w14:textId="77777777" w:rsidR="00B7777E" w:rsidRPr="00C7566E" w:rsidRDefault="00B7777E" w:rsidP="00D12635">
            <w:pPr>
              <w:widowControl w:val="0"/>
              <w:jc w:val="center"/>
              <w:rPr>
                <w:b/>
                <w:bCs/>
              </w:rPr>
            </w:pPr>
            <w:r>
              <w:rPr>
                <w:b/>
                <w:bCs/>
              </w:rPr>
              <w:t>Met</w:t>
            </w:r>
          </w:p>
        </w:tc>
      </w:tr>
      <w:tr w:rsidR="00B7777E" w14:paraId="5D2DE99F" w14:textId="77777777" w:rsidTr="00F249BE">
        <w:trPr>
          <w:trHeight w:val="323"/>
        </w:trPr>
        <w:tc>
          <w:tcPr>
            <w:tcW w:w="8809" w:type="dxa"/>
            <w:tcBorders>
              <w:right w:val="single" w:sz="4" w:space="0" w:color="auto"/>
            </w:tcBorders>
            <w:vAlign w:val="center"/>
          </w:tcPr>
          <w:p w14:paraId="0AD522BF" w14:textId="498DFF22" w:rsidR="00B7777E" w:rsidRPr="00BA58AA" w:rsidRDefault="00B7777E" w:rsidP="00D12635">
            <w:pPr>
              <w:widowControl w:val="0"/>
              <w:spacing w:before="60" w:after="60"/>
              <w:ind w:left="429" w:hanging="450"/>
            </w:pPr>
            <w:r>
              <w:rPr>
                <w:b/>
                <w:bCs/>
              </w:rPr>
              <w:t>9</w:t>
            </w:r>
            <w:r w:rsidRPr="0006195E">
              <w:rPr>
                <w:b/>
                <w:bCs/>
              </w:rPr>
              <w:t xml:space="preserve">.1   </w:t>
            </w:r>
            <w:r>
              <w:rPr>
                <w:b/>
                <w:bCs/>
              </w:rPr>
              <w:t xml:space="preserve">Prisoners. </w:t>
            </w:r>
            <w:r>
              <w:t xml:space="preserve">If the researcher </w:t>
            </w:r>
            <w:r w:rsidR="00713F01">
              <w:t>wishes</w:t>
            </w:r>
            <w:r>
              <w:t xml:space="preserve"> to retain the data and/or participation of prisoners who were inadvertently provided with the emergency intervention, IRB should review the study for prisoner involvement</w:t>
            </w:r>
            <w:r w:rsidRPr="00713F01">
              <w:t xml:space="preserve">. </w:t>
            </w:r>
            <w:r w:rsidRPr="00BA58AA">
              <w:t xml:space="preserve"> </w:t>
            </w:r>
            <w:r w:rsidR="00713F01" w:rsidRPr="00BA58AA">
              <w:t>(check ‘met’ if n/a)</w:t>
            </w:r>
          </w:p>
          <w:p w14:paraId="2DA29F01" w14:textId="42B9EED4" w:rsidR="00B7777E" w:rsidRPr="007D045F" w:rsidRDefault="00B7777E" w:rsidP="00D12635">
            <w:pPr>
              <w:widowControl w:val="0"/>
              <w:spacing w:before="60" w:after="60"/>
              <w:ind w:left="429" w:firstLine="90"/>
              <w:rPr>
                <w:i/>
                <w:iCs/>
              </w:rPr>
            </w:pPr>
            <w:r>
              <w:rPr>
                <w:i/>
                <w:iCs/>
              </w:rPr>
              <w:t>For research governed by 45 CFR 46 or FDA regulations</w:t>
            </w:r>
            <w:r w:rsidR="00050BFC">
              <w:rPr>
                <w:i/>
                <w:iCs/>
              </w:rPr>
              <w:t xml:space="preserve"> </w:t>
            </w:r>
            <w:r w:rsidR="00050BFC">
              <w:rPr>
                <w:i/>
                <w:iCs/>
              </w:rPr>
              <w:t>(not EFIC)</w:t>
            </w:r>
          </w:p>
        </w:tc>
        <w:tc>
          <w:tcPr>
            <w:tcW w:w="1121" w:type="dxa"/>
            <w:tcBorders>
              <w:left w:val="single" w:sz="4" w:space="0" w:color="auto"/>
              <w:bottom w:val="single" w:sz="4" w:space="0" w:color="auto"/>
            </w:tcBorders>
            <w:vAlign w:val="center"/>
          </w:tcPr>
          <w:p w14:paraId="52BAA3E2" w14:textId="77777777" w:rsidR="00B7777E" w:rsidRDefault="00BA58AA" w:rsidP="00D12635">
            <w:pPr>
              <w:widowControl w:val="0"/>
              <w:jc w:val="center"/>
            </w:pPr>
            <w:sdt>
              <w:sdtPr>
                <w:id w:val="1980338405"/>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F249BE" w14:paraId="0508ACFD" w14:textId="77777777" w:rsidTr="00F249BE">
        <w:trPr>
          <w:trHeight w:val="323"/>
        </w:trPr>
        <w:tc>
          <w:tcPr>
            <w:tcW w:w="8809" w:type="dxa"/>
            <w:tcBorders>
              <w:right w:val="nil"/>
            </w:tcBorders>
            <w:shd w:val="clear" w:color="auto" w:fill="EBEBFF"/>
            <w:vAlign w:val="center"/>
          </w:tcPr>
          <w:p w14:paraId="4B82C822" w14:textId="77777777" w:rsidR="0012129D" w:rsidRDefault="0012129D" w:rsidP="0012129D">
            <w:pPr>
              <w:widowControl w:val="0"/>
              <w:spacing w:before="60" w:after="60"/>
              <w:ind w:left="429" w:hanging="450"/>
              <w:rPr>
                <w:b/>
                <w:bCs/>
              </w:rPr>
            </w:pPr>
            <w:r w:rsidRPr="5C862695">
              <w:rPr>
                <w:b/>
                <w:bCs/>
              </w:rPr>
              <w:t>+ Guidance</w:t>
            </w:r>
          </w:p>
          <w:p w14:paraId="2F941B68" w14:textId="44CA65C9" w:rsidR="00F249BE" w:rsidRPr="003F695E" w:rsidRDefault="003F695E" w:rsidP="003F695E">
            <w:pPr>
              <w:widowControl w:val="0"/>
              <w:spacing w:before="60" w:after="60"/>
              <w:ind w:left="159"/>
            </w:pPr>
            <w:r>
              <w:t xml:space="preserve">This is a requirement for federally funded research. It is not a specific EFIC requirement. </w:t>
            </w:r>
          </w:p>
        </w:tc>
        <w:tc>
          <w:tcPr>
            <w:tcW w:w="1121" w:type="dxa"/>
            <w:tcBorders>
              <w:left w:val="nil"/>
            </w:tcBorders>
            <w:shd w:val="clear" w:color="auto" w:fill="EBEBFF"/>
            <w:vAlign w:val="center"/>
          </w:tcPr>
          <w:p w14:paraId="5FEC3DB8" w14:textId="77777777" w:rsidR="00F249BE" w:rsidRDefault="00F249BE" w:rsidP="00D12635">
            <w:pPr>
              <w:widowControl w:val="0"/>
              <w:jc w:val="center"/>
            </w:pPr>
          </w:p>
        </w:tc>
      </w:tr>
      <w:tr w:rsidR="00B7777E" w14:paraId="45FB9D41" w14:textId="77777777" w:rsidTr="00F249BE">
        <w:trPr>
          <w:trHeight w:val="323"/>
        </w:trPr>
        <w:tc>
          <w:tcPr>
            <w:tcW w:w="8809" w:type="dxa"/>
            <w:vAlign w:val="center"/>
          </w:tcPr>
          <w:p w14:paraId="45684E68" w14:textId="790AB84B" w:rsidR="00B7777E" w:rsidRDefault="00B7777E" w:rsidP="00D12635">
            <w:pPr>
              <w:widowControl w:val="0"/>
              <w:spacing w:before="60" w:after="60"/>
              <w:ind w:left="429" w:hanging="450"/>
              <w:rPr>
                <w:b/>
                <w:bCs/>
              </w:rPr>
            </w:pPr>
            <w:r>
              <w:rPr>
                <w:b/>
                <w:bCs/>
              </w:rPr>
              <w:t xml:space="preserve">9.2    </w:t>
            </w:r>
            <w:r>
              <w:rPr>
                <w:b/>
                <w:bCs/>
              </w:rPr>
              <w:t xml:space="preserve">The IRB considers opt out mechanisms. </w:t>
            </w:r>
            <w:proofErr w:type="spellStart"/>
            <w:r w:rsidRPr="00BA58AA">
              <w:t>Opt</w:t>
            </w:r>
            <w:proofErr w:type="spellEnd"/>
            <w:r w:rsidRPr="00BA58AA">
              <w:t xml:space="preserve"> out mechanisms </w:t>
            </w:r>
            <w:r>
              <w:t xml:space="preserve">refer to ways in which individuals can indicate for themselves that they do not want to participate in an emergency exception study. </w:t>
            </w:r>
            <w:proofErr w:type="spellStart"/>
            <w:r>
              <w:t>Opt</w:t>
            </w:r>
            <w:proofErr w:type="spellEnd"/>
            <w:r>
              <w:t xml:space="preserve"> out mechanisms are not required. The decision to use them is left to the discretion of the IRB. </w:t>
            </w:r>
          </w:p>
          <w:p w14:paraId="4D94B6DC" w14:textId="4D138DAC" w:rsidR="00B7777E" w:rsidRPr="00004E22" w:rsidRDefault="00B7777E" w:rsidP="00D12635">
            <w:pPr>
              <w:widowControl w:val="0"/>
              <w:spacing w:before="60" w:after="60"/>
              <w:ind w:left="429"/>
              <w:rPr>
                <w:i/>
                <w:iCs/>
              </w:rPr>
            </w:pPr>
            <w:r>
              <w:rPr>
                <w:i/>
                <w:iCs/>
              </w:rPr>
              <w:t>FDA-FAQ 68, 69</w:t>
            </w:r>
          </w:p>
        </w:tc>
        <w:tc>
          <w:tcPr>
            <w:tcW w:w="1121" w:type="dxa"/>
            <w:tcBorders>
              <w:bottom w:val="single" w:sz="4" w:space="0" w:color="auto"/>
            </w:tcBorders>
            <w:vAlign w:val="center"/>
          </w:tcPr>
          <w:p w14:paraId="5D37EFE9" w14:textId="77777777" w:rsidR="00B7777E" w:rsidRDefault="00BA58AA" w:rsidP="00D12635">
            <w:pPr>
              <w:widowControl w:val="0"/>
              <w:jc w:val="center"/>
            </w:pPr>
            <w:sdt>
              <w:sdtPr>
                <w:id w:val="306752420"/>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F249BE" w14:paraId="1C826E45" w14:textId="77777777" w:rsidTr="00F249BE">
        <w:trPr>
          <w:trHeight w:val="323"/>
        </w:trPr>
        <w:tc>
          <w:tcPr>
            <w:tcW w:w="8809" w:type="dxa"/>
            <w:tcBorders>
              <w:right w:val="nil"/>
            </w:tcBorders>
            <w:shd w:val="clear" w:color="auto" w:fill="EBEBFF"/>
            <w:vAlign w:val="center"/>
          </w:tcPr>
          <w:p w14:paraId="3600E4C9" w14:textId="77777777" w:rsidR="0012129D" w:rsidRDefault="0012129D" w:rsidP="0012129D">
            <w:pPr>
              <w:widowControl w:val="0"/>
              <w:spacing w:before="60" w:after="60"/>
              <w:ind w:left="429" w:hanging="450"/>
              <w:rPr>
                <w:b/>
                <w:bCs/>
              </w:rPr>
            </w:pPr>
            <w:r w:rsidRPr="5C862695">
              <w:rPr>
                <w:b/>
                <w:bCs/>
              </w:rPr>
              <w:t>+ Guidance</w:t>
            </w:r>
          </w:p>
          <w:p w14:paraId="47DA0964" w14:textId="7C6D5760" w:rsidR="00F249BE" w:rsidRDefault="003F695E" w:rsidP="003F695E">
            <w:pPr>
              <w:widowControl w:val="0"/>
              <w:spacing w:before="60" w:after="60"/>
              <w:ind w:left="159"/>
            </w:pPr>
            <w:r>
              <w:t xml:space="preserve">There are advantages and drawbacks, as well as valid concerns about the effectiveness of opt out mechanisms. Consider, for example, a trauma study and the number of potential subjects </w:t>
            </w:r>
            <w:r>
              <w:lastRenderedPageBreak/>
              <w:t>who might be motorists driving a freeway or road in a geographical area.</w:t>
            </w:r>
          </w:p>
          <w:p w14:paraId="19BB3473" w14:textId="77F82D5E" w:rsidR="003F695E" w:rsidRPr="003F695E" w:rsidRDefault="003F695E" w:rsidP="003F695E">
            <w:pPr>
              <w:widowControl w:val="0"/>
              <w:spacing w:before="60" w:after="60"/>
              <w:ind w:left="159"/>
            </w:pPr>
            <w:r>
              <w:t>Community consultation activities should make communities aware of any opt out mechanisms and ensure that the community understands that efforts to inform the community may not reach all community members.</w:t>
            </w:r>
          </w:p>
        </w:tc>
        <w:tc>
          <w:tcPr>
            <w:tcW w:w="1121" w:type="dxa"/>
            <w:tcBorders>
              <w:left w:val="nil"/>
            </w:tcBorders>
            <w:shd w:val="clear" w:color="auto" w:fill="EBEBFF"/>
            <w:vAlign w:val="center"/>
          </w:tcPr>
          <w:p w14:paraId="3DD7D7E6" w14:textId="77777777" w:rsidR="00F249BE" w:rsidRDefault="00F249BE" w:rsidP="00D12635">
            <w:pPr>
              <w:widowControl w:val="0"/>
              <w:jc w:val="center"/>
            </w:pPr>
          </w:p>
        </w:tc>
      </w:tr>
      <w:tr w:rsidR="00B7777E" w14:paraId="488EA658" w14:textId="77777777" w:rsidTr="00F249BE">
        <w:trPr>
          <w:trHeight w:val="323"/>
        </w:trPr>
        <w:tc>
          <w:tcPr>
            <w:tcW w:w="8809" w:type="dxa"/>
            <w:vAlign w:val="center"/>
          </w:tcPr>
          <w:p w14:paraId="60CC97C2" w14:textId="3DFA5968" w:rsidR="00B7777E" w:rsidRDefault="007932EF" w:rsidP="00D12635">
            <w:pPr>
              <w:widowControl w:val="0"/>
              <w:spacing w:before="60" w:after="60"/>
              <w:ind w:left="429" w:hanging="450"/>
              <w:rPr>
                <w:b/>
                <w:bCs/>
              </w:rPr>
            </w:pPr>
            <w:r>
              <w:rPr>
                <w:b/>
                <w:bCs/>
              </w:rPr>
              <w:t>9</w:t>
            </w:r>
            <w:r w:rsidR="00B7777E">
              <w:rPr>
                <w:b/>
                <w:bCs/>
              </w:rPr>
              <w:t>.3   Involvement of first responders and healthcare personnel.</w:t>
            </w:r>
          </w:p>
          <w:p w14:paraId="02623EE9" w14:textId="4AB7DCC9" w:rsidR="007932EF" w:rsidRDefault="007932EF" w:rsidP="007932EF">
            <w:pPr>
              <w:pStyle w:val="ListParagraph"/>
              <w:widowControl w:val="0"/>
              <w:numPr>
                <w:ilvl w:val="0"/>
                <w:numId w:val="41"/>
              </w:numPr>
              <w:spacing w:before="60" w:after="60"/>
              <w:ind w:left="879"/>
            </w:pPr>
            <w:r>
              <w:t>Are the procedures for training, oversight, and involvement of these groups adequate to ensure that the study protocol will be carried out as accurately as possible under the conditions of the study?</w:t>
            </w:r>
          </w:p>
          <w:p w14:paraId="371F9ECE" w14:textId="6226C042" w:rsidR="007932EF" w:rsidRPr="00B7777E" w:rsidRDefault="007932EF" w:rsidP="007932EF">
            <w:pPr>
              <w:pStyle w:val="ListParagraph"/>
              <w:widowControl w:val="0"/>
              <w:numPr>
                <w:ilvl w:val="0"/>
                <w:numId w:val="41"/>
              </w:numPr>
              <w:spacing w:before="60" w:after="60"/>
              <w:ind w:left="879"/>
            </w:pPr>
            <w:r>
              <w:t>Are the procedures for communication with them adequate?</w:t>
            </w:r>
          </w:p>
          <w:p w14:paraId="23E6E2D1" w14:textId="6EFFE8E9" w:rsidR="00B7777E" w:rsidRPr="00004E22" w:rsidRDefault="007932EF" w:rsidP="00D12635">
            <w:pPr>
              <w:widowControl w:val="0"/>
              <w:spacing w:before="60" w:after="60"/>
              <w:ind w:left="429"/>
              <w:rPr>
                <w:i/>
                <w:iCs/>
              </w:rPr>
            </w:pPr>
            <w:r>
              <w:rPr>
                <w:i/>
                <w:iCs/>
              </w:rPr>
              <w:t>UW application of 45 CFR 11(a)(2)</w:t>
            </w:r>
            <w:r w:rsidR="00637E82">
              <w:rPr>
                <w:i/>
                <w:iCs/>
              </w:rPr>
              <w:t xml:space="preserve"> (not EFIC) </w:t>
            </w:r>
          </w:p>
        </w:tc>
        <w:tc>
          <w:tcPr>
            <w:tcW w:w="1121" w:type="dxa"/>
            <w:tcBorders>
              <w:bottom w:val="single" w:sz="4" w:space="0" w:color="auto"/>
            </w:tcBorders>
            <w:vAlign w:val="center"/>
          </w:tcPr>
          <w:p w14:paraId="6B9830A2" w14:textId="77777777" w:rsidR="00B7777E" w:rsidRDefault="00BA58AA" w:rsidP="00D12635">
            <w:pPr>
              <w:widowControl w:val="0"/>
              <w:jc w:val="center"/>
            </w:pPr>
            <w:sdt>
              <w:sdtPr>
                <w:id w:val="392935267"/>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r w:rsidR="00B7777E" w14:paraId="3B22C7EB" w14:textId="77777777" w:rsidTr="00F249BE">
        <w:trPr>
          <w:trHeight w:val="323"/>
        </w:trPr>
        <w:tc>
          <w:tcPr>
            <w:tcW w:w="8809" w:type="dxa"/>
            <w:vAlign w:val="center"/>
          </w:tcPr>
          <w:p w14:paraId="10F74D2B" w14:textId="52FF1CD2" w:rsidR="007932EF" w:rsidRDefault="007932EF" w:rsidP="00D12635">
            <w:pPr>
              <w:widowControl w:val="0"/>
              <w:spacing w:before="60" w:after="60"/>
              <w:ind w:left="429" w:hanging="450"/>
            </w:pPr>
            <w:r>
              <w:rPr>
                <w:b/>
                <w:bCs/>
              </w:rPr>
              <w:t>9</w:t>
            </w:r>
            <w:r w:rsidR="00B7777E">
              <w:rPr>
                <w:b/>
                <w:bCs/>
              </w:rPr>
              <w:t xml:space="preserve">.4   </w:t>
            </w:r>
            <w:r>
              <w:rPr>
                <w:b/>
                <w:bCs/>
              </w:rPr>
              <w:t xml:space="preserve">Coordination with other emergency medicine studies. </w:t>
            </w:r>
            <w:r>
              <w:t>If there are competing emergency medicine studies or sequential studies (e.g., where patients might experience an intervention in one study, followed by an intervention in another study)</w:t>
            </w:r>
            <w:r w:rsidR="00BB209F">
              <w:t xml:space="preserve"> </w:t>
            </w:r>
            <w:r w:rsidR="00BB209F">
              <w:t>the IRB must determine that</w:t>
            </w:r>
            <w:r>
              <w:t xml:space="preserve">: </w:t>
            </w:r>
          </w:p>
          <w:p w14:paraId="23906299" w14:textId="77EECD58" w:rsidR="00B7777E" w:rsidRDefault="007932EF" w:rsidP="007932EF">
            <w:pPr>
              <w:pStyle w:val="ListParagraph"/>
              <w:widowControl w:val="0"/>
              <w:numPr>
                <w:ilvl w:val="0"/>
                <w:numId w:val="42"/>
              </w:numPr>
              <w:spacing w:before="60" w:after="60"/>
              <w:ind w:left="879"/>
            </w:pPr>
            <w:r>
              <w:t>The scientific benefit of the study will not be negatively affected (</w:t>
            </w:r>
            <w:proofErr w:type="gramStart"/>
            <w:r>
              <w:t>taking into account</w:t>
            </w:r>
            <w:proofErr w:type="gramEnd"/>
            <w:r>
              <w:t xml:space="preserve"> any ways in which the impact of multiple studies will be mitigated or controlled).</w:t>
            </w:r>
          </w:p>
          <w:p w14:paraId="3C521857" w14:textId="287AD228" w:rsidR="007932EF" w:rsidRPr="00B7777E" w:rsidRDefault="007932EF" w:rsidP="007932EF">
            <w:pPr>
              <w:pStyle w:val="ListParagraph"/>
              <w:widowControl w:val="0"/>
              <w:numPr>
                <w:ilvl w:val="0"/>
                <w:numId w:val="42"/>
              </w:numPr>
              <w:spacing w:before="60" w:after="60"/>
              <w:ind w:left="879"/>
            </w:pPr>
            <w:r>
              <w:t>The study procedures appropriately consider and manage the impact on LARs and family members of being approached by multiple studies.</w:t>
            </w:r>
          </w:p>
          <w:p w14:paraId="75235F3F" w14:textId="3C4E2E50" w:rsidR="00B7777E" w:rsidRPr="000977F9" w:rsidRDefault="007932EF" w:rsidP="00D12635">
            <w:pPr>
              <w:widowControl w:val="0"/>
              <w:spacing w:before="60" w:after="60"/>
              <w:ind w:left="429"/>
              <w:rPr>
                <w:i/>
                <w:iCs/>
              </w:rPr>
            </w:pPr>
            <w:r>
              <w:rPr>
                <w:i/>
                <w:iCs/>
              </w:rPr>
              <w:t>UW application of 45 CFR 11(a)(2, 3, 7)</w:t>
            </w:r>
            <w:r w:rsidR="00637E82">
              <w:rPr>
                <w:i/>
                <w:iCs/>
              </w:rPr>
              <w:t xml:space="preserve"> (not EFIC)</w:t>
            </w:r>
          </w:p>
        </w:tc>
        <w:tc>
          <w:tcPr>
            <w:tcW w:w="1121" w:type="dxa"/>
            <w:tcBorders>
              <w:bottom w:val="single" w:sz="4" w:space="0" w:color="auto"/>
            </w:tcBorders>
            <w:vAlign w:val="center"/>
          </w:tcPr>
          <w:p w14:paraId="6909E1A8" w14:textId="77777777" w:rsidR="00B7777E" w:rsidRPr="003E72A2" w:rsidRDefault="00BA58AA" w:rsidP="00D12635">
            <w:pPr>
              <w:widowControl w:val="0"/>
              <w:jc w:val="center"/>
            </w:pPr>
            <w:sdt>
              <w:sdtPr>
                <w:id w:val="-987473471"/>
                <w14:checkbox>
                  <w14:checked w14:val="0"/>
                  <w14:checkedState w14:val="2612" w14:font="MS Gothic"/>
                  <w14:uncheckedState w14:val="2610" w14:font="MS Gothic"/>
                </w14:checkbox>
              </w:sdtPr>
              <w:sdtEndPr/>
              <w:sdtContent>
                <w:r w:rsidR="00B7777E" w:rsidRPr="003E72A2">
                  <w:rPr>
                    <w:rFonts w:ascii="MS Gothic" w:eastAsia="MS Gothic" w:hAnsi="MS Gothic" w:hint="eastAsia"/>
                  </w:rPr>
                  <w:t>☐</w:t>
                </w:r>
              </w:sdtContent>
            </w:sdt>
          </w:p>
        </w:tc>
      </w:tr>
    </w:tbl>
    <w:p w14:paraId="1543D10A" w14:textId="77777777" w:rsidR="007932EF" w:rsidRDefault="007932EF" w:rsidP="007932EF">
      <w:pPr>
        <w:pStyle w:val="ListParagraph"/>
        <w:widowControl w:val="0"/>
        <w:spacing w:before="120" w:after="120"/>
        <w:ind w:left="90"/>
      </w:pPr>
    </w:p>
    <w:tbl>
      <w:tblPr>
        <w:tblStyle w:val="TableGrid"/>
        <w:tblW w:w="0" w:type="auto"/>
        <w:tblInd w:w="85" w:type="dxa"/>
        <w:tblLook w:val="04A0" w:firstRow="1" w:lastRow="0" w:firstColumn="1" w:lastColumn="0" w:noHBand="0" w:noVBand="1"/>
      </w:tblPr>
      <w:tblGrid>
        <w:gridCol w:w="7927"/>
        <w:gridCol w:w="1053"/>
        <w:gridCol w:w="1005"/>
      </w:tblGrid>
      <w:tr w:rsidR="007932EF" w14:paraId="1EF1BF1A" w14:textId="41275802" w:rsidTr="007932EF">
        <w:trPr>
          <w:trHeight w:val="323"/>
        </w:trPr>
        <w:tc>
          <w:tcPr>
            <w:tcW w:w="7927" w:type="dxa"/>
            <w:shd w:val="clear" w:color="auto" w:fill="33006F"/>
            <w:vAlign w:val="center"/>
          </w:tcPr>
          <w:p w14:paraId="65B72F04" w14:textId="31235A1A" w:rsidR="007932EF" w:rsidRPr="00C7566E" w:rsidRDefault="007932EF" w:rsidP="00D12635">
            <w:pPr>
              <w:pStyle w:val="ListParagraph"/>
              <w:widowControl w:val="0"/>
              <w:numPr>
                <w:ilvl w:val="0"/>
                <w:numId w:val="29"/>
              </w:numPr>
              <w:spacing w:before="60" w:after="60"/>
              <w:rPr>
                <w:b/>
                <w:bCs/>
                <w:color w:val="FFFFFF" w:themeColor="background1"/>
              </w:rPr>
            </w:pPr>
            <w:r>
              <w:rPr>
                <w:b/>
                <w:bCs/>
                <w:color w:val="FFFFFF" w:themeColor="background1"/>
              </w:rPr>
              <w:t xml:space="preserve">REQUIRMENT IF IRB CANNOT APPROVE THE CONSENT EXCEPTION </w:t>
            </w:r>
          </w:p>
        </w:tc>
        <w:tc>
          <w:tcPr>
            <w:tcW w:w="1053" w:type="dxa"/>
            <w:tcBorders>
              <w:bottom w:val="single" w:sz="4" w:space="0" w:color="auto"/>
            </w:tcBorders>
            <w:shd w:val="clear" w:color="auto" w:fill="33006F"/>
            <w:vAlign w:val="center"/>
          </w:tcPr>
          <w:p w14:paraId="3F93AA1C" w14:textId="77777777" w:rsidR="007932EF" w:rsidRPr="00C7566E" w:rsidRDefault="007932EF" w:rsidP="00D12635">
            <w:pPr>
              <w:widowControl w:val="0"/>
              <w:jc w:val="center"/>
              <w:rPr>
                <w:b/>
                <w:bCs/>
              </w:rPr>
            </w:pPr>
            <w:r>
              <w:rPr>
                <w:b/>
                <w:bCs/>
              </w:rPr>
              <w:t>Met</w:t>
            </w:r>
          </w:p>
        </w:tc>
        <w:tc>
          <w:tcPr>
            <w:tcW w:w="1005" w:type="dxa"/>
            <w:tcBorders>
              <w:bottom w:val="single" w:sz="4" w:space="0" w:color="auto"/>
            </w:tcBorders>
            <w:shd w:val="clear" w:color="auto" w:fill="33006F"/>
          </w:tcPr>
          <w:p w14:paraId="1D6811FB" w14:textId="18F552FD" w:rsidR="007932EF" w:rsidRDefault="007932EF" w:rsidP="00D12635">
            <w:pPr>
              <w:widowControl w:val="0"/>
              <w:jc w:val="center"/>
              <w:rPr>
                <w:b/>
                <w:bCs/>
              </w:rPr>
            </w:pPr>
            <w:r>
              <w:rPr>
                <w:b/>
                <w:bCs/>
              </w:rPr>
              <w:t>n/a</w:t>
            </w:r>
          </w:p>
        </w:tc>
      </w:tr>
      <w:tr w:rsidR="007932EF" w14:paraId="107949B8" w14:textId="3C868813" w:rsidTr="007932EF">
        <w:trPr>
          <w:trHeight w:val="323"/>
        </w:trPr>
        <w:tc>
          <w:tcPr>
            <w:tcW w:w="7927" w:type="dxa"/>
            <w:tcBorders>
              <w:right w:val="single" w:sz="4" w:space="0" w:color="auto"/>
            </w:tcBorders>
            <w:vAlign w:val="center"/>
          </w:tcPr>
          <w:p w14:paraId="3B3D1480" w14:textId="263DB017" w:rsidR="007932EF" w:rsidRPr="00B7777E" w:rsidRDefault="007932EF" w:rsidP="00D12635">
            <w:pPr>
              <w:widowControl w:val="0"/>
              <w:spacing w:before="60" w:after="60"/>
              <w:ind w:left="429" w:hanging="450"/>
              <w:rPr>
                <w:b/>
                <w:bCs/>
              </w:rPr>
            </w:pPr>
            <w:r>
              <w:rPr>
                <w:b/>
                <w:bCs/>
              </w:rPr>
              <w:t>10</w:t>
            </w:r>
            <w:r w:rsidRPr="0006195E">
              <w:rPr>
                <w:b/>
                <w:bCs/>
              </w:rPr>
              <w:t xml:space="preserve">.1 </w:t>
            </w:r>
            <w:r w:rsidRPr="00BB209F">
              <w:t xml:space="preserve">The IRB will </w:t>
            </w:r>
            <w:r>
              <w:rPr>
                <w:b/>
                <w:bCs/>
              </w:rPr>
              <w:t xml:space="preserve">provide its determination and rationale promptly and in writing </w:t>
            </w:r>
            <w:r w:rsidRPr="00BB209F">
              <w:t>to the researcher and sponsor if the exception to consent is disapproved.</w:t>
            </w:r>
            <w:r>
              <w:t xml:space="preserve"> </w:t>
            </w:r>
            <w:r>
              <w:rPr>
                <w:b/>
                <w:bCs/>
              </w:rPr>
              <w:t xml:space="preserve"> </w:t>
            </w:r>
          </w:p>
          <w:p w14:paraId="314833FD" w14:textId="35930209" w:rsidR="007932EF" w:rsidRPr="007D045F" w:rsidRDefault="007932EF" w:rsidP="00D12635">
            <w:pPr>
              <w:widowControl w:val="0"/>
              <w:spacing w:before="60" w:after="60"/>
              <w:ind w:left="429" w:firstLine="90"/>
              <w:rPr>
                <w:i/>
                <w:iCs/>
              </w:rPr>
            </w:pPr>
            <w:r>
              <w:rPr>
                <w:i/>
                <w:iCs/>
              </w:rPr>
              <w:t>21 CFR 50.24(e)</w:t>
            </w:r>
          </w:p>
        </w:tc>
        <w:tc>
          <w:tcPr>
            <w:tcW w:w="1053" w:type="dxa"/>
            <w:tcBorders>
              <w:left w:val="single" w:sz="4" w:space="0" w:color="auto"/>
            </w:tcBorders>
            <w:vAlign w:val="center"/>
          </w:tcPr>
          <w:p w14:paraId="39FF414F" w14:textId="77777777" w:rsidR="007932EF" w:rsidRDefault="00BA58AA" w:rsidP="00D12635">
            <w:pPr>
              <w:widowControl w:val="0"/>
              <w:jc w:val="center"/>
            </w:pPr>
            <w:sdt>
              <w:sdtPr>
                <w:id w:val="-533962032"/>
                <w14:checkbox>
                  <w14:checked w14:val="0"/>
                  <w14:checkedState w14:val="2612" w14:font="MS Gothic"/>
                  <w14:uncheckedState w14:val="2610" w14:font="MS Gothic"/>
                </w14:checkbox>
              </w:sdtPr>
              <w:sdtEndPr/>
              <w:sdtContent>
                <w:r w:rsidR="007932EF" w:rsidRPr="003E72A2">
                  <w:rPr>
                    <w:rFonts w:ascii="MS Gothic" w:eastAsia="MS Gothic" w:hAnsi="MS Gothic" w:hint="eastAsia"/>
                  </w:rPr>
                  <w:t>☐</w:t>
                </w:r>
              </w:sdtContent>
            </w:sdt>
          </w:p>
        </w:tc>
        <w:tc>
          <w:tcPr>
            <w:tcW w:w="1005" w:type="dxa"/>
            <w:tcBorders>
              <w:left w:val="single" w:sz="4" w:space="0" w:color="auto"/>
            </w:tcBorders>
            <w:vAlign w:val="center"/>
          </w:tcPr>
          <w:p w14:paraId="101F1C18" w14:textId="46AFB61C" w:rsidR="007932EF" w:rsidRPr="003E72A2" w:rsidRDefault="00BA58AA" w:rsidP="00D12635">
            <w:pPr>
              <w:widowControl w:val="0"/>
              <w:jc w:val="center"/>
            </w:pPr>
            <w:sdt>
              <w:sdtPr>
                <w:id w:val="-377475307"/>
                <w14:checkbox>
                  <w14:checked w14:val="0"/>
                  <w14:checkedState w14:val="2612" w14:font="MS Gothic"/>
                  <w14:uncheckedState w14:val="2610" w14:font="MS Gothic"/>
                </w14:checkbox>
              </w:sdtPr>
              <w:sdtEndPr/>
              <w:sdtContent>
                <w:r w:rsidR="007932EF" w:rsidRPr="003E72A2">
                  <w:rPr>
                    <w:rFonts w:ascii="MS Gothic" w:eastAsia="MS Gothic" w:hAnsi="MS Gothic" w:hint="eastAsia"/>
                  </w:rPr>
                  <w:t>☐</w:t>
                </w:r>
              </w:sdtContent>
            </w:sdt>
          </w:p>
        </w:tc>
      </w:tr>
    </w:tbl>
    <w:p w14:paraId="492B8A0B" w14:textId="1EBEB609" w:rsidR="00F06C39" w:rsidRPr="00AA3F9D" w:rsidRDefault="00F06C39" w:rsidP="00A43C79">
      <w:pPr>
        <w:widowControl w:val="0"/>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0977F9">
        <w:rPr>
          <w:rFonts w:cs="Calibri"/>
          <w:sz w:val="18"/>
          <w:szCs w:val="18"/>
        </w:rPr>
        <w:t>EFIC; FDA</w:t>
      </w:r>
    </w:p>
    <w:sectPr w:rsidR="00F06C39" w:rsidRPr="00AA3F9D" w:rsidSect="00EF57B9">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34EF" w14:textId="77777777" w:rsidR="001F0C59" w:rsidRDefault="001F0C59" w:rsidP="008212BD">
      <w:r>
        <w:separator/>
      </w:r>
    </w:p>
  </w:endnote>
  <w:endnote w:type="continuationSeparator" w:id="0">
    <w:p w14:paraId="423A7483" w14:textId="77777777" w:rsidR="001F0C59" w:rsidRDefault="001F0C59"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3D578A15" w:rsidR="00E478B8" w:rsidRPr="000C25E0" w:rsidRDefault="00E478B8" w:rsidP="008212BD">
          <w:pPr>
            <w:pStyle w:val="Footer"/>
            <w:rPr>
              <w:sz w:val="18"/>
              <w:szCs w:val="18"/>
            </w:rPr>
          </w:pPr>
          <w:r>
            <w:rPr>
              <w:sz w:val="18"/>
              <w:szCs w:val="18"/>
            </w:rPr>
            <w:t xml:space="preserve">Date Posted </w:t>
          </w:r>
          <w:r w:rsidR="007D045F">
            <w:rPr>
              <w:sz w:val="18"/>
              <w:szCs w:val="18"/>
            </w:rPr>
            <w:t>08.31</w:t>
          </w:r>
          <w:r w:rsidR="00E6143A">
            <w:rPr>
              <w:sz w:val="18"/>
              <w:szCs w:val="18"/>
            </w:rPr>
            <w:t>.2023</w:t>
          </w:r>
        </w:p>
      </w:tc>
      <w:tc>
        <w:tcPr>
          <w:tcW w:w="3600" w:type="dxa"/>
          <w:vAlign w:val="center"/>
        </w:tcPr>
        <w:p w14:paraId="17E2D055" w14:textId="3DBE33DB" w:rsidR="00E478B8" w:rsidRPr="000C25E0" w:rsidRDefault="007450FC" w:rsidP="008212BD">
          <w:pPr>
            <w:pStyle w:val="Footer"/>
            <w:jc w:val="center"/>
            <w:rPr>
              <w:sz w:val="18"/>
              <w:szCs w:val="18"/>
            </w:rPr>
          </w:pPr>
          <w:r>
            <w:rPr>
              <w:sz w:val="18"/>
              <w:szCs w:val="18"/>
            </w:rPr>
            <w:t xml:space="preserve">CHECKLIST </w:t>
          </w:r>
          <w:r w:rsidR="00CF329A">
            <w:rPr>
              <w:sz w:val="18"/>
              <w:szCs w:val="18"/>
            </w:rPr>
            <w:t>EFIC</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0DA869D3"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7D045F">
            <w:rPr>
              <w:sz w:val="18"/>
              <w:szCs w:val="18"/>
            </w:rPr>
            <w:t>1</w:t>
          </w:r>
          <w:r w:rsidR="007450FC">
            <w:rPr>
              <w:sz w:val="18"/>
              <w:szCs w:val="18"/>
            </w:rPr>
            <w:t>.2</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CF50" w14:textId="77777777" w:rsidR="001F0C59" w:rsidRDefault="001F0C59" w:rsidP="008212BD">
      <w:r>
        <w:separator/>
      </w:r>
    </w:p>
  </w:footnote>
  <w:footnote w:type="continuationSeparator" w:id="0">
    <w:p w14:paraId="193EA43F" w14:textId="77777777" w:rsidR="001F0C59" w:rsidRDefault="001F0C59"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137B"/>
    <w:multiLevelType w:val="hybridMultilevel"/>
    <w:tmpl w:val="678AA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6DB9"/>
    <w:multiLevelType w:val="hybridMultilevel"/>
    <w:tmpl w:val="560A55D6"/>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E17F2"/>
    <w:multiLevelType w:val="multilevel"/>
    <w:tmpl w:val="ACC0DCE8"/>
    <w:lvl w:ilvl="0">
      <w:start w:val="3"/>
      <w:numFmt w:val="decimal"/>
      <w:lvlText w:val="%1"/>
      <w:lvlJc w:val="left"/>
      <w:pPr>
        <w:ind w:left="435" w:hanging="435"/>
      </w:pPr>
      <w:rPr>
        <w:rFonts w:hint="default"/>
      </w:rPr>
    </w:lvl>
    <w:lvl w:ilvl="1">
      <w:start w:val="2"/>
      <w:numFmt w:val="decimal"/>
      <w:lvlText w:val="%1.%2"/>
      <w:lvlJc w:val="left"/>
      <w:pPr>
        <w:ind w:left="739" w:hanging="435"/>
      </w:pPr>
      <w:rPr>
        <w:rFonts w:hint="default"/>
      </w:rPr>
    </w:lvl>
    <w:lvl w:ilvl="2">
      <w:start w:val="2"/>
      <w:numFmt w:val="decimal"/>
      <w:lvlText w:val="%1.%2.%3"/>
      <w:lvlJc w:val="left"/>
      <w:pPr>
        <w:ind w:left="1328" w:hanging="720"/>
      </w:pPr>
      <w:rPr>
        <w:rFonts w:hint="default"/>
      </w:rPr>
    </w:lvl>
    <w:lvl w:ilvl="3">
      <w:start w:val="1"/>
      <w:numFmt w:val="decimal"/>
      <w:lvlText w:val="%1.%2.%3.%4"/>
      <w:lvlJc w:val="left"/>
      <w:pPr>
        <w:ind w:left="1632" w:hanging="72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600" w:hanging="108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568" w:hanging="1440"/>
      </w:pPr>
      <w:rPr>
        <w:rFonts w:hint="default"/>
      </w:rPr>
    </w:lvl>
    <w:lvl w:ilvl="8">
      <w:start w:val="1"/>
      <w:numFmt w:val="decimal"/>
      <w:lvlText w:val="%1.%2.%3.%4.%5.%6.%7.%8.%9"/>
      <w:lvlJc w:val="left"/>
      <w:pPr>
        <w:ind w:left="4232" w:hanging="1800"/>
      </w:pPr>
      <w:rPr>
        <w:rFonts w:hint="default"/>
      </w:rPr>
    </w:lvl>
  </w:abstractNum>
  <w:abstractNum w:abstractNumId="9"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6F7ECF"/>
    <w:multiLevelType w:val="hybridMultilevel"/>
    <w:tmpl w:val="59860502"/>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95B2121"/>
    <w:multiLevelType w:val="hybridMultilevel"/>
    <w:tmpl w:val="4EF45CFE"/>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8"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1"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15:restartNumberingAfterBreak="0">
    <w:nsid w:val="48790E10"/>
    <w:multiLevelType w:val="hybridMultilevel"/>
    <w:tmpl w:val="44909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B23482"/>
    <w:multiLevelType w:val="hybridMultilevel"/>
    <w:tmpl w:val="233C0EEE"/>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6"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60E54"/>
    <w:multiLevelType w:val="hybridMultilevel"/>
    <w:tmpl w:val="B0F680E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75C74"/>
    <w:multiLevelType w:val="hybridMultilevel"/>
    <w:tmpl w:val="2C2E6A66"/>
    <w:lvl w:ilvl="0" w:tplc="04090005">
      <w:start w:val="1"/>
      <w:numFmt w:val="bullet"/>
      <w:lvlText w:val=""/>
      <w:lvlJc w:val="left"/>
      <w:pPr>
        <w:ind w:left="699" w:hanging="360"/>
      </w:pPr>
      <w:rPr>
        <w:rFonts w:ascii="Wingdings" w:hAnsi="Wingdings"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2"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74D3AD1"/>
    <w:multiLevelType w:val="hybridMultilevel"/>
    <w:tmpl w:val="6CA8DFDC"/>
    <w:lvl w:ilvl="0" w:tplc="04090005">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5" w15:restartNumberingAfterBreak="0">
    <w:nsid w:val="6C1B1EB0"/>
    <w:multiLevelType w:val="hybridMultilevel"/>
    <w:tmpl w:val="116CA4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0886F72"/>
    <w:multiLevelType w:val="multilevel"/>
    <w:tmpl w:val="9514C55E"/>
    <w:lvl w:ilvl="0">
      <w:start w:val="3"/>
      <w:numFmt w:val="decimal"/>
      <w:lvlText w:val="%1"/>
      <w:lvlJc w:val="left"/>
      <w:pPr>
        <w:ind w:left="435" w:hanging="435"/>
      </w:pPr>
      <w:rPr>
        <w:rFonts w:hint="default"/>
      </w:rPr>
    </w:lvl>
    <w:lvl w:ilvl="1">
      <w:start w:val="1"/>
      <w:numFmt w:val="decimal"/>
      <w:lvlText w:val="%1.%2"/>
      <w:lvlJc w:val="left"/>
      <w:pPr>
        <w:ind w:left="652" w:hanging="435"/>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7"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762DA"/>
    <w:multiLevelType w:val="hybridMultilevel"/>
    <w:tmpl w:val="0B1C9F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5A75D14"/>
    <w:multiLevelType w:val="hybridMultilevel"/>
    <w:tmpl w:val="E1E25E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0" w15:restartNumberingAfterBreak="0">
    <w:nsid w:val="77F70DB1"/>
    <w:multiLevelType w:val="multilevel"/>
    <w:tmpl w:val="E3D4BCDA"/>
    <w:lvl w:ilvl="0">
      <w:start w:val="1"/>
      <w:numFmt w:val="decimal"/>
      <w:lvlText w:val="%1."/>
      <w:lvlJc w:val="left"/>
      <w:pPr>
        <w:ind w:left="333" w:hanging="360"/>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61"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602" w:hanging="1440"/>
      </w:pPr>
      <w:rPr>
        <w:rFonts w:hint="default"/>
      </w:rPr>
    </w:lvl>
    <w:lvl w:ilvl="8">
      <w:start w:val="1"/>
      <w:numFmt w:val="decimal"/>
      <w:isLgl/>
      <w:lvlText w:val="%1.%2.%3.%4.%5.%6.%7.%8.%9"/>
      <w:lvlJc w:val="left"/>
      <w:pPr>
        <w:ind w:left="1629" w:hanging="1440"/>
      </w:pPr>
      <w:rPr>
        <w:rFonts w:hint="default"/>
      </w:rPr>
    </w:lvl>
  </w:abstractNum>
  <w:abstractNum w:abstractNumId="41" w15:restartNumberingAfterBreak="0">
    <w:nsid w:val="79F02D56"/>
    <w:multiLevelType w:val="hybridMultilevel"/>
    <w:tmpl w:val="E5962DD0"/>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2"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2389">
    <w:abstractNumId w:val="21"/>
  </w:num>
  <w:num w:numId="2" w16cid:durableId="56980175">
    <w:abstractNumId w:val="14"/>
  </w:num>
  <w:num w:numId="3" w16cid:durableId="1981643860">
    <w:abstractNumId w:val="37"/>
  </w:num>
  <w:num w:numId="4" w16cid:durableId="789588117">
    <w:abstractNumId w:val="42"/>
  </w:num>
  <w:num w:numId="5" w16cid:durableId="1031413638">
    <w:abstractNumId w:val="0"/>
  </w:num>
  <w:num w:numId="6" w16cid:durableId="1084113241">
    <w:abstractNumId w:val="30"/>
  </w:num>
  <w:num w:numId="7" w16cid:durableId="1153524209">
    <w:abstractNumId w:val="3"/>
  </w:num>
  <w:num w:numId="8" w16cid:durableId="1165825522">
    <w:abstractNumId w:val="9"/>
  </w:num>
  <w:num w:numId="9" w16cid:durableId="214463615">
    <w:abstractNumId w:val="5"/>
  </w:num>
  <w:num w:numId="10" w16cid:durableId="640578230">
    <w:abstractNumId w:val="18"/>
  </w:num>
  <w:num w:numId="11" w16cid:durableId="808473260">
    <w:abstractNumId w:val="23"/>
  </w:num>
  <w:num w:numId="12" w16cid:durableId="1044981425">
    <w:abstractNumId w:val="20"/>
  </w:num>
  <w:num w:numId="13" w16cid:durableId="76948576">
    <w:abstractNumId w:val="39"/>
  </w:num>
  <w:num w:numId="14" w16cid:durableId="151989050">
    <w:abstractNumId w:val="15"/>
  </w:num>
  <w:num w:numId="15" w16cid:durableId="1170216852">
    <w:abstractNumId w:val="7"/>
  </w:num>
  <w:num w:numId="16" w16cid:durableId="34160750">
    <w:abstractNumId w:val="26"/>
  </w:num>
  <w:num w:numId="17" w16cid:durableId="92091696">
    <w:abstractNumId w:val="1"/>
  </w:num>
  <w:num w:numId="18" w16cid:durableId="1814174005">
    <w:abstractNumId w:val="32"/>
  </w:num>
  <w:num w:numId="19" w16cid:durableId="855314039">
    <w:abstractNumId w:val="19"/>
  </w:num>
  <w:num w:numId="20" w16cid:durableId="140270774">
    <w:abstractNumId w:val="11"/>
  </w:num>
  <w:num w:numId="21" w16cid:durableId="1151169682">
    <w:abstractNumId w:val="6"/>
  </w:num>
  <w:num w:numId="22" w16cid:durableId="1640719368">
    <w:abstractNumId w:val="16"/>
  </w:num>
  <w:num w:numId="23" w16cid:durableId="926114417">
    <w:abstractNumId w:val="10"/>
  </w:num>
  <w:num w:numId="24" w16cid:durableId="345134893">
    <w:abstractNumId w:val="27"/>
  </w:num>
  <w:num w:numId="25" w16cid:durableId="1280182912">
    <w:abstractNumId w:val="28"/>
  </w:num>
  <w:num w:numId="26" w16cid:durableId="1491868446">
    <w:abstractNumId w:val="22"/>
  </w:num>
  <w:num w:numId="27" w16cid:durableId="1860895228">
    <w:abstractNumId w:val="33"/>
  </w:num>
  <w:num w:numId="28" w16cid:durableId="763303607">
    <w:abstractNumId w:val="13"/>
  </w:num>
  <w:num w:numId="29" w16cid:durableId="154148803">
    <w:abstractNumId w:val="40"/>
  </w:num>
  <w:num w:numId="30" w16cid:durableId="1130592161">
    <w:abstractNumId w:val="17"/>
  </w:num>
  <w:num w:numId="31" w16cid:durableId="758326845">
    <w:abstractNumId w:val="36"/>
  </w:num>
  <w:num w:numId="32" w16cid:durableId="1763915367">
    <w:abstractNumId w:val="29"/>
  </w:num>
  <w:num w:numId="33" w16cid:durableId="541670707">
    <w:abstractNumId w:val="8"/>
  </w:num>
  <w:num w:numId="34" w16cid:durableId="2045859466">
    <w:abstractNumId w:val="12"/>
  </w:num>
  <w:num w:numId="35" w16cid:durableId="737048506">
    <w:abstractNumId w:val="41"/>
  </w:num>
  <w:num w:numId="36" w16cid:durableId="440606560">
    <w:abstractNumId w:val="25"/>
  </w:num>
  <w:num w:numId="37" w16cid:durableId="42873202">
    <w:abstractNumId w:val="2"/>
  </w:num>
  <w:num w:numId="38" w16cid:durableId="1087266981">
    <w:abstractNumId w:val="38"/>
  </w:num>
  <w:num w:numId="39" w16cid:durableId="1009478752">
    <w:abstractNumId w:val="35"/>
  </w:num>
  <w:num w:numId="40" w16cid:durableId="1697727353">
    <w:abstractNumId w:val="24"/>
  </w:num>
  <w:num w:numId="41" w16cid:durableId="208535613">
    <w:abstractNumId w:val="31"/>
  </w:num>
  <w:num w:numId="42" w16cid:durableId="392892229">
    <w:abstractNumId w:val="4"/>
  </w:num>
  <w:num w:numId="43" w16cid:durableId="846188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1146"/>
    <w:rsid w:val="00003586"/>
    <w:rsid w:val="00004E22"/>
    <w:rsid w:val="000064F5"/>
    <w:rsid w:val="00010C1E"/>
    <w:rsid w:val="0001140D"/>
    <w:rsid w:val="00016C61"/>
    <w:rsid w:val="00021B70"/>
    <w:rsid w:val="00023303"/>
    <w:rsid w:val="00024BA1"/>
    <w:rsid w:val="00025715"/>
    <w:rsid w:val="00025AF5"/>
    <w:rsid w:val="00031C71"/>
    <w:rsid w:val="00034501"/>
    <w:rsid w:val="0003504E"/>
    <w:rsid w:val="00046456"/>
    <w:rsid w:val="000500AD"/>
    <w:rsid w:val="00050BFC"/>
    <w:rsid w:val="00050ED7"/>
    <w:rsid w:val="00052693"/>
    <w:rsid w:val="0005362F"/>
    <w:rsid w:val="00053F59"/>
    <w:rsid w:val="00056D3E"/>
    <w:rsid w:val="0006009F"/>
    <w:rsid w:val="000604D4"/>
    <w:rsid w:val="000616CA"/>
    <w:rsid w:val="0006195E"/>
    <w:rsid w:val="00072281"/>
    <w:rsid w:val="00075BA9"/>
    <w:rsid w:val="000838EF"/>
    <w:rsid w:val="00086DA3"/>
    <w:rsid w:val="00090C75"/>
    <w:rsid w:val="0009541E"/>
    <w:rsid w:val="000977F9"/>
    <w:rsid w:val="000A4F42"/>
    <w:rsid w:val="000B0A6D"/>
    <w:rsid w:val="000B0C16"/>
    <w:rsid w:val="000B1C08"/>
    <w:rsid w:val="000B3FF3"/>
    <w:rsid w:val="000B4404"/>
    <w:rsid w:val="000C4D4B"/>
    <w:rsid w:val="000D104E"/>
    <w:rsid w:val="000D18CF"/>
    <w:rsid w:val="000D32FD"/>
    <w:rsid w:val="000D6760"/>
    <w:rsid w:val="000F740B"/>
    <w:rsid w:val="00104A02"/>
    <w:rsid w:val="00105618"/>
    <w:rsid w:val="00105DA5"/>
    <w:rsid w:val="0012129D"/>
    <w:rsid w:val="001224D2"/>
    <w:rsid w:val="001258D0"/>
    <w:rsid w:val="00130298"/>
    <w:rsid w:val="00137203"/>
    <w:rsid w:val="00141CF9"/>
    <w:rsid w:val="001435BA"/>
    <w:rsid w:val="00143E29"/>
    <w:rsid w:val="0015137A"/>
    <w:rsid w:val="00164EAF"/>
    <w:rsid w:val="001665A4"/>
    <w:rsid w:val="00166CA7"/>
    <w:rsid w:val="00173003"/>
    <w:rsid w:val="001744BE"/>
    <w:rsid w:val="00175047"/>
    <w:rsid w:val="00175BF8"/>
    <w:rsid w:val="0017788F"/>
    <w:rsid w:val="00180426"/>
    <w:rsid w:val="00186081"/>
    <w:rsid w:val="00187238"/>
    <w:rsid w:val="001A253A"/>
    <w:rsid w:val="001A543E"/>
    <w:rsid w:val="001B0BC0"/>
    <w:rsid w:val="001B2E42"/>
    <w:rsid w:val="001B2FD6"/>
    <w:rsid w:val="001B6E80"/>
    <w:rsid w:val="001C1F68"/>
    <w:rsid w:val="001C260D"/>
    <w:rsid w:val="001C27DB"/>
    <w:rsid w:val="001D22E5"/>
    <w:rsid w:val="001D2E31"/>
    <w:rsid w:val="001D2F81"/>
    <w:rsid w:val="001D32D3"/>
    <w:rsid w:val="001D44BD"/>
    <w:rsid w:val="001D79FC"/>
    <w:rsid w:val="001E191D"/>
    <w:rsid w:val="001E2441"/>
    <w:rsid w:val="001F0C59"/>
    <w:rsid w:val="001F417A"/>
    <w:rsid w:val="001F602D"/>
    <w:rsid w:val="00201DB6"/>
    <w:rsid w:val="00203EFC"/>
    <w:rsid w:val="00204DF0"/>
    <w:rsid w:val="00207336"/>
    <w:rsid w:val="0021380F"/>
    <w:rsid w:val="00215B3F"/>
    <w:rsid w:val="002307C8"/>
    <w:rsid w:val="00230BFE"/>
    <w:rsid w:val="002358C3"/>
    <w:rsid w:val="00237095"/>
    <w:rsid w:val="00243491"/>
    <w:rsid w:val="00243A0D"/>
    <w:rsid w:val="00243C28"/>
    <w:rsid w:val="00244B9F"/>
    <w:rsid w:val="00247F4C"/>
    <w:rsid w:val="00254EEF"/>
    <w:rsid w:val="00256587"/>
    <w:rsid w:val="00256FA2"/>
    <w:rsid w:val="00257677"/>
    <w:rsid w:val="00270DEB"/>
    <w:rsid w:val="002714CF"/>
    <w:rsid w:val="002738A8"/>
    <w:rsid w:val="00277D50"/>
    <w:rsid w:val="002805AE"/>
    <w:rsid w:val="002810DC"/>
    <w:rsid w:val="00282C82"/>
    <w:rsid w:val="002853B4"/>
    <w:rsid w:val="00295B6E"/>
    <w:rsid w:val="0029608A"/>
    <w:rsid w:val="00297894"/>
    <w:rsid w:val="002A472C"/>
    <w:rsid w:val="002A4FC6"/>
    <w:rsid w:val="002A61F6"/>
    <w:rsid w:val="002B5262"/>
    <w:rsid w:val="002B5406"/>
    <w:rsid w:val="002D157D"/>
    <w:rsid w:val="002D22DE"/>
    <w:rsid w:val="002D6190"/>
    <w:rsid w:val="002E26E6"/>
    <w:rsid w:val="002E5EF1"/>
    <w:rsid w:val="003006DA"/>
    <w:rsid w:val="00300E7F"/>
    <w:rsid w:val="003019A5"/>
    <w:rsid w:val="00304D8D"/>
    <w:rsid w:val="00305C0A"/>
    <w:rsid w:val="0032156B"/>
    <w:rsid w:val="00326662"/>
    <w:rsid w:val="003315DF"/>
    <w:rsid w:val="003356DC"/>
    <w:rsid w:val="00344C30"/>
    <w:rsid w:val="00351A83"/>
    <w:rsid w:val="00354B0F"/>
    <w:rsid w:val="003562C0"/>
    <w:rsid w:val="0035649D"/>
    <w:rsid w:val="003769D7"/>
    <w:rsid w:val="00376B3A"/>
    <w:rsid w:val="0038048C"/>
    <w:rsid w:val="00381726"/>
    <w:rsid w:val="00396F4C"/>
    <w:rsid w:val="003A06FA"/>
    <w:rsid w:val="003A2423"/>
    <w:rsid w:val="003A3B58"/>
    <w:rsid w:val="003B0803"/>
    <w:rsid w:val="003B482C"/>
    <w:rsid w:val="003B6472"/>
    <w:rsid w:val="003C01CB"/>
    <w:rsid w:val="003C1E3C"/>
    <w:rsid w:val="003C50DD"/>
    <w:rsid w:val="003C56B4"/>
    <w:rsid w:val="003E058F"/>
    <w:rsid w:val="003F695E"/>
    <w:rsid w:val="00400261"/>
    <w:rsid w:val="0040301C"/>
    <w:rsid w:val="0041193B"/>
    <w:rsid w:val="00423EB2"/>
    <w:rsid w:val="004301DE"/>
    <w:rsid w:val="004330EE"/>
    <w:rsid w:val="00436E1F"/>
    <w:rsid w:val="004409D4"/>
    <w:rsid w:val="004505B5"/>
    <w:rsid w:val="004513AB"/>
    <w:rsid w:val="00461FB5"/>
    <w:rsid w:val="00473983"/>
    <w:rsid w:val="00474C6C"/>
    <w:rsid w:val="0048299C"/>
    <w:rsid w:val="00486010"/>
    <w:rsid w:val="00496489"/>
    <w:rsid w:val="00496D5D"/>
    <w:rsid w:val="004979D7"/>
    <w:rsid w:val="004A1C89"/>
    <w:rsid w:val="004A1FC3"/>
    <w:rsid w:val="004A5B52"/>
    <w:rsid w:val="004A6A62"/>
    <w:rsid w:val="004C0295"/>
    <w:rsid w:val="004C5601"/>
    <w:rsid w:val="004D0028"/>
    <w:rsid w:val="004D169E"/>
    <w:rsid w:val="004D360F"/>
    <w:rsid w:val="004D4380"/>
    <w:rsid w:val="004E7E43"/>
    <w:rsid w:val="004F0441"/>
    <w:rsid w:val="004F5773"/>
    <w:rsid w:val="004F7585"/>
    <w:rsid w:val="005030EA"/>
    <w:rsid w:val="00503EE9"/>
    <w:rsid w:val="00514240"/>
    <w:rsid w:val="005168CF"/>
    <w:rsid w:val="005175E7"/>
    <w:rsid w:val="0052120F"/>
    <w:rsid w:val="0052443E"/>
    <w:rsid w:val="00527B1F"/>
    <w:rsid w:val="005402AD"/>
    <w:rsid w:val="00541E95"/>
    <w:rsid w:val="0054698A"/>
    <w:rsid w:val="0055437F"/>
    <w:rsid w:val="00555792"/>
    <w:rsid w:val="00555B89"/>
    <w:rsid w:val="0056177B"/>
    <w:rsid w:val="00561CEA"/>
    <w:rsid w:val="005734F2"/>
    <w:rsid w:val="00573A45"/>
    <w:rsid w:val="00574440"/>
    <w:rsid w:val="005809E9"/>
    <w:rsid w:val="00582627"/>
    <w:rsid w:val="00584B13"/>
    <w:rsid w:val="005914C6"/>
    <w:rsid w:val="0059580F"/>
    <w:rsid w:val="00597953"/>
    <w:rsid w:val="005A74B5"/>
    <w:rsid w:val="005C0CE0"/>
    <w:rsid w:val="005C0E3B"/>
    <w:rsid w:val="005C32B1"/>
    <w:rsid w:val="005C5DDA"/>
    <w:rsid w:val="005D2FF2"/>
    <w:rsid w:val="005D4C8E"/>
    <w:rsid w:val="005E0DF8"/>
    <w:rsid w:val="005E12E3"/>
    <w:rsid w:val="00613A6B"/>
    <w:rsid w:val="00627DEF"/>
    <w:rsid w:val="00633217"/>
    <w:rsid w:val="0063407B"/>
    <w:rsid w:val="00637E82"/>
    <w:rsid w:val="00644786"/>
    <w:rsid w:val="006454D9"/>
    <w:rsid w:val="006470CE"/>
    <w:rsid w:val="00656A4C"/>
    <w:rsid w:val="00664350"/>
    <w:rsid w:val="00673A7A"/>
    <w:rsid w:val="006756E5"/>
    <w:rsid w:val="006968E0"/>
    <w:rsid w:val="00697883"/>
    <w:rsid w:val="006A1622"/>
    <w:rsid w:val="006A79C3"/>
    <w:rsid w:val="006B083F"/>
    <w:rsid w:val="006B1E6F"/>
    <w:rsid w:val="006B30AB"/>
    <w:rsid w:val="006B6783"/>
    <w:rsid w:val="006C6C13"/>
    <w:rsid w:val="006C7EA6"/>
    <w:rsid w:val="006D0168"/>
    <w:rsid w:val="006E3D99"/>
    <w:rsid w:val="006F756F"/>
    <w:rsid w:val="00702634"/>
    <w:rsid w:val="0070303E"/>
    <w:rsid w:val="00707158"/>
    <w:rsid w:val="00710429"/>
    <w:rsid w:val="00711DB6"/>
    <w:rsid w:val="0071308D"/>
    <w:rsid w:val="00713CE5"/>
    <w:rsid w:val="00713F01"/>
    <w:rsid w:val="00713F89"/>
    <w:rsid w:val="0072080A"/>
    <w:rsid w:val="00721935"/>
    <w:rsid w:val="00722AB1"/>
    <w:rsid w:val="00726E02"/>
    <w:rsid w:val="00735BFD"/>
    <w:rsid w:val="0073637D"/>
    <w:rsid w:val="007450FC"/>
    <w:rsid w:val="00752787"/>
    <w:rsid w:val="00753C5C"/>
    <w:rsid w:val="007579D2"/>
    <w:rsid w:val="00764017"/>
    <w:rsid w:val="0077488C"/>
    <w:rsid w:val="0078510B"/>
    <w:rsid w:val="00786B32"/>
    <w:rsid w:val="00787861"/>
    <w:rsid w:val="0079017D"/>
    <w:rsid w:val="007905A6"/>
    <w:rsid w:val="007932EF"/>
    <w:rsid w:val="00794257"/>
    <w:rsid w:val="00796083"/>
    <w:rsid w:val="00796DF8"/>
    <w:rsid w:val="00797203"/>
    <w:rsid w:val="007A21EB"/>
    <w:rsid w:val="007B7EB7"/>
    <w:rsid w:val="007C3391"/>
    <w:rsid w:val="007C4328"/>
    <w:rsid w:val="007D045F"/>
    <w:rsid w:val="007D09F3"/>
    <w:rsid w:val="007D2A3F"/>
    <w:rsid w:val="007D2EEF"/>
    <w:rsid w:val="007E100C"/>
    <w:rsid w:val="007E1BEF"/>
    <w:rsid w:val="007E2BA5"/>
    <w:rsid w:val="007E483D"/>
    <w:rsid w:val="007E6E2A"/>
    <w:rsid w:val="007E784E"/>
    <w:rsid w:val="007F2504"/>
    <w:rsid w:val="007F38D3"/>
    <w:rsid w:val="007F536B"/>
    <w:rsid w:val="008063DB"/>
    <w:rsid w:val="008124C2"/>
    <w:rsid w:val="00820236"/>
    <w:rsid w:val="00820B6D"/>
    <w:rsid w:val="008212BD"/>
    <w:rsid w:val="0082464C"/>
    <w:rsid w:val="00826D47"/>
    <w:rsid w:val="00837C11"/>
    <w:rsid w:val="00842650"/>
    <w:rsid w:val="00842CAF"/>
    <w:rsid w:val="008458C5"/>
    <w:rsid w:val="00851435"/>
    <w:rsid w:val="00853E67"/>
    <w:rsid w:val="00856F38"/>
    <w:rsid w:val="00857C1D"/>
    <w:rsid w:val="008601F4"/>
    <w:rsid w:val="00861E44"/>
    <w:rsid w:val="008639D4"/>
    <w:rsid w:val="008675B6"/>
    <w:rsid w:val="00885832"/>
    <w:rsid w:val="00894E5E"/>
    <w:rsid w:val="008A0F42"/>
    <w:rsid w:val="008A3BB8"/>
    <w:rsid w:val="008A5BC2"/>
    <w:rsid w:val="008B4CC2"/>
    <w:rsid w:val="008B6D0F"/>
    <w:rsid w:val="008D15A7"/>
    <w:rsid w:val="008D6EBD"/>
    <w:rsid w:val="008E2CBF"/>
    <w:rsid w:val="008E31A2"/>
    <w:rsid w:val="008F2875"/>
    <w:rsid w:val="00900866"/>
    <w:rsid w:val="009014E0"/>
    <w:rsid w:val="00903811"/>
    <w:rsid w:val="00904E73"/>
    <w:rsid w:val="009072A7"/>
    <w:rsid w:val="00910DD9"/>
    <w:rsid w:val="00911103"/>
    <w:rsid w:val="00911CDB"/>
    <w:rsid w:val="00915533"/>
    <w:rsid w:val="00915A24"/>
    <w:rsid w:val="00920E50"/>
    <w:rsid w:val="0092199D"/>
    <w:rsid w:val="00923354"/>
    <w:rsid w:val="00930378"/>
    <w:rsid w:val="0093251D"/>
    <w:rsid w:val="009400E5"/>
    <w:rsid w:val="0094109C"/>
    <w:rsid w:val="009425C6"/>
    <w:rsid w:val="00942B9A"/>
    <w:rsid w:val="0094577D"/>
    <w:rsid w:val="0095795B"/>
    <w:rsid w:val="00961369"/>
    <w:rsid w:val="00965DBD"/>
    <w:rsid w:val="0097295C"/>
    <w:rsid w:val="00973998"/>
    <w:rsid w:val="00973C56"/>
    <w:rsid w:val="009769C6"/>
    <w:rsid w:val="00977B9D"/>
    <w:rsid w:val="0098273F"/>
    <w:rsid w:val="009837E3"/>
    <w:rsid w:val="0099260E"/>
    <w:rsid w:val="009A048D"/>
    <w:rsid w:val="009A0BED"/>
    <w:rsid w:val="009A33B3"/>
    <w:rsid w:val="009A445F"/>
    <w:rsid w:val="009B4302"/>
    <w:rsid w:val="009B666D"/>
    <w:rsid w:val="009D5581"/>
    <w:rsid w:val="009E28DD"/>
    <w:rsid w:val="009E7CAE"/>
    <w:rsid w:val="009F1778"/>
    <w:rsid w:val="00A02692"/>
    <w:rsid w:val="00A110DD"/>
    <w:rsid w:val="00A215ED"/>
    <w:rsid w:val="00A43C79"/>
    <w:rsid w:val="00A5294D"/>
    <w:rsid w:val="00A557CA"/>
    <w:rsid w:val="00A573C8"/>
    <w:rsid w:val="00A62865"/>
    <w:rsid w:val="00A62F41"/>
    <w:rsid w:val="00A6435D"/>
    <w:rsid w:val="00A70BD9"/>
    <w:rsid w:val="00A75E8F"/>
    <w:rsid w:val="00A76BA7"/>
    <w:rsid w:val="00A8082D"/>
    <w:rsid w:val="00A86708"/>
    <w:rsid w:val="00A90D5E"/>
    <w:rsid w:val="00A96E33"/>
    <w:rsid w:val="00AA3F9D"/>
    <w:rsid w:val="00AB1AE1"/>
    <w:rsid w:val="00AB42B5"/>
    <w:rsid w:val="00AD050B"/>
    <w:rsid w:val="00AD0514"/>
    <w:rsid w:val="00AD19D7"/>
    <w:rsid w:val="00AE1A6C"/>
    <w:rsid w:val="00AE1CE9"/>
    <w:rsid w:val="00AE201A"/>
    <w:rsid w:val="00AE2901"/>
    <w:rsid w:val="00AE29D6"/>
    <w:rsid w:val="00AE3E7F"/>
    <w:rsid w:val="00AE7FAA"/>
    <w:rsid w:val="00AF4EDC"/>
    <w:rsid w:val="00B06CB1"/>
    <w:rsid w:val="00B11E8F"/>
    <w:rsid w:val="00B17136"/>
    <w:rsid w:val="00B2228E"/>
    <w:rsid w:val="00B30F2C"/>
    <w:rsid w:val="00B36AE0"/>
    <w:rsid w:val="00B3717A"/>
    <w:rsid w:val="00B41D69"/>
    <w:rsid w:val="00B5278C"/>
    <w:rsid w:val="00B71101"/>
    <w:rsid w:val="00B76CE9"/>
    <w:rsid w:val="00B7777E"/>
    <w:rsid w:val="00B84037"/>
    <w:rsid w:val="00B87610"/>
    <w:rsid w:val="00B95CF5"/>
    <w:rsid w:val="00BA58AA"/>
    <w:rsid w:val="00BA68ED"/>
    <w:rsid w:val="00BA72DA"/>
    <w:rsid w:val="00BB0B58"/>
    <w:rsid w:val="00BB159E"/>
    <w:rsid w:val="00BB209F"/>
    <w:rsid w:val="00BB4E3B"/>
    <w:rsid w:val="00BB5232"/>
    <w:rsid w:val="00BB52AB"/>
    <w:rsid w:val="00BC51B4"/>
    <w:rsid w:val="00BE05E5"/>
    <w:rsid w:val="00BE199A"/>
    <w:rsid w:val="00BE5735"/>
    <w:rsid w:val="00BE6803"/>
    <w:rsid w:val="00BF1338"/>
    <w:rsid w:val="00BF4486"/>
    <w:rsid w:val="00BF7D9E"/>
    <w:rsid w:val="00C027DC"/>
    <w:rsid w:val="00C031A5"/>
    <w:rsid w:val="00C104BC"/>
    <w:rsid w:val="00C2071C"/>
    <w:rsid w:val="00C226DF"/>
    <w:rsid w:val="00C35BCA"/>
    <w:rsid w:val="00C35D72"/>
    <w:rsid w:val="00C426C5"/>
    <w:rsid w:val="00C439A3"/>
    <w:rsid w:val="00C508B9"/>
    <w:rsid w:val="00C52559"/>
    <w:rsid w:val="00C548C3"/>
    <w:rsid w:val="00C55DDF"/>
    <w:rsid w:val="00C56614"/>
    <w:rsid w:val="00C6106D"/>
    <w:rsid w:val="00C6107F"/>
    <w:rsid w:val="00C61A76"/>
    <w:rsid w:val="00C72040"/>
    <w:rsid w:val="00C7566E"/>
    <w:rsid w:val="00C84264"/>
    <w:rsid w:val="00C909FF"/>
    <w:rsid w:val="00C97DCA"/>
    <w:rsid w:val="00CA2418"/>
    <w:rsid w:val="00CA7E58"/>
    <w:rsid w:val="00CB28B9"/>
    <w:rsid w:val="00CB7D54"/>
    <w:rsid w:val="00CE20EC"/>
    <w:rsid w:val="00CF01B5"/>
    <w:rsid w:val="00CF25BA"/>
    <w:rsid w:val="00CF329A"/>
    <w:rsid w:val="00CF6C51"/>
    <w:rsid w:val="00D003A0"/>
    <w:rsid w:val="00D01668"/>
    <w:rsid w:val="00D129F9"/>
    <w:rsid w:val="00D15A48"/>
    <w:rsid w:val="00D170B4"/>
    <w:rsid w:val="00D21284"/>
    <w:rsid w:val="00D240B3"/>
    <w:rsid w:val="00D33BCC"/>
    <w:rsid w:val="00D373A8"/>
    <w:rsid w:val="00D50A92"/>
    <w:rsid w:val="00D51ED2"/>
    <w:rsid w:val="00D52585"/>
    <w:rsid w:val="00D52C73"/>
    <w:rsid w:val="00D62EBD"/>
    <w:rsid w:val="00D718DB"/>
    <w:rsid w:val="00D8505C"/>
    <w:rsid w:val="00D86821"/>
    <w:rsid w:val="00D86A5E"/>
    <w:rsid w:val="00D870E2"/>
    <w:rsid w:val="00D90665"/>
    <w:rsid w:val="00D9650C"/>
    <w:rsid w:val="00D96C6B"/>
    <w:rsid w:val="00DA08DB"/>
    <w:rsid w:val="00DB67AF"/>
    <w:rsid w:val="00DC138D"/>
    <w:rsid w:val="00DC354F"/>
    <w:rsid w:val="00DC4084"/>
    <w:rsid w:val="00DD17C0"/>
    <w:rsid w:val="00DD3321"/>
    <w:rsid w:val="00DD5854"/>
    <w:rsid w:val="00DF7A2E"/>
    <w:rsid w:val="00DF7DAD"/>
    <w:rsid w:val="00E07225"/>
    <w:rsid w:val="00E14AF6"/>
    <w:rsid w:val="00E235E0"/>
    <w:rsid w:val="00E31469"/>
    <w:rsid w:val="00E32073"/>
    <w:rsid w:val="00E36EA6"/>
    <w:rsid w:val="00E412BA"/>
    <w:rsid w:val="00E478B8"/>
    <w:rsid w:val="00E53B6C"/>
    <w:rsid w:val="00E60B6E"/>
    <w:rsid w:val="00E6143A"/>
    <w:rsid w:val="00E71407"/>
    <w:rsid w:val="00E73686"/>
    <w:rsid w:val="00E74EDA"/>
    <w:rsid w:val="00E75748"/>
    <w:rsid w:val="00E80F69"/>
    <w:rsid w:val="00E836B9"/>
    <w:rsid w:val="00E970EE"/>
    <w:rsid w:val="00EA64AE"/>
    <w:rsid w:val="00EB32CB"/>
    <w:rsid w:val="00EC1CB2"/>
    <w:rsid w:val="00EC22F3"/>
    <w:rsid w:val="00EC4230"/>
    <w:rsid w:val="00EC78AC"/>
    <w:rsid w:val="00ED13CA"/>
    <w:rsid w:val="00ED3009"/>
    <w:rsid w:val="00ED3F77"/>
    <w:rsid w:val="00EF57B9"/>
    <w:rsid w:val="00EF6016"/>
    <w:rsid w:val="00EF6D15"/>
    <w:rsid w:val="00F06C39"/>
    <w:rsid w:val="00F10130"/>
    <w:rsid w:val="00F16338"/>
    <w:rsid w:val="00F17884"/>
    <w:rsid w:val="00F249BE"/>
    <w:rsid w:val="00F2600A"/>
    <w:rsid w:val="00F3239B"/>
    <w:rsid w:val="00F43727"/>
    <w:rsid w:val="00F44FB9"/>
    <w:rsid w:val="00F51D7A"/>
    <w:rsid w:val="00F54D4C"/>
    <w:rsid w:val="00F56F3A"/>
    <w:rsid w:val="00F57845"/>
    <w:rsid w:val="00F619F1"/>
    <w:rsid w:val="00F72CD4"/>
    <w:rsid w:val="00F73DCA"/>
    <w:rsid w:val="00F76F56"/>
    <w:rsid w:val="00FA1BF5"/>
    <w:rsid w:val="00FA1FC2"/>
    <w:rsid w:val="00FA2DF2"/>
    <w:rsid w:val="00FA585B"/>
    <w:rsid w:val="00FA6A23"/>
    <w:rsid w:val="00FA7AF0"/>
    <w:rsid w:val="00FB2934"/>
    <w:rsid w:val="00FB2B2B"/>
    <w:rsid w:val="00FB4184"/>
    <w:rsid w:val="00FB5B01"/>
    <w:rsid w:val="00FC1494"/>
    <w:rsid w:val="00FC34AD"/>
    <w:rsid w:val="00FC5B1D"/>
    <w:rsid w:val="00FD7679"/>
    <w:rsid w:val="00FE3405"/>
    <w:rsid w:val="00FE52FD"/>
    <w:rsid w:val="00FF1BDB"/>
    <w:rsid w:val="00FF20FE"/>
    <w:rsid w:val="00FF28C9"/>
    <w:rsid w:val="00FF2EE2"/>
    <w:rsid w:val="00FF62E5"/>
    <w:rsid w:val="019B9E82"/>
    <w:rsid w:val="02BCD9FE"/>
    <w:rsid w:val="04F85F64"/>
    <w:rsid w:val="07E49960"/>
    <w:rsid w:val="0DFE7BE1"/>
    <w:rsid w:val="0F6BE302"/>
    <w:rsid w:val="1154DD06"/>
    <w:rsid w:val="11A0EF70"/>
    <w:rsid w:val="19EBD325"/>
    <w:rsid w:val="19EE8E77"/>
    <w:rsid w:val="1B4D673C"/>
    <w:rsid w:val="1C83AABE"/>
    <w:rsid w:val="1D891477"/>
    <w:rsid w:val="24C44269"/>
    <w:rsid w:val="255FD984"/>
    <w:rsid w:val="26B4992A"/>
    <w:rsid w:val="26BC7153"/>
    <w:rsid w:val="27133C3C"/>
    <w:rsid w:val="27CC5F9A"/>
    <w:rsid w:val="2A0499C3"/>
    <w:rsid w:val="2B698548"/>
    <w:rsid w:val="2D0555A9"/>
    <w:rsid w:val="3037942D"/>
    <w:rsid w:val="322DF949"/>
    <w:rsid w:val="323081C7"/>
    <w:rsid w:val="325DDC95"/>
    <w:rsid w:val="326704D3"/>
    <w:rsid w:val="33F102E5"/>
    <w:rsid w:val="35DEBAD8"/>
    <w:rsid w:val="3B21C4DA"/>
    <w:rsid w:val="3BF9A77D"/>
    <w:rsid w:val="3C0112ED"/>
    <w:rsid w:val="3CFCC27C"/>
    <w:rsid w:val="3F18BD8A"/>
    <w:rsid w:val="3F39C030"/>
    <w:rsid w:val="404D7478"/>
    <w:rsid w:val="41F723E8"/>
    <w:rsid w:val="44E38A0E"/>
    <w:rsid w:val="45A05694"/>
    <w:rsid w:val="48DDC998"/>
    <w:rsid w:val="4E31888A"/>
    <w:rsid w:val="51B93C0E"/>
    <w:rsid w:val="52C873DD"/>
    <w:rsid w:val="556E6158"/>
    <w:rsid w:val="58282FC3"/>
    <w:rsid w:val="5C862695"/>
    <w:rsid w:val="66337F3E"/>
    <w:rsid w:val="67370BF8"/>
    <w:rsid w:val="684B29D4"/>
    <w:rsid w:val="684DFE27"/>
    <w:rsid w:val="69DF087B"/>
    <w:rsid w:val="6A2873C1"/>
    <w:rsid w:val="6A60BEBD"/>
    <w:rsid w:val="6C231E4A"/>
    <w:rsid w:val="6D0B6BBC"/>
    <w:rsid w:val="6F524DFC"/>
    <w:rsid w:val="705A7F00"/>
    <w:rsid w:val="76F81179"/>
    <w:rsid w:val="7DBB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644786"/>
    <w:pPr>
      <w:keepNext/>
      <w:widowControl w:val="0"/>
      <w:outlineLvl w:val="0"/>
    </w:pPr>
    <w:rPr>
      <w:b/>
      <w:bCs/>
    </w:rPr>
  </w:style>
  <w:style w:type="paragraph" w:styleId="Heading2">
    <w:name w:val="heading 2"/>
    <w:basedOn w:val="Normal"/>
    <w:next w:val="Normal"/>
    <w:link w:val="Heading2Char"/>
    <w:uiPriority w:val="9"/>
    <w:unhideWhenUsed/>
    <w:qFormat/>
    <w:rsid w:val="00920E50"/>
    <w:pPr>
      <w:keepNext/>
      <w:widowControl w:val="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1146"/>
    <w:rPr>
      <w:color w:val="808080"/>
    </w:rPr>
  </w:style>
  <w:style w:type="character" w:customStyle="1" w:styleId="AnswerBoxText">
    <w:name w:val="Answer Box Text"/>
    <w:basedOn w:val="DefaultParagraphFont"/>
    <w:uiPriority w:val="1"/>
    <w:qFormat/>
    <w:rsid w:val="00001146"/>
    <w:rPr>
      <w:rFonts w:ascii="Times New Roman" w:hAnsi="Times New Roman"/>
      <w:sz w:val="22"/>
    </w:rPr>
  </w:style>
  <w:style w:type="character" w:customStyle="1" w:styleId="cf01">
    <w:name w:val="cf01"/>
    <w:basedOn w:val="DefaultParagraphFont"/>
    <w:rsid w:val="00396F4C"/>
    <w:rPr>
      <w:rFonts w:ascii="Segoe UI" w:hAnsi="Segoe UI" w:cs="Segoe UI" w:hint="default"/>
      <w:sz w:val="18"/>
      <w:szCs w:val="18"/>
    </w:rPr>
  </w:style>
  <w:style w:type="character" w:customStyle="1" w:styleId="cf11">
    <w:name w:val="cf11"/>
    <w:basedOn w:val="DefaultParagraphFont"/>
    <w:rsid w:val="00396F4C"/>
    <w:rPr>
      <w:rFonts w:ascii="Segoe UI" w:hAnsi="Segoe UI" w:cs="Segoe UI" w:hint="default"/>
      <w:b/>
      <w:bCs/>
      <w:sz w:val="18"/>
      <w:szCs w:val="18"/>
    </w:rPr>
  </w:style>
  <w:style w:type="character" w:customStyle="1" w:styleId="Heading1Char">
    <w:name w:val="Heading 1 Char"/>
    <w:basedOn w:val="DefaultParagraphFont"/>
    <w:link w:val="Heading1"/>
    <w:uiPriority w:val="9"/>
    <w:rsid w:val="00644786"/>
    <w:rPr>
      <w:rFonts w:ascii="Calibri" w:eastAsia="Calibri" w:hAnsi="Calibri" w:cs="Times New Roman"/>
      <w:b/>
      <w:bCs/>
    </w:rPr>
  </w:style>
  <w:style w:type="paragraph" w:styleId="BodyTextIndent">
    <w:name w:val="Body Text Indent"/>
    <w:basedOn w:val="Normal"/>
    <w:link w:val="BodyTextIndentChar"/>
    <w:uiPriority w:val="99"/>
    <w:unhideWhenUsed/>
    <w:rsid w:val="00503EE9"/>
    <w:pPr>
      <w:widowControl w:val="0"/>
      <w:spacing w:before="60" w:after="60"/>
      <w:ind w:left="90"/>
    </w:pPr>
    <w:rPr>
      <w:b/>
      <w:bCs/>
    </w:rPr>
  </w:style>
  <w:style w:type="character" w:customStyle="1" w:styleId="BodyTextIndentChar">
    <w:name w:val="Body Text Indent Char"/>
    <w:basedOn w:val="DefaultParagraphFont"/>
    <w:link w:val="BodyTextIndent"/>
    <w:uiPriority w:val="99"/>
    <w:rsid w:val="00503EE9"/>
    <w:rPr>
      <w:rFonts w:ascii="Calibri" w:eastAsia="Calibri" w:hAnsi="Calibri" w:cs="Times New Roman"/>
      <w:b/>
      <w:bCs/>
    </w:rPr>
  </w:style>
  <w:style w:type="paragraph" w:styleId="BodyTextIndent2">
    <w:name w:val="Body Text Indent 2"/>
    <w:basedOn w:val="Normal"/>
    <w:link w:val="BodyTextIndent2Char"/>
    <w:uiPriority w:val="99"/>
    <w:unhideWhenUsed/>
    <w:rsid w:val="00C56614"/>
    <w:pPr>
      <w:widowControl w:val="0"/>
      <w:spacing w:after="120"/>
      <w:ind w:left="90"/>
    </w:pPr>
  </w:style>
  <w:style w:type="character" w:customStyle="1" w:styleId="BodyTextIndent2Char">
    <w:name w:val="Body Text Indent 2 Char"/>
    <w:basedOn w:val="DefaultParagraphFont"/>
    <w:link w:val="BodyTextIndent2"/>
    <w:uiPriority w:val="99"/>
    <w:rsid w:val="00C56614"/>
    <w:rPr>
      <w:rFonts w:ascii="Calibri" w:eastAsia="Calibri" w:hAnsi="Calibri" w:cs="Times New Roman"/>
    </w:rPr>
  </w:style>
  <w:style w:type="character" w:customStyle="1" w:styleId="Heading2Char">
    <w:name w:val="Heading 2 Char"/>
    <w:basedOn w:val="DefaultParagraphFont"/>
    <w:link w:val="Heading2"/>
    <w:uiPriority w:val="9"/>
    <w:rsid w:val="00920E50"/>
    <w:rPr>
      <w:rFonts w:ascii="Calibri" w:eastAsia="Calibri" w:hAnsi="Calibri" w:cs="Times New Roman"/>
      <w:b/>
      <w:bCs/>
    </w:rPr>
  </w:style>
  <w:style w:type="paragraph" w:styleId="BodyText">
    <w:name w:val="Body Text"/>
    <w:basedOn w:val="Normal"/>
    <w:link w:val="BodyTextChar"/>
    <w:uiPriority w:val="99"/>
    <w:unhideWhenUsed/>
    <w:rsid w:val="008E2CBF"/>
    <w:rPr>
      <w:b/>
      <w:bCs/>
      <w:color w:val="FF0000"/>
    </w:rPr>
  </w:style>
  <w:style w:type="character" w:customStyle="1" w:styleId="BodyTextChar">
    <w:name w:val="Body Text Char"/>
    <w:basedOn w:val="DefaultParagraphFont"/>
    <w:link w:val="BodyText"/>
    <w:uiPriority w:val="99"/>
    <w:rsid w:val="008E2CBF"/>
    <w:rPr>
      <w:rFonts w:ascii="Calibri" w:eastAsia="Calibri" w:hAnsi="Calibri" w:cs="Times New Roman"/>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5685">
      <w:bodyDiv w:val="1"/>
      <w:marLeft w:val="0"/>
      <w:marRight w:val="0"/>
      <w:marTop w:val="0"/>
      <w:marBottom w:val="0"/>
      <w:divBdr>
        <w:top w:val="none" w:sz="0" w:space="0" w:color="auto"/>
        <w:left w:val="none" w:sz="0" w:space="0" w:color="auto"/>
        <w:bottom w:val="none" w:sz="0" w:space="0" w:color="auto"/>
        <w:right w:val="none" w:sz="0" w:space="0" w:color="auto"/>
      </w:divBdr>
    </w:div>
    <w:div w:id="1199272875">
      <w:bodyDiv w:val="1"/>
      <w:marLeft w:val="0"/>
      <w:marRight w:val="0"/>
      <w:marTop w:val="0"/>
      <w:marBottom w:val="0"/>
      <w:divBdr>
        <w:top w:val="none" w:sz="0" w:space="0" w:color="auto"/>
        <w:left w:val="none" w:sz="0" w:space="0" w:color="auto"/>
        <w:bottom w:val="none" w:sz="0" w:space="0" w:color="auto"/>
        <w:right w:val="none" w:sz="0" w:space="0" w:color="auto"/>
      </w:divBdr>
    </w:div>
    <w:div w:id="15633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glossary/prospect-direct-benef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225967C2248D09369E73814C906EE"/>
        <w:category>
          <w:name w:val="General"/>
          <w:gallery w:val="placeholder"/>
        </w:category>
        <w:types>
          <w:type w:val="bbPlcHdr"/>
        </w:types>
        <w:behaviors>
          <w:behavior w:val="content"/>
        </w:behaviors>
        <w:guid w:val="{0D02B81B-270C-4DC1-9941-37B284E8BD89}"/>
      </w:docPartPr>
      <w:docPartBody>
        <w:p w:rsidR="00B14EC3" w:rsidRDefault="000C76B9" w:rsidP="000C76B9">
          <w:pPr>
            <w:pStyle w:val="612225967C2248D09369E73814C906EE"/>
          </w:pPr>
          <w:r>
            <w:rPr>
              <w:rStyle w:val="PlaceholderText"/>
            </w:rPr>
            <w:t>Click or tap here to enter text.</w:t>
          </w:r>
        </w:p>
      </w:docPartBody>
    </w:docPart>
    <w:docPart>
      <w:docPartPr>
        <w:name w:val="A4A607656A764EFDB42D72A3B477BB45"/>
        <w:category>
          <w:name w:val="General"/>
          <w:gallery w:val="placeholder"/>
        </w:category>
        <w:types>
          <w:type w:val="bbPlcHdr"/>
        </w:types>
        <w:behaviors>
          <w:behavior w:val="content"/>
        </w:behaviors>
        <w:guid w:val="{C5EE0EAC-CC0D-49B7-A99F-8634168C1F21}"/>
      </w:docPartPr>
      <w:docPartBody>
        <w:p w:rsidR="00B14EC3" w:rsidRDefault="000C76B9" w:rsidP="000C76B9">
          <w:pPr>
            <w:pStyle w:val="A4A607656A764EFDB42D72A3B477BB45"/>
          </w:pPr>
          <w:r>
            <w:rPr>
              <w:rStyle w:val="PlaceholderText"/>
            </w:rPr>
            <w:t>Click or tap here to enter text.</w:t>
          </w:r>
        </w:p>
      </w:docPartBody>
    </w:docPart>
    <w:docPart>
      <w:docPartPr>
        <w:name w:val="8E42F33972BA4314841EDA566C159D8E"/>
        <w:category>
          <w:name w:val="General"/>
          <w:gallery w:val="placeholder"/>
        </w:category>
        <w:types>
          <w:type w:val="bbPlcHdr"/>
        </w:types>
        <w:behaviors>
          <w:behavior w:val="content"/>
        </w:behaviors>
        <w:guid w:val="{FA3A466E-E683-469A-97FA-B00EA1124D45}"/>
      </w:docPartPr>
      <w:docPartBody>
        <w:p w:rsidR="00B14EC3" w:rsidRDefault="000C76B9" w:rsidP="000C76B9">
          <w:pPr>
            <w:pStyle w:val="8E42F33972BA4314841EDA566C159D8E"/>
          </w:pPr>
          <w:r>
            <w:rPr>
              <w:rStyle w:val="PlaceholderText"/>
            </w:rPr>
            <w:t>Click or tap here to enter text.</w:t>
          </w:r>
        </w:p>
      </w:docPartBody>
    </w:docPart>
    <w:docPart>
      <w:docPartPr>
        <w:name w:val="CAB5FA66AED34840A3CED8F7EC77F2CC"/>
        <w:category>
          <w:name w:val="General"/>
          <w:gallery w:val="placeholder"/>
        </w:category>
        <w:types>
          <w:type w:val="bbPlcHdr"/>
        </w:types>
        <w:behaviors>
          <w:behavior w:val="content"/>
        </w:behaviors>
        <w:guid w:val="{5FA022D5-0DC8-4D1D-A1E8-BB013EA3FA32}"/>
      </w:docPartPr>
      <w:docPartBody>
        <w:p w:rsidR="00B14EC3" w:rsidRDefault="000C76B9" w:rsidP="000C76B9">
          <w:pPr>
            <w:pStyle w:val="CAB5FA66AED34840A3CED8F7EC77F2C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B9"/>
    <w:rsid w:val="0005095D"/>
    <w:rsid w:val="000C76B9"/>
    <w:rsid w:val="00123C15"/>
    <w:rsid w:val="00123F03"/>
    <w:rsid w:val="001E096E"/>
    <w:rsid w:val="00274F01"/>
    <w:rsid w:val="00287E28"/>
    <w:rsid w:val="002C2D4C"/>
    <w:rsid w:val="002E5946"/>
    <w:rsid w:val="003476F6"/>
    <w:rsid w:val="003C28D7"/>
    <w:rsid w:val="00401989"/>
    <w:rsid w:val="004C1F84"/>
    <w:rsid w:val="00591493"/>
    <w:rsid w:val="005D592C"/>
    <w:rsid w:val="006733B8"/>
    <w:rsid w:val="007D24AC"/>
    <w:rsid w:val="008E06A0"/>
    <w:rsid w:val="0090226C"/>
    <w:rsid w:val="0092159E"/>
    <w:rsid w:val="00B14EC3"/>
    <w:rsid w:val="00C50B07"/>
    <w:rsid w:val="00D80A32"/>
    <w:rsid w:val="00E750CF"/>
    <w:rsid w:val="00F32A31"/>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E28"/>
    <w:rPr>
      <w:color w:val="808080"/>
    </w:rPr>
  </w:style>
  <w:style w:type="paragraph" w:customStyle="1" w:styleId="612225967C2248D09369E73814C906EE">
    <w:name w:val="612225967C2248D09369E73814C906EE"/>
    <w:rsid w:val="000C76B9"/>
  </w:style>
  <w:style w:type="paragraph" w:customStyle="1" w:styleId="A4A607656A764EFDB42D72A3B477BB45">
    <w:name w:val="A4A607656A764EFDB42D72A3B477BB45"/>
    <w:rsid w:val="000C76B9"/>
  </w:style>
  <w:style w:type="paragraph" w:customStyle="1" w:styleId="8E42F33972BA4314841EDA566C159D8E">
    <w:name w:val="8E42F33972BA4314841EDA566C159D8E"/>
    <w:rsid w:val="000C76B9"/>
  </w:style>
  <w:style w:type="paragraph" w:customStyle="1" w:styleId="CAB5FA66AED34840A3CED8F7EC77F2CC">
    <w:name w:val="CAB5FA66AED34840A3CED8F7EC77F2CC"/>
    <w:rsid w:val="000C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8" ma:contentTypeDescription="Create a new document." ma:contentTypeScope="" ma:versionID="3d2e84b08e2ae4837e3d74caea9349c0">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9137193332232cb1c6303fb3f38c9260"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content" ma:format="Dropdown" ma:list="7c9d0ed2-8163-4b50-bae4-466292e5dd21" ma:internalName="testcolumn"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Moderate wordsmithing for brevity and clarity; move content from PDF to Word; add HSD interpretation of "prospective assignment" and "responsible party"; replace "applicable clinical trial" with "clinical trial that requires registration and reporting"; add definition of "expanded access"</Change_x0020_Notes>
    <testcolumn xmlns="7c9d0ed2-8163-4b50-bae4-466292e5dd21" xsi:nil="true"/>
    <Posted_x0020_Date xmlns="7c9d0ed2-8163-4b50-bae4-466292e5dd21">2023-07-27T07:00:00+00:00</Posted_x0020_Date>
    <Taxonomy0 xmlns="7c9d0ed2-8163-4b50-bae4-466292e5dd21">
      <Value>Checklist</Value>
    </Taxonomy0>
    <Version_x0020_Number xmlns="7c9d0ed2-8163-4b50-bae4-466292e5dd21">2.2</Version_x0020_Number>
    <Internal_x003f__x0020__x0028_HSD_x0020_F_x0020_Drive_x0029_ xmlns="7c9d0ed2-8163-4b50-bae4-466292e5dd21">true</Internal_x003f__x0020__x0028_HSD_x0020_F_x0020_Drive_x0029_>
    <Web_x0020_Page_x0020_URL xmlns="7c9d0ed2-8163-4b50-bae4-466292e5dd21">
      <Url xsi:nil="true"/>
      <Description xsi:nil="true"/>
    </Web_x0020_Page_x0020_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FD71E-D400-4F37-A3F6-FE09E878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CHECKLIST_CT.gov_v2.2_2023.07.27</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CHECKLIST_CT.gov_v2.2_2023.07.27</dc:title>
  <dc:subject/>
  <dc:creator>Sherry Edwards</dc:creator>
  <cp:keywords>;#CT.gov;#</cp:keywords>
  <dc:description/>
  <cp:lastModifiedBy>Amanda</cp:lastModifiedBy>
  <cp:revision>3</cp:revision>
  <dcterms:created xsi:type="dcterms:W3CDTF">2023-08-24T15:12:00Z</dcterms:created>
  <dcterms:modified xsi:type="dcterms:W3CDTF">2023-08-24T15:14:00Z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