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E7" w:rsidRDefault="00425768" w:rsidP="00425768">
      <w:pPr>
        <w:spacing w:line="240" w:lineRule="auto"/>
        <w:contextualSpacing/>
        <w:jc w:val="center"/>
      </w:pPr>
      <w:bookmarkStart w:id="0" w:name="_GoBack"/>
      <w:bookmarkEnd w:id="0"/>
      <w:r>
        <w:rPr>
          <w:b/>
        </w:rPr>
        <w:t>University of Washington Transitional Support Program</w:t>
      </w:r>
    </w:p>
    <w:p w:rsidR="00425768" w:rsidRDefault="00425768" w:rsidP="00425768">
      <w:pPr>
        <w:spacing w:line="240" w:lineRule="auto"/>
        <w:contextualSpacing/>
        <w:jc w:val="center"/>
      </w:pPr>
    </w:p>
    <w:p w:rsidR="00425768" w:rsidRDefault="00425768" w:rsidP="00425768">
      <w:pPr>
        <w:spacing w:line="240" w:lineRule="auto"/>
        <w:contextualSpacing/>
      </w:pPr>
      <w:r>
        <w:t>Although a university may have excellent leave policies, certain situations may require different solutions or supplemental support. The Transitional Support Program (TSP) for tenure-</w:t>
      </w:r>
      <w:r w:rsidRPr="00D83BD9">
        <w:t xml:space="preserve">track </w:t>
      </w:r>
      <w:r w:rsidR="003560C0" w:rsidRPr="00D83BD9">
        <w:t xml:space="preserve">and </w:t>
      </w:r>
      <w:r w:rsidR="00D83BD9">
        <w:t>tenured</w:t>
      </w:r>
      <w:r w:rsidR="003560C0" w:rsidRPr="00D83BD9">
        <w:t xml:space="preserve"> </w:t>
      </w:r>
      <w:r w:rsidRPr="00D83BD9">
        <w:t>faculty provides exactly this type of additional support.</w:t>
      </w:r>
    </w:p>
    <w:p w:rsidR="00425768" w:rsidRDefault="00425768" w:rsidP="00425768">
      <w:pPr>
        <w:spacing w:line="240" w:lineRule="auto"/>
        <w:contextualSpacing/>
      </w:pPr>
    </w:p>
    <w:p w:rsidR="00425768" w:rsidRDefault="00425768" w:rsidP="00425768">
      <w:pPr>
        <w:spacing w:line="240" w:lineRule="auto"/>
        <w:contextualSpacing/>
      </w:pPr>
      <w:r>
        <w:t>The TSP is available for outstanding science,</w:t>
      </w:r>
      <w:r w:rsidR="00986839">
        <w:t xml:space="preserve"> technology,</w:t>
      </w:r>
      <w:r>
        <w:t xml:space="preserve"> engineering, and mathematics (S</w:t>
      </w:r>
      <w:r w:rsidR="00986839">
        <w:t>T</w:t>
      </w:r>
      <w:r>
        <w:t>EM) faculty, regardless of gender, who are in the midst of major life transitions, such as:</w:t>
      </w:r>
    </w:p>
    <w:p w:rsidR="00425768" w:rsidRDefault="00425768" w:rsidP="00425768">
      <w:pPr>
        <w:pStyle w:val="ListParagraph"/>
        <w:numPr>
          <w:ilvl w:val="0"/>
          <w:numId w:val="1"/>
        </w:numPr>
        <w:spacing w:line="240" w:lineRule="auto"/>
      </w:pPr>
      <w:r>
        <w:t>the birth or adoption of a child</w:t>
      </w:r>
    </w:p>
    <w:p w:rsidR="00425768" w:rsidRDefault="00425768" w:rsidP="00425768">
      <w:pPr>
        <w:pStyle w:val="ListParagraph"/>
        <w:numPr>
          <w:ilvl w:val="0"/>
          <w:numId w:val="1"/>
        </w:numPr>
        <w:spacing w:line="240" w:lineRule="auto"/>
      </w:pPr>
      <w:r>
        <w:t>personal medical needs</w:t>
      </w:r>
      <w:r w:rsidR="003425D9">
        <w:t xml:space="preserve"> (beyond the three months of sick leave)</w:t>
      </w:r>
    </w:p>
    <w:p w:rsidR="00425768" w:rsidRDefault="00425768" w:rsidP="00425768">
      <w:pPr>
        <w:pStyle w:val="ListParagraph"/>
        <w:numPr>
          <w:ilvl w:val="0"/>
          <w:numId w:val="1"/>
        </w:numPr>
        <w:spacing w:line="240" w:lineRule="auto"/>
      </w:pPr>
      <w:r>
        <w:t>family illness</w:t>
      </w:r>
    </w:p>
    <w:p w:rsidR="00425768" w:rsidRDefault="003425D9" w:rsidP="00425768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elder</w:t>
      </w:r>
      <w:proofErr w:type="gramEnd"/>
      <w:r>
        <w:t xml:space="preserve"> care</w:t>
      </w:r>
      <w:r w:rsidR="00986839">
        <w:t>.</w:t>
      </w:r>
    </w:p>
    <w:p w:rsidR="00986839" w:rsidRDefault="001043BF" w:rsidP="00425768">
      <w:pPr>
        <w:spacing w:line="240" w:lineRule="auto"/>
      </w:pPr>
      <w:r>
        <w:t>Faculty are encouraged to</w:t>
      </w:r>
      <w:r w:rsidR="00425768" w:rsidRPr="001043BF">
        <w:t xml:space="preserve"> see the Academic Human Resources website</w:t>
      </w:r>
      <w:r>
        <w:t xml:space="preserve"> on leaves:</w:t>
      </w:r>
      <w:r w:rsidR="00425768" w:rsidRPr="001043BF">
        <w:t xml:space="preserve"> </w:t>
      </w:r>
      <w:r w:rsidR="009330BC" w:rsidRPr="001043BF">
        <w:t xml:space="preserve">  </w:t>
      </w:r>
      <w:r w:rsidRPr="001043BF">
        <w:t>http://ap.washington.edu/ahr/leaves/</w:t>
      </w:r>
    </w:p>
    <w:p w:rsidR="00425768" w:rsidRDefault="00986839" w:rsidP="00425768">
      <w:pPr>
        <w:spacing w:line="240" w:lineRule="auto"/>
      </w:pPr>
      <w:r>
        <w:t xml:space="preserve">Faculty </w:t>
      </w:r>
      <w:r w:rsidR="00C801F5">
        <w:t xml:space="preserve">members </w:t>
      </w:r>
      <w:r>
        <w:t xml:space="preserve">in the following </w:t>
      </w:r>
      <w:r w:rsidR="001043BF">
        <w:t xml:space="preserve">STEM </w:t>
      </w:r>
      <w:r>
        <w:t xml:space="preserve">departments </w:t>
      </w:r>
      <w:r w:rsidR="001043BF">
        <w:t>may</w:t>
      </w:r>
      <w:r w:rsidR="00425768">
        <w:t xml:space="preserve"> apply for transitional support grants if they are experiencing a</w:t>
      </w:r>
      <w:r w:rsidR="003553E4">
        <w:t xml:space="preserve"> life</w:t>
      </w:r>
      <w:r w:rsidR="001043BF">
        <w:t xml:space="preserve"> transition:</w:t>
      </w:r>
    </w:p>
    <w:p w:rsidR="000D19E8" w:rsidRDefault="000D19E8" w:rsidP="000D19E8">
      <w:pPr>
        <w:spacing w:line="240" w:lineRule="auto"/>
      </w:pPr>
      <w:r>
        <w:rPr>
          <w:b/>
        </w:rPr>
        <w:t>Eligible Departments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5A20" w:rsidTr="007065E7">
        <w:tc>
          <w:tcPr>
            <w:tcW w:w="4675" w:type="dxa"/>
          </w:tcPr>
          <w:p w:rsidR="00CF5A20" w:rsidRDefault="00CF5A20" w:rsidP="00CF5A20">
            <w:pPr>
              <w:rPr>
                <w:i/>
              </w:rPr>
            </w:pPr>
            <w:r>
              <w:rPr>
                <w:i/>
              </w:rPr>
              <w:t xml:space="preserve">College of Arts and Sciences  </w:t>
            </w:r>
          </w:p>
        </w:tc>
        <w:tc>
          <w:tcPr>
            <w:tcW w:w="4675" w:type="dxa"/>
          </w:tcPr>
          <w:p w:rsidR="00CF5A20" w:rsidRDefault="00CF5A20" w:rsidP="00CF5A20">
            <w:pPr>
              <w:rPr>
                <w:i/>
              </w:rPr>
            </w:pPr>
            <w:r>
              <w:rPr>
                <w:i/>
              </w:rPr>
              <w:t>College of Engineering</w:t>
            </w:r>
          </w:p>
        </w:tc>
      </w:tr>
      <w:tr w:rsidR="00CF5A20" w:rsidTr="007065E7">
        <w:tc>
          <w:tcPr>
            <w:tcW w:w="4675" w:type="dxa"/>
          </w:tcPr>
          <w:p w:rsidR="00CF5A20" w:rsidRPr="00547D58" w:rsidRDefault="00CF5A20" w:rsidP="00CF5A20">
            <w:r w:rsidRPr="00547D58">
              <w:t>Applied Mathematics</w:t>
            </w:r>
          </w:p>
          <w:p w:rsidR="00CF5A20" w:rsidRPr="00547D58" w:rsidRDefault="00CF5A20" w:rsidP="00CF5A20">
            <w:r w:rsidRPr="00547D58">
              <w:t>Astronomy</w:t>
            </w:r>
          </w:p>
          <w:p w:rsidR="00CF5A20" w:rsidRPr="00547D58" w:rsidRDefault="00CF5A20" w:rsidP="00CF5A20">
            <w:r w:rsidRPr="00547D58">
              <w:t>Biology</w:t>
            </w:r>
          </w:p>
          <w:p w:rsidR="00CF5A20" w:rsidRPr="00547D58" w:rsidRDefault="00CF5A20" w:rsidP="00CF5A20">
            <w:r w:rsidRPr="00547D58">
              <w:t>Chemistry</w:t>
            </w:r>
          </w:p>
          <w:p w:rsidR="00CF5A20" w:rsidRPr="00547D58" w:rsidRDefault="00CF5A20" w:rsidP="00CF5A20">
            <w:r w:rsidRPr="00547D58">
              <w:t>Mathematics</w:t>
            </w:r>
          </w:p>
          <w:p w:rsidR="00CF5A20" w:rsidRPr="00547D58" w:rsidRDefault="00CF5A20" w:rsidP="00CF5A20">
            <w:r w:rsidRPr="00547D58">
              <w:t>Physics</w:t>
            </w:r>
          </w:p>
          <w:p w:rsidR="00CF5A20" w:rsidRPr="00547D58" w:rsidRDefault="00CF5A20" w:rsidP="00CF5A20">
            <w:r w:rsidRPr="00547D58">
              <w:t>Psychology</w:t>
            </w:r>
          </w:p>
          <w:p w:rsidR="00CF5A20" w:rsidRPr="00547D58" w:rsidRDefault="00CF5A20" w:rsidP="00CF5A20">
            <w:r w:rsidRPr="00547D58">
              <w:t>Speech and Hearing Sciences</w:t>
            </w:r>
          </w:p>
          <w:p w:rsidR="00CF5A20" w:rsidRPr="00547D58" w:rsidRDefault="00CF5A20" w:rsidP="00CF5A20">
            <w:r w:rsidRPr="00547D58">
              <w:t>Statistics</w:t>
            </w:r>
          </w:p>
          <w:p w:rsidR="00CF5A20" w:rsidRPr="00547D58" w:rsidRDefault="00CF5A20" w:rsidP="00CF5A20"/>
          <w:p w:rsidR="00CF5A20" w:rsidRPr="00547D58" w:rsidRDefault="00CF5A20" w:rsidP="00CF5A20"/>
          <w:p w:rsidR="00CF5A20" w:rsidRPr="00547D58" w:rsidRDefault="00CF5A20" w:rsidP="00CF5A20"/>
        </w:tc>
        <w:tc>
          <w:tcPr>
            <w:tcW w:w="4675" w:type="dxa"/>
          </w:tcPr>
          <w:p w:rsidR="00CF5A20" w:rsidRDefault="00CF5A20" w:rsidP="00CF5A20">
            <w:r>
              <w:t>Aeronautics and Astronautics</w:t>
            </w:r>
          </w:p>
          <w:p w:rsidR="00CF5A20" w:rsidRDefault="00CF5A20" w:rsidP="00CF5A20">
            <w:r>
              <w:t>Bioengineering</w:t>
            </w:r>
          </w:p>
          <w:p w:rsidR="00CF5A20" w:rsidRDefault="00CF5A20" w:rsidP="00CF5A20">
            <w:r>
              <w:t>Chemical Engineering</w:t>
            </w:r>
          </w:p>
          <w:p w:rsidR="00CF5A20" w:rsidRDefault="00CF5A20" w:rsidP="00CF5A20">
            <w:r>
              <w:t>Civil and Environmental Engineering</w:t>
            </w:r>
          </w:p>
          <w:p w:rsidR="00CF5A20" w:rsidRDefault="00CF5A20" w:rsidP="00CF5A20">
            <w:r>
              <w:t>Computer Science and Engineering</w:t>
            </w:r>
          </w:p>
          <w:p w:rsidR="00CF5A20" w:rsidRDefault="00CF5A20" w:rsidP="00CF5A20">
            <w:r>
              <w:t>Electrical Engineering</w:t>
            </w:r>
          </w:p>
          <w:p w:rsidR="00CF5A20" w:rsidRDefault="00CF5A20" w:rsidP="00CF5A20">
            <w:r>
              <w:t>Human Centered Design and Engineering</w:t>
            </w:r>
          </w:p>
          <w:p w:rsidR="00CF5A20" w:rsidRDefault="00CF5A20" w:rsidP="00CF5A20">
            <w:r>
              <w:t>Industrial and Systems Engineering</w:t>
            </w:r>
          </w:p>
          <w:p w:rsidR="00CF5A20" w:rsidRDefault="00CF5A20" w:rsidP="00CF5A20">
            <w:r>
              <w:t>Materials Science and Engineering</w:t>
            </w:r>
          </w:p>
          <w:p w:rsidR="00CF5A20" w:rsidRDefault="00CF5A20" w:rsidP="00CF5A20">
            <w:r>
              <w:t>Mechanical Engineering</w:t>
            </w:r>
          </w:p>
          <w:p w:rsidR="00CF5A20" w:rsidRPr="000D19E8" w:rsidRDefault="00CF5A20" w:rsidP="00CF5A20"/>
        </w:tc>
      </w:tr>
      <w:tr w:rsidR="00CF5A20" w:rsidTr="007065E7">
        <w:tc>
          <w:tcPr>
            <w:tcW w:w="4675" w:type="dxa"/>
          </w:tcPr>
          <w:p w:rsidR="00CF5A20" w:rsidRPr="00547D58" w:rsidRDefault="00CF5A20" w:rsidP="00CF5A20">
            <w:r w:rsidRPr="00547D58">
              <w:rPr>
                <w:i/>
              </w:rPr>
              <w:t>College of the Environment</w:t>
            </w:r>
          </w:p>
        </w:tc>
        <w:tc>
          <w:tcPr>
            <w:tcW w:w="4675" w:type="dxa"/>
          </w:tcPr>
          <w:p w:rsidR="00CF5A20" w:rsidRPr="00D83BD9" w:rsidRDefault="00CF5A20" w:rsidP="00CF5A20">
            <w:pPr>
              <w:rPr>
                <w:i/>
              </w:rPr>
            </w:pPr>
            <w:r w:rsidRPr="00D83BD9">
              <w:rPr>
                <w:i/>
              </w:rPr>
              <w:t>School of Medicine</w:t>
            </w:r>
          </w:p>
        </w:tc>
      </w:tr>
      <w:tr w:rsidR="00CF5A20" w:rsidTr="007065E7">
        <w:tc>
          <w:tcPr>
            <w:tcW w:w="4675" w:type="dxa"/>
          </w:tcPr>
          <w:p w:rsidR="00CF5A20" w:rsidRPr="00547D58" w:rsidRDefault="00CF5A20" w:rsidP="00CF5A20">
            <w:r w:rsidRPr="00547D58">
              <w:t>Aquatic and Fishery Sciences</w:t>
            </w:r>
          </w:p>
          <w:p w:rsidR="00CF5A20" w:rsidRPr="00547D58" w:rsidRDefault="00CF5A20" w:rsidP="00CF5A20">
            <w:r w:rsidRPr="00547D58">
              <w:t>Atmospheric Sciences</w:t>
            </w:r>
          </w:p>
          <w:p w:rsidR="00CF5A20" w:rsidRPr="00547D58" w:rsidRDefault="00CF5A20" w:rsidP="00CF5A20">
            <w:r w:rsidRPr="00547D58">
              <w:t>Earth and Space Sciences</w:t>
            </w:r>
          </w:p>
          <w:p w:rsidR="00CF5A20" w:rsidRPr="00547D58" w:rsidRDefault="00CF5A20" w:rsidP="00CF5A20">
            <w:r w:rsidRPr="00547D58">
              <w:t>Environmental and Forest Sciences</w:t>
            </w:r>
          </w:p>
          <w:p w:rsidR="00CF5A20" w:rsidRPr="00547D58" w:rsidRDefault="00CF5A20" w:rsidP="00CF5A20">
            <w:r w:rsidRPr="00547D58">
              <w:t>Marine and Environmental Affairs</w:t>
            </w:r>
          </w:p>
          <w:p w:rsidR="00CF5A20" w:rsidRPr="00547D58" w:rsidRDefault="00CF5A20" w:rsidP="00CF5A20">
            <w:r w:rsidRPr="00547D58">
              <w:t>Oceanography</w:t>
            </w:r>
          </w:p>
          <w:p w:rsidR="00CF5A20" w:rsidRPr="00547D58" w:rsidRDefault="00CF5A20" w:rsidP="00CF5A20"/>
        </w:tc>
        <w:tc>
          <w:tcPr>
            <w:tcW w:w="4675" w:type="dxa"/>
          </w:tcPr>
          <w:p w:rsidR="00CF5A20" w:rsidRPr="00D83BD9" w:rsidRDefault="00853592" w:rsidP="00CF5A20">
            <w:r w:rsidRPr="00D83BD9">
              <w:t>Biochemistry</w:t>
            </w:r>
          </w:p>
          <w:p w:rsidR="009330BC" w:rsidRPr="00D83BD9" w:rsidRDefault="009330BC" w:rsidP="00CF5A20">
            <w:r w:rsidRPr="00D83BD9">
              <w:t>Bioengineering</w:t>
            </w:r>
          </w:p>
          <w:p w:rsidR="00853592" w:rsidRPr="00D83BD9" w:rsidRDefault="00853592" w:rsidP="00CF5A20">
            <w:r w:rsidRPr="00D83BD9">
              <w:t>Bioethics and Humanities</w:t>
            </w:r>
          </w:p>
          <w:p w:rsidR="00853592" w:rsidRPr="00D83BD9" w:rsidRDefault="00853592" w:rsidP="00CF5A20">
            <w:r w:rsidRPr="00D83BD9">
              <w:t>Biological Structure</w:t>
            </w:r>
          </w:p>
          <w:p w:rsidR="00853592" w:rsidRPr="00D83BD9" w:rsidRDefault="00853592" w:rsidP="00CF5A20">
            <w:r w:rsidRPr="00D83BD9">
              <w:t>Genome Sciences</w:t>
            </w:r>
          </w:p>
          <w:p w:rsidR="00853592" w:rsidRPr="00D83BD9" w:rsidRDefault="00853592" w:rsidP="00CF5A20">
            <w:r w:rsidRPr="00D83BD9">
              <w:t>Global Health</w:t>
            </w:r>
          </w:p>
          <w:p w:rsidR="00853592" w:rsidRPr="00D83BD9" w:rsidRDefault="00853592" w:rsidP="00CF5A20">
            <w:r w:rsidRPr="00D83BD9">
              <w:t>Immunology</w:t>
            </w:r>
          </w:p>
          <w:p w:rsidR="00853592" w:rsidRPr="00D83BD9" w:rsidRDefault="00853592" w:rsidP="00CF5A20">
            <w:r w:rsidRPr="00D83BD9">
              <w:t>Microbiology</w:t>
            </w:r>
          </w:p>
          <w:p w:rsidR="009330BC" w:rsidRPr="00D83BD9" w:rsidRDefault="009330BC" w:rsidP="00CF5A20">
            <w:r w:rsidRPr="00D83BD9">
              <w:t>Pathology</w:t>
            </w:r>
          </w:p>
          <w:p w:rsidR="00853592" w:rsidRPr="00D83BD9" w:rsidRDefault="00853592" w:rsidP="00CF5A20">
            <w:r w:rsidRPr="00D83BD9">
              <w:t>Pharmacology</w:t>
            </w:r>
          </w:p>
          <w:p w:rsidR="00853592" w:rsidRPr="00D83BD9" w:rsidRDefault="00853592" w:rsidP="00CF5A20">
            <w:r w:rsidRPr="00D83BD9">
              <w:t>Physiology and Biophysics</w:t>
            </w:r>
          </w:p>
        </w:tc>
      </w:tr>
    </w:tbl>
    <w:p w:rsidR="003553E4" w:rsidRDefault="000D19E8" w:rsidP="00425768">
      <w:pPr>
        <w:spacing w:line="240" w:lineRule="auto"/>
        <w:rPr>
          <w:b/>
        </w:rPr>
      </w:pPr>
      <w:r>
        <w:rPr>
          <w:b/>
        </w:rPr>
        <w:br/>
      </w:r>
    </w:p>
    <w:p w:rsidR="000D19E8" w:rsidRDefault="000D19E8" w:rsidP="00425768">
      <w:pPr>
        <w:spacing w:line="240" w:lineRule="auto"/>
      </w:pPr>
      <w:r>
        <w:rPr>
          <w:b/>
        </w:rPr>
        <w:lastRenderedPageBreak/>
        <w:t>Administration</w:t>
      </w:r>
    </w:p>
    <w:p w:rsidR="000D19E8" w:rsidRDefault="000D19E8" w:rsidP="00425768">
      <w:pPr>
        <w:spacing w:line="240" w:lineRule="auto"/>
      </w:pPr>
      <w:r>
        <w:t xml:space="preserve">The TSP is administered by the UW </w:t>
      </w:r>
      <w:r w:rsidR="00986839">
        <w:t xml:space="preserve">ADVANCE </w:t>
      </w:r>
      <w:r>
        <w:t>Center for Institutional Change (CIC)</w:t>
      </w:r>
      <w:r w:rsidR="003553E4">
        <w:t>.</w:t>
      </w:r>
    </w:p>
    <w:p w:rsidR="000D19E8" w:rsidRDefault="000D19E8" w:rsidP="00425768">
      <w:pPr>
        <w:spacing w:line="240" w:lineRule="auto"/>
      </w:pPr>
      <w:r>
        <w:t>Support includes:</w:t>
      </w:r>
    </w:p>
    <w:p w:rsidR="000D19E8" w:rsidRDefault="000D19E8" w:rsidP="000D19E8">
      <w:pPr>
        <w:pStyle w:val="ListParagraph"/>
        <w:numPr>
          <w:ilvl w:val="0"/>
          <w:numId w:val="2"/>
        </w:numPr>
        <w:spacing w:line="240" w:lineRule="auto"/>
      </w:pPr>
      <w:r>
        <w:t>release time</w:t>
      </w:r>
    </w:p>
    <w:p w:rsidR="000D19E8" w:rsidRDefault="000D19E8" w:rsidP="000D19E8">
      <w:pPr>
        <w:pStyle w:val="ListParagraph"/>
        <w:numPr>
          <w:ilvl w:val="0"/>
          <w:numId w:val="2"/>
        </w:numPr>
        <w:spacing w:line="240" w:lineRule="auto"/>
      </w:pPr>
      <w:r>
        <w:t>research support</w:t>
      </w:r>
    </w:p>
    <w:p w:rsidR="000D19E8" w:rsidRPr="002D4FCB" w:rsidRDefault="003553E4" w:rsidP="000D19E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caregiving expenses for UW-related travel</w:t>
      </w:r>
      <w:r w:rsidR="00785913">
        <w:t xml:space="preserve"> – </w:t>
      </w:r>
      <w:r w:rsidR="00785913" w:rsidRPr="002D4FCB">
        <w:rPr>
          <w:b/>
        </w:rPr>
        <w:t>NOTE THAT THIS WILL BE REPORTED AS TAXABLE INCOME</w:t>
      </w:r>
      <w:r w:rsidR="009846CB" w:rsidRPr="002D4FCB">
        <w:rPr>
          <w:b/>
        </w:rPr>
        <w:t xml:space="preserve"> TO YOU</w:t>
      </w:r>
    </w:p>
    <w:p w:rsidR="00F942DC" w:rsidRDefault="000D19E8" w:rsidP="000D19E8">
      <w:pPr>
        <w:pStyle w:val="ListParagraph"/>
        <w:numPr>
          <w:ilvl w:val="0"/>
          <w:numId w:val="2"/>
        </w:numPr>
        <w:spacing w:line="240" w:lineRule="auto"/>
      </w:pPr>
      <w:proofErr w:type="gramStart"/>
      <w:r>
        <w:t>other</w:t>
      </w:r>
      <w:proofErr w:type="gramEnd"/>
      <w:r>
        <w:t xml:space="preserve"> needs</w:t>
      </w:r>
      <w:r w:rsidR="00B266DA">
        <w:t>.</w:t>
      </w:r>
      <w:r>
        <w:t xml:space="preserve"> </w:t>
      </w:r>
    </w:p>
    <w:p w:rsidR="00F942DC" w:rsidRDefault="00F942DC" w:rsidP="00F942DC">
      <w:pPr>
        <w:pStyle w:val="ListParagraph"/>
        <w:spacing w:line="240" w:lineRule="auto"/>
      </w:pPr>
    </w:p>
    <w:p w:rsidR="003C0252" w:rsidRDefault="00122171" w:rsidP="003C0252">
      <w:pPr>
        <w:pStyle w:val="ListParagraph"/>
        <w:spacing w:line="240" w:lineRule="auto"/>
        <w:ind w:left="0"/>
      </w:pPr>
      <w:r>
        <w:t xml:space="preserve">The TSP does </w:t>
      </w:r>
      <w:r w:rsidR="003C0252">
        <w:t>not cover:</w:t>
      </w:r>
    </w:p>
    <w:p w:rsidR="00122171" w:rsidRDefault="00122171" w:rsidP="003C0252">
      <w:pPr>
        <w:pStyle w:val="ListParagraph"/>
        <w:spacing w:line="240" w:lineRule="auto"/>
        <w:ind w:left="0"/>
      </w:pPr>
    </w:p>
    <w:p w:rsidR="003C0252" w:rsidRDefault="003C0252" w:rsidP="003C0252">
      <w:pPr>
        <w:pStyle w:val="ListParagraph"/>
        <w:numPr>
          <w:ilvl w:val="0"/>
          <w:numId w:val="5"/>
        </w:numPr>
        <w:spacing w:line="240" w:lineRule="auto"/>
      </w:pPr>
      <w:r>
        <w:t>Summer salary</w:t>
      </w:r>
    </w:p>
    <w:p w:rsidR="003C0252" w:rsidRDefault="003C0252" w:rsidP="003C0252">
      <w:pPr>
        <w:pStyle w:val="ListParagraph"/>
        <w:numPr>
          <w:ilvl w:val="0"/>
          <w:numId w:val="5"/>
        </w:numPr>
        <w:spacing w:line="240" w:lineRule="auto"/>
      </w:pPr>
      <w:r>
        <w:t>“B” portion of salary for faculty on an A/B plan</w:t>
      </w:r>
    </w:p>
    <w:p w:rsidR="003C0252" w:rsidRDefault="003C0252" w:rsidP="00122171">
      <w:pPr>
        <w:pStyle w:val="ListParagraph"/>
        <w:numPr>
          <w:ilvl w:val="0"/>
          <w:numId w:val="5"/>
        </w:numPr>
        <w:spacing w:line="240" w:lineRule="auto"/>
      </w:pPr>
      <w:r>
        <w:t xml:space="preserve">Travel costs for partner or spouse </w:t>
      </w:r>
    </w:p>
    <w:p w:rsidR="00122171" w:rsidRDefault="00122171" w:rsidP="00122171">
      <w:pPr>
        <w:pStyle w:val="ListParagraph"/>
        <w:spacing w:line="240" w:lineRule="auto"/>
      </w:pPr>
    </w:p>
    <w:p w:rsidR="000D19E8" w:rsidRDefault="004E457F" w:rsidP="00E61B72">
      <w:pPr>
        <w:pStyle w:val="ListParagraph"/>
        <w:spacing w:line="240" w:lineRule="auto"/>
        <w:ind w:left="0"/>
      </w:pPr>
      <w:r>
        <w:t>The TSP will be offered over four years (</w:t>
      </w:r>
      <w:r w:rsidR="00C41E2B">
        <w:t xml:space="preserve">Fall </w:t>
      </w:r>
      <w:r>
        <w:t>2015-</w:t>
      </w:r>
      <w:r w:rsidR="00C41E2B">
        <w:t xml:space="preserve"> Spring </w:t>
      </w:r>
      <w:r>
        <w:t xml:space="preserve">2019).  </w:t>
      </w:r>
      <w:r w:rsidR="000D19E8" w:rsidRPr="00D83BD9">
        <w:t xml:space="preserve">Approximately </w:t>
      </w:r>
      <w:r w:rsidR="003553E4" w:rsidRPr="00D83BD9">
        <w:t xml:space="preserve">eight-ten </w:t>
      </w:r>
      <w:r w:rsidR="000D19E8" w:rsidRPr="00D83BD9">
        <w:t xml:space="preserve">awards </w:t>
      </w:r>
      <w:r w:rsidR="00F942DC" w:rsidRPr="00D83BD9">
        <w:t xml:space="preserve">per year </w:t>
      </w:r>
      <w:r w:rsidR="003553E4" w:rsidRPr="00D83BD9">
        <w:t>will be made in the range of $3,000</w:t>
      </w:r>
      <w:r w:rsidR="00016E71">
        <w:t xml:space="preserve"> to $25</w:t>
      </w:r>
      <w:r w:rsidR="000D19E8" w:rsidRPr="00D83BD9">
        <w:t xml:space="preserve">,000 each. If your situation changes after you have been awarded a TSP grant, the TSP committee will reevaluate your award and </w:t>
      </w:r>
      <w:r w:rsidR="00D83BD9">
        <w:t xml:space="preserve">possibly return unspent funds to the TSP program so that others can benefit.  </w:t>
      </w:r>
    </w:p>
    <w:p w:rsidR="000D19E8" w:rsidRDefault="000D19E8" w:rsidP="000D19E8">
      <w:pPr>
        <w:spacing w:line="240" w:lineRule="auto"/>
        <w:rPr>
          <w:b/>
        </w:rPr>
      </w:pPr>
      <w:r>
        <w:rPr>
          <w:b/>
        </w:rPr>
        <w:t>Application Process</w:t>
      </w:r>
    </w:p>
    <w:p w:rsidR="000D19E8" w:rsidRDefault="007065E7" w:rsidP="000D19E8">
      <w:pPr>
        <w:spacing w:line="240" w:lineRule="auto"/>
      </w:pPr>
      <w:r>
        <w:t>To apply for a TSP award, please:</w:t>
      </w:r>
    </w:p>
    <w:p w:rsidR="007065E7" w:rsidRDefault="007065E7" w:rsidP="007065E7">
      <w:pPr>
        <w:pStyle w:val="ListParagraph"/>
        <w:numPr>
          <w:ilvl w:val="0"/>
          <w:numId w:val="3"/>
        </w:numPr>
        <w:spacing w:line="240" w:lineRule="auto"/>
      </w:pPr>
      <w:r>
        <w:t>Write a statement of need (</w:t>
      </w:r>
      <w:r w:rsidR="001043BF">
        <w:t>1-2</w:t>
      </w:r>
      <w:r>
        <w:t xml:space="preserve"> pages) indicating the following:</w:t>
      </w:r>
    </w:p>
    <w:p w:rsidR="007065E7" w:rsidRDefault="007065E7" w:rsidP="007065E7">
      <w:pPr>
        <w:pStyle w:val="ListParagraph"/>
        <w:numPr>
          <w:ilvl w:val="1"/>
          <w:numId w:val="3"/>
        </w:numPr>
        <w:spacing w:line="240" w:lineRule="auto"/>
      </w:pPr>
      <w:r>
        <w:t xml:space="preserve">Type of transition and </w:t>
      </w:r>
      <w:r w:rsidR="00DC4F88">
        <w:t xml:space="preserve">the quarter(s) </w:t>
      </w:r>
      <w:r>
        <w:t>for which you seek support</w:t>
      </w:r>
    </w:p>
    <w:p w:rsidR="007065E7" w:rsidRDefault="007065E7" w:rsidP="007065E7">
      <w:pPr>
        <w:pStyle w:val="ListParagraph"/>
        <w:numPr>
          <w:ilvl w:val="1"/>
          <w:numId w:val="3"/>
        </w:numPr>
        <w:spacing w:line="240" w:lineRule="auto"/>
      </w:pPr>
      <w:r>
        <w:t>How the transition will impact your career</w:t>
      </w:r>
    </w:p>
    <w:p w:rsidR="007065E7" w:rsidRDefault="007065E7" w:rsidP="007065E7">
      <w:pPr>
        <w:pStyle w:val="ListParagraph"/>
        <w:numPr>
          <w:ilvl w:val="1"/>
          <w:numId w:val="3"/>
        </w:numPr>
        <w:spacing w:line="240" w:lineRule="auto"/>
      </w:pPr>
      <w:r>
        <w:t>Type and amount of support you seek, including a budget</w:t>
      </w:r>
    </w:p>
    <w:p w:rsidR="007065E7" w:rsidRDefault="007065E7" w:rsidP="007065E7">
      <w:pPr>
        <w:pStyle w:val="ListParagraph"/>
        <w:numPr>
          <w:ilvl w:val="1"/>
          <w:numId w:val="3"/>
        </w:numPr>
        <w:spacing w:line="240" w:lineRule="auto"/>
      </w:pPr>
      <w:r>
        <w:t>How this support will advance your academic career during the</w:t>
      </w:r>
      <w:r w:rsidR="004E457F">
        <w:t xml:space="preserve"> life</w:t>
      </w:r>
      <w:r>
        <w:t xml:space="preserve"> transition</w:t>
      </w:r>
      <w:r w:rsidR="004E457F">
        <w:t>.</w:t>
      </w:r>
    </w:p>
    <w:p w:rsidR="00AC704F" w:rsidRDefault="00AC704F" w:rsidP="00AC704F">
      <w:pPr>
        <w:pStyle w:val="ListParagraph"/>
        <w:spacing w:line="240" w:lineRule="auto"/>
        <w:ind w:left="1440"/>
      </w:pPr>
    </w:p>
    <w:p w:rsidR="007065E7" w:rsidRDefault="007065E7" w:rsidP="007065E7">
      <w:pPr>
        <w:pStyle w:val="ListParagraph"/>
        <w:numPr>
          <w:ilvl w:val="0"/>
          <w:numId w:val="3"/>
        </w:numPr>
        <w:spacing w:line="240" w:lineRule="auto"/>
      </w:pPr>
      <w:r>
        <w:t>Include your CV and funding record in the application package.</w:t>
      </w:r>
    </w:p>
    <w:p w:rsidR="00D83BD9" w:rsidRDefault="007065E7" w:rsidP="007065E7">
      <w:pPr>
        <w:spacing w:line="240" w:lineRule="auto"/>
      </w:pPr>
      <w:r w:rsidRPr="00D83BD9">
        <w:t xml:space="preserve">A letter of support from your department chair is encouraged, especially if your request is for release time. </w:t>
      </w:r>
      <w:r w:rsidR="00B51D11" w:rsidRPr="00D83BD9">
        <w:t xml:space="preserve"> </w:t>
      </w:r>
      <w:r w:rsidR="00572ACF" w:rsidRPr="00D83BD9">
        <w:t>While departmental matching is n</w:t>
      </w:r>
      <w:r w:rsidR="00CA23FD" w:rsidRPr="00D83BD9">
        <w:t>ot required, it can strengthen an application</w:t>
      </w:r>
      <w:r w:rsidR="00572ACF" w:rsidRPr="00D83BD9">
        <w:t xml:space="preserve">.  </w:t>
      </w:r>
      <w:r w:rsidR="00D83BD9" w:rsidRPr="00D83BD9">
        <w:t>You do not need an eGC1 for the TSP.</w:t>
      </w:r>
      <w:r w:rsidR="00D83BD9">
        <w:t xml:space="preserve"> </w:t>
      </w:r>
      <w:r w:rsidR="002D4FCB">
        <w:t xml:space="preserve"> Applications will be kept confidential.</w:t>
      </w:r>
    </w:p>
    <w:p w:rsidR="002D4FCB" w:rsidRDefault="00FA6F83" w:rsidP="00FA6F83">
      <w:pPr>
        <w:spacing w:line="240" w:lineRule="auto"/>
      </w:pPr>
      <w:r>
        <w:t xml:space="preserve">If you have questions about the TSP, please contact </w:t>
      </w:r>
      <w:hyperlink r:id="rId8" w:history="1">
        <w:r w:rsidR="00547D58" w:rsidRPr="006749C5">
          <w:rPr>
            <w:rStyle w:val="Hyperlink"/>
          </w:rPr>
          <w:t>advtsp@uw.edu</w:t>
        </w:r>
      </w:hyperlink>
      <w:r w:rsidR="002D4FCB">
        <w:t xml:space="preserve">.  </w:t>
      </w:r>
    </w:p>
    <w:p w:rsidR="002D4FCB" w:rsidRDefault="002D4FCB" w:rsidP="002D4FCB">
      <w:pPr>
        <w:spacing w:line="240" w:lineRule="auto"/>
      </w:pPr>
      <w:r>
        <w:t xml:space="preserve">Please email your completed application to </w:t>
      </w:r>
      <w:hyperlink r:id="rId9" w:history="1">
        <w:r w:rsidRPr="004E76C7">
          <w:rPr>
            <w:rStyle w:val="Hyperlink"/>
          </w:rPr>
          <w:t>advtsp@uw.edu</w:t>
        </w:r>
      </w:hyperlink>
      <w:r>
        <w:t xml:space="preserve">.  </w:t>
      </w:r>
    </w:p>
    <w:p w:rsidR="00FA6F83" w:rsidRDefault="00FA6F83" w:rsidP="00FA6F83">
      <w:pPr>
        <w:spacing w:line="240" w:lineRule="auto"/>
      </w:pPr>
    </w:p>
    <w:p w:rsidR="000D19E8" w:rsidRPr="000D19E8" w:rsidRDefault="007065E7" w:rsidP="000D19E8">
      <w:pPr>
        <w:spacing w:line="240" w:lineRule="auto"/>
      </w:pPr>
      <w:r w:rsidRPr="00D83BD9">
        <w:t xml:space="preserve">Applications due:  </w:t>
      </w:r>
      <w:r w:rsidR="00D83BD9" w:rsidRPr="00D83BD9">
        <w:t>December 1 and May 1</w:t>
      </w:r>
      <w:r w:rsidR="004E457F" w:rsidRPr="00D83BD9">
        <w:t xml:space="preserve"> of each year</w:t>
      </w:r>
    </w:p>
    <w:sectPr w:rsidR="000D19E8" w:rsidRPr="000D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F8" w:rsidRDefault="007A6CF8" w:rsidP="007065E7">
      <w:pPr>
        <w:spacing w:after="0" w:line="240" w:lineRule="auto"/>
      </w:pPr>
      <w:r>
        <w:separator/>
      </w:r>
    </w:p>
  </w:endnote>
  <w:endnote w:type="continuationSeparator" w:id="0">
    <w:p w:rsidR="007A6CF8" w:rsidRDefault="007A6CF8" w:rsidP="0070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F8" w:rsidRDefault="007A6CF8" w:rsidP="007065E7">
      <w:pPr>
        <w:spacing w:after="0" w:line="240" w:lineRule="auto"/>
      </w:pPr>
      <w:r>
        <w:separator/>
      </w:r>
    </w:p>
  </w:footnote>
  <w:footnote w:type="continuationSeparator" w:id="0">
    <w:p w:rsidR="007A6CF8" w:rsidRDefault="007A6CF8" w:rsidP="0070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20C"/>
    <w:multiLevelType w:val="hybridMultilevel"/>
    <w:tmpl w:val="CB62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824"/>
    <w:multiLevelType w:val="hybridMultilevel"/>
    <w:tmpl w:val="B4EE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7B3C"/>
    <w:multiLevelType w:val="hybridMultilevel"/>
    <w:tmpl w:val="151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6395E"/>
    <w:multiLevelType w:val="hybridMultilevel"/>
    <w:tmpl w:val="20F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F06DB"/>
    <w:multiLevelType w:val="hybridMultilevel"/>
    <w:tmpl w:val="40FE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68"/>
    <w:rsid w:val="00016E71"/>
    <w:rsid w:val="000D19E8"/>
    <w:rsid w:val="001043BF"/>
    <w:rsid w:val="00122171"/>
    <w:rsid w:val="00136F69"/>
    <w:rsid w:val="002D4FCB"/>
    <w:rsid w:val="003425D9"/>
    <w:rsid w:val="003553E4"/>
    <w:rsid w:val="003560C0"/>
    <w:rsid w:val="003B3395"/>
    <w:rsid w:val="003C0252"/>
    <w:rsid w:val="00425768"/>
    <w:rsid w:val="00435BE2"/>
    <w:rsid w:val="004B6D9B"/>
    <w:rsid w:val="004E457F"/>
    <w:rsid w:val="00535546"/>
    <w:rsid w:val="00547D58"/>
    <w:rsid w:val="00571F63"/>
    <w:rsid w:val="00572ACF"/>
    <w:rsid w:val="005940A5"/>
    <w:rsid w:val="00643F48"/>
    <w:rsid w:val="00686872"/>
    <w:rsid w:val="007050F4"/>
    <w:rsid w:val="007065E7"/>
    <w:rsid w:val="00734ADD"/>
    <w:rsid w:val="00785913"/>
    <w:rsid w:val="007A6CF8"/>
    <w:rsid w:val="007B1F47"/>
    <w:rsid w:val="007F00DF"/>
    <w:rsid w:val="00853592"/>
    <w:rsid w:val="00866C17"/>
    <w:rsid w:val="008931F9"/>
    <w:rsid w:val="00896C97"/>
    <w:rsid w:val="008A698C"/>
    <w:rsid w:val="009325D9"/>
    <w:rsid w:val="009330BC"/>
    <w:rsid w:val="009846CB"/>
    <w:rsid w:val="00986839"/>
    <w:rsid w:val="009C2F0A"/>
    <w:rsid w:val="00A25BFA"/>
    <w:rsid w:val="00AC704F"/>
    <w:rsid w:val="00AD77F1"/>
    <w:rsid w:val="00B266DA"/>
    <w:rsid w:val="00B51D11"/>
    <w:rsid w:val="00BD7C51"/>
    <w:rsid w:val="00C41E2B"/>
    <w:rsid w:val="00C801F5"/>
    <w:rsid w:val="00CA23FD"/>
    <w:rsid w:val="00CF5A20"/>
    <w:rsid w:val="00D54F6D"/>
    <w:rsid w:val="00D83BD9"/>
    <w:rsid w:val="00DB6ADB"/>
    <w:rsid w:val="00DC4F88"/>
    <w:rsid w:val="00E61B72"/>
    <w:rsid w:val="00EA51E9"/>
    <w:rsid w:val="00EC264C"/>
    <w:rsid w:val="00F942DC"/>
    <w:rsid w:val="00F95D27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68"/>
    <w:pPr>
      <w:ind w:left="720"/>
      <w:contextualSpacing/>
    </w:pPr>
  </w:style>
  <w:style w:type="table" w:styleId="TableGrid">
    <w:name w:val="Table Grid"/>
    <w:basedOn w:val="TableNormal"/>
    <w:uiPriority w:val="39"/>
    <w:rsid w:val="000D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68"/>
    <w:pPr>
      <w:ind w:left="720"/>
      <w:contextualSpacing/>
    </w:pPr>
  </w:style>
  <w:style w:type="table" w:styleId="TableGrid">
    <w:name w:val="Table Grid"/>
    <w:basedOn w:val="TableNormal"/>
    <w:uiPriority w:val="39"/>
    <w:rsid w:val="000D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tsp@u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vtsp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Crawford</dc:creator>
  <cp:lastModifiedBy>lmkelley</cp:lastModifiedBy>
  <cp:revision>2</cp:revision>
  <dcterms:created xsi:type="dcterms:W3CDTF">2018-03-20T20:47:00Z</dcterms:created>
  <dcterms:modified xsi:type="dcterms:W3CDTF">2018-03-20T20:47:00Z</dcterms:modified>
</cp:coreProperties>
</file>